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495746" w:rsidTr="0049574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495746" w:rsidRDefault="00495746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225716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ELETTROPORATORE </w:t>
            </w:r>
          </w:p>
        </w:tc>
      </w:tr>
      <w:tr w:rsidR="00495746" w:rsidTr="0049574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Default="0049574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Default="0049574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:rsidR="00495746" w:rsidRDefault="00495746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495746" w:rsidTr="0049574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Default="0049574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Default="00495746">
            <w:pPr>
              <w:spacing w:line="256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495746" w:rsidTr="0049574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Default="0049574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Default="00495746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URTI, COLPI, IMPATTI, SCHIACCIAMENTI</w:t>
            </w:r>
          </w:p>
          <w:p w:rsidR="00495746" w:rsidRDefault="00495746">
            <w:pPr>
              <w:spacing w:line="256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18"/>
                <w:lang w:eastAsia="en-US"/>
              </w:rPr>
              <w:t>ABRASIONI, TAGLI, CESOIAMENTI</w:t>
            </w:r>
          </w:p>
        </w:tc>
      </w:tr>
      <w:tr w:rsidR="00495746" w:rsidTr="0049574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Default="0049574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t xml:space="preserve">Il </w:t>
            </w:r>
            <w:r w:rsidRPr="00495746">
              <w:rPr>
                <w:sz w:val="20"/>
                <w:szCs w:val="20"/>
              </w:rPr>
              <w:t xml:space="preserve">dispositivo deve essere utilizzato solo da personale adeguatamente istruito.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Per motivi di sicurezza elettrica necessita di messa a terra.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Usare solo i cavi di alimentazione forniti dal fabbricante o da fornitori autorizzati.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>Assicurarsi che l’apparecchiatura sia collegata ad una rete elettrica dotata di messa a terra e che la spina del cavo di alimentazione sia perfettamente compatibile con la presa elettrica.</w:t>
            </w:r>
            <w:bookmarkStart w:id="1" w:name="_GoBack"/>
            <w:bookmarkEnd w:id="1"/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Prima di inserire la spina del cavo di alimentazione nella presa di rete, assicurarsi che i cavi di alimentazione non siano danneggiati. Sostituire i cavi se danneggiati: i cavi di collegamento alla rete non possono essere riparati.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Non collegare né scollegare i cavi di alimentazione dall’apparecchio o dalla presa di rete con mani umide e/o bagnate.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>Le parti interne raggiungono alte tensioni</w:t>
            </w:r>
            <w:r w:rsidRPr="00495746">
              <w:rPr>
                <w:sz w:val="20"/>
                <w:szCs w:val="20"/>
              </w:rPr>
              <w:t xml:space="preserve">: </w:t>
            </w:r>
            <w:r w:rsidRPr="00495746">
              <w:rPr>
                <w:sz w:val="20"/>
                <w:szCs w:val="20"/>
              </w:rPr>
              <w:t>Non aprire il dispositivo durante il suo funzionamento.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>Come parte applicata utilizzare solo ed esclusivamente elettrodi monouso sterili approvati</w:t>
            </w:r>
            <w:r w:rsidRPr="00495746">
              <w:rPr>
                <w:sz w:val="20"/>
                <w:szCs w:val="20"/>
              </w:rPr>
              <w:t>.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Il trattamento di </w:t>
            </w:r>
            <w:proofErr w:type="spellStart"/>
            <w:r w:rsidRPr="00495746">
              <w:rPr>
                <w:sz w:val="20"/>
                <w:szCs w:val="20"/>
              </w:rPr>
              <w:t>elettroporazione</w:t>
            </w:r>
            <w:proofErr w:type="spellEnd"/>
            <w:r w:rsidRPr="00495746">
              <w:rPr>
                <w:sz w:val="20"/>
                <w:szCs w:val="20"/>
              </w:rPr>
              <w:t xml:space="preserve"> può causare scintille in corrispondenza dell’elettrodo.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Il trattamento non deve essere eseguito se la concentrazione di miscele infiammabili nell’area è tale per cui potrebbero esplodere in presenza di scintille.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Se si utilizzano sostanze anestetiche contenenti ossigeno o protossido d’azoto si richiede che sia rispettata una distanza di sicurezza tra tubi o parti contenenti la miscela infiammabile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>U</w:t>
            </w:r>
            <w:r w:rsidRPr="00495746">
              <w:rPr>
                <w:sz w:val="20"/>
                <w:szCs w:val="20"/>
              </w:rPr>
              <w:t xml:space="preserve">na miscela di vapori di agenti disinfettanti o pulenti infiammabili con l’aria, può essere trattata alla stregua di una miscela anestetica infiammabile con aria, sottoposta ai regolamenti nazionali o locali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>S</w:t>
            </w:r>
            <w:r w:rsidRPr="00495746">
              <w:rPr>
                <w:sz w:val="20"/>
                <w:szCs w:val="20"/>
              </w:rPr>
              <w:t>i consiglia di effettuare periodicamente sul dispositivo prove di sicurezza elettrica e di verifica del suo corretto funzionamento.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Il Manuale è parte fondamentale del dispositivo e deve sempre accompagnare il dispositivo. L’operatore deve far riferimento al presente manuale per un uso corretto dell’apparecchiatura.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>Indossare guanti chirurgici quando si comandano gli impulsi e si maneggiano gli elettrodi.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Non utilizzare il manipolo senza elettrodo. Non toccare l’elettrodo o le boccole del manipolo con le dita mentre è in corso un trattamento.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>L’elettrodo collegato al dispositivo deve sempre corrispondere al codice inserito tramite l’interfaccia software.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Non utilizzare manipoli o cavi di connessione logori o il cui cavo, impugnatura, connettore al generatore d'impulsi o connettore dell'elettrodo siano danneggiati, o che siano stati manomessi.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>Accertarsi che l’alimentazione di rete sia conforme a quanto specificato sulla targa dati posta sul pannello posteriore e che sia in grado di fornire la potenza indicata.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Gli elettrodi sono soggetti a energia elettrica potenzialmente pericolosa. Non toccare le parti metalliche degli elettrodi mentre si sta erogando il trattamento.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lastRenderedPageBreak/>
              <w:t xml:space="preserve">Non utilizzare </w:t>
            </w:r>
            <w:r w:rsidRPr="00495746">
              <w:rPr>
                <w:sz w:val="20"/>
                <w:szCs w:val="20"/>
              </w:rPr>
              <w:t xml:space="preserve">in </w:t>
            </w:r>
            <w:r w:rsidRPr="00495746">
              <w:rPr>
                <w:sz w:val="20"/>
                <w:szCs w:val="20"/>
              </w:rPr>
              <w:t>caso di sospetto malfunzionamento, ma contattare il fabbricante o il fornitore autorizzato.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Evitare che liquidi bagnino il dispositivo. Non versare liquidi sull’unità.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Collocare lontano dalla luce diretta del sole, da fonti di calore e da polvere; in particolare non esporre il display alla luce diretta del sole per lungo tempo.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>Non ostruire le griglie di areazione.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Controllare periodicamente che le griglie non siano ostruite per consentire la corretta ventilazione dei circuiti interni.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Non maneggiare l’apparecchio con mani bagnate.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 Durante il trasporto evitare colpi violenti all’apparecchio.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20"/>
                <w:lang w:eastAsia="en-US"/>
              </w:rPr>
            </w:pPr>
            <w:r w:rsidRPr="00495746">
              <w:rPr>
                <w:sz w:val="20"/>
                <w:szCs w:val="20"/>
              </w:rPr>
              <w:t xml:space="preserve">Spegnere l’unità e scollegarla dalla rete elettrica prima di procedure alla pulizia di ogni sua parte. </w:t>
            </w:r>
          </w:p>
          <w:p w:rsidR="00495746" w:rsidRPr="00495746" w:rsidRDefault="00495746" w:rsidP="00495746">
            <w:pPr>
              <w:pStyle w:val="Paragrafoelenco"/>
              <w:numPr>
                <w:ilvl w:val="0"/>
                <w:numId w:val="4"/>
              </w:numPr>
              <w:spacing w:line="256" w:lineRule="auto"/>
              <w:rPr>
                <w:sz w:val="20"/>
                <w:szCs w:val="18"/>
                <w:lang w:eastAsia="en-US"/>
              </w:rPr>
            </w:pPr>
            <w:r w:rsidRPr="00495746">
              <w:rPr>
                <w:sz w:val="20"/>
                <w:szCs w:val="20"/>
              </w:rPr>
              <w:t>Non è ammessa alcuna modifica di questo dispositivo.</w:t>
            </w:r>
            <w:r>
              <w:t xml:space="preserve"> </w:t>
            </w:r>
          </w:p>
        </w:tc>
      </w:tr>
      <w:tr w:rsidR="00495746" w:rsidTr="0049574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Default="0049574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95746" w:rsidRDefault="00495746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495746" w:rsidRDefault="00495746">
            <w:pPr>
              <w:spacing w:line="256" w:lineRule="auto"/>
              <w:rPr>
                <w:lang w:eastAsia="en-US"/>
              </w:rPr>
            </w:pPr>
          </w:p>
          <w:p w:rsidR="00495746" w:rsidRDefault="00495746">
            <w:pPr>
              <w:spacing w:line="256" w:lineRule="auto"/>
              <w:rPr>
                <w:lang w:eastAsia="en-US"/>
              </w:rPr>
            </w:pPr>
          </w:p>
        </w:tc>
      </w:tr>
      <w:tr w:rsidR="00495746" w:rsidTr="0049574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Default="00495746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95746" w:rsidRDefault="00495746">
            <w:p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In caso di utilizzo dell’attrezzatura in modo appropriato, come previsto dal manuale d’uso e manutenzione, i DPI non sono necessari.</w:t>
            </w:r>
          </w:p>
          <w:p w:rsidR="00495746" w:rsidRDefault="00495746">
            <w:p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Si consiglia utilizzo:</w:t>
            </w:r>
          </w:p>
          <w:p w:rsidR="00495746" w:rsidRDefault="00495746" w:rsidP="00E70E75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(EN 388)</w:t>
            </w:r>
          </w:p>
          <w:p w:rsidR="00495746" w:rsidRDefault="00495746" w:rsidP="00E70E75">
            <w:pPr>
              <w:numPr>
                <w:ilvl w:val="0"/>
                <w:numId w:val="2"/>
              </w:numPr>
              <w:suppressAutoHyphens w:val="0"/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</w:tc>
      </w:tr>
    </w:tbl>
    <w:p w:rsidR="00495746" w:rsidRDefault="00495746"/>
    <w:sectPr w:rsidR="0049574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6D2A2C"/>
    <w:multiLevelType w:val="hybridMultilevel"/>
    <w:tmpl w:val="3F3A2750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DC3620"/>
    <w:multiLevelType w:val="hybridMultilevel"/>
    <w:tmpl w:val="43324B98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746"/>
    <w:rsid w:val="00495746"/>
    <w:rsid w:val="00E60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C31C3"/>
  <w15:chartTrackingRefBased/>
  <w15:docId w15:val="{A21EB061-65D2-493F-B6B9-D4A6328A0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95746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495746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495746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qFormat/>
    <w:rsid w:val="00495746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28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610</Words>
  <Characters>3477</Characters>
  <Application>Microsoft Office Word</Application>
  <DocSecurity>0</DocSecurity>
  <Lines>28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2020-03-05T17:06:00Z</dcterms:created>
  <dcterms:modified xsi:type="dcterms:W3CDTF">2020-03-05T17:17:00Z</dcterms:modified>
</cp:coreProperties>
</file>