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C4AA4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41B55" w:rsidRDefault="004C4AA4" w:rsidP="00841B55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408624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SALDATRICE </w:t>
            </w:r>
            <w:r w:rsidR="005E651B">
              <w:rPr>
                <w:lang w:eastAsia="en-US"/>
              </w:rPr>
              <w:t xml:space="preserve">PORTATILE PER </w:t>
            </w:r>
            <w:r w:rsidR="00841B55">
              <w:rPr>
                <w:lang w:eastAsia="en-US"/>
              </w:rPr>
              <w:t>MATERIALE PLASTICO</w:t>
            </w:r>
          </w:p>
          <w:p w:rsidR="004C4AA4" w:rsidRDefault="004C4AA4" w:rsidP="00841B55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  <w:bookmarkStart w:id="1" w:name="_GoBack"/>
            <w:r w:rsidR="00841B55">
              <w:rPr>
                <w:noProof/>
              </w:rPr>
              <w:drawing>
                <wp:inline distT="0" distB="0" distL="0" distR="0">
                  <wp:extent cx="1419225" cy="1419225"/>
                  <wp:effectExtent l="0" t="0" r="9525" b="9525"/>
                  <wp:docPr id="1" name="Immagine 1" descr="C:\Users\utente\Desktop\th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tente\Desktop\th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4C4AA4" w:rsidRDefault="004C4AA4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16"/>
                <w:szCs w:val="14"/>
                <w:lang w:eastAsia="en-US"/>
              </w:rPr>
              <w:t xml:space="preserve"> </w:t>
            </w:r>
            <w:r w:rsidRPr="004C4AA4">
              <w:rPr>
                <w:sz w:val="20"/>
                <w:szCs w:val="20"/>
              </w:rPr>
              <w:t>INALAZIONI DI FUMI E GAS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ELETTROCUZIONE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USTIONE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INCENDIO DI MATERIALI INFIAMMABILI</w:t>
            </w:r>
          </w:p>
          <w:p w:rsidR="004C4AA4" w:rsidRDefault="004C4AA4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 w:rsidRPr="004C4AA4">
              <w:rPr>
                <w:sz w:val="20"/>
                <w:szCs w:val="20"/>
              </w:rPr>
              <w:t>ESPLOSIONI DEI RECIPIENTI</w:t>
            </w:r>
          </w:p>
        </w:tc>
      </w:tr>
      <w:tr w:rsidR="004C4AA4" w:rsidRPr="002606DF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AA4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Prima di aprire l’apparecchio,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 xml:space="preserve">estrarre la spina dalla presa di </w:t>
            </w:r>
            <w:proofErr w:type="gramStart"/>
            <w:r w:rsidRPr="005E651B">
              <w:rPr>
                <w:sz w:val="20"/>
                <w:szCs w:val="20"/>
              </w:rPr>
              <w:t>corrente</w:t>
            </w:r>
            <w:proofErr w:type="gramEnd"/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5E651B">
              <w:rPr>
                <w:sz w:val="20"/>
                <w:szCs w:val="20"/>
              </w:rPr>
              <w:t>Prima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della messa in servizio, verificare l’assenza di danni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meccanici e funzionali al c</w:t>
            </w:r>
            <w:r>
              <w:rPr>
                <w:sz w:val="20"/>
                <w:szCs w:val="20"/>
              </w:rPr>
              <w:t xml:space="preserve">avo di alimentazione, alla spina </w:t>
            </w:r>
            <w:r w:rsidRPr="005E651B">
              <w:rPr>
                <w:sz w:val="20"/>
                <w:szCs w:val="20"/>
              </w:rPr>
              <w:t>e alla prolunga.</w:t>
            </w:r>
            <w:proofErr w:type="gramEnd"/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in caso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di uso non conforme di apparecchi ad aria calda,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specialmente nelle vicinanze di materiali infiammabili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 xml:space="preserve">e gas esplosivi, vi è pericolo </w:t>
            </w:r>
            <w:proofErr w:type="gramStart"/>
            <w:r w:rsidRPr="005E651B">
              <w:rPr>
                <w:sz w:val="20"/>
                <w:szCs w:val="20"/>
              </w:rPr>
              <w:t xml:space="preserve">di </w:t>
            </w:r>
            <w:proofErr w:type="gramEnd"/>
            <w:r w:rsidRPr="005E651B">
              <w:rPr>
                <w:sz w:val="20"/>
                <w:szCs w:val="20"/>
              </w:rPr>
              <w:t>incendio ed esplosione.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5E651B">
              <w:rPr>
                <w:sz w:val="20"/>
                <w:szCs w:val="20"/>
              </w:rPr>
              <w:t>Non dirigere il getto di aria calda per molto tempo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nello stesso punto</w:t>
            </w:r>
            <w:proofErr w:type="gramEnd"/>
            <w:r w:rsidRPr="005E651B">
              <w:rPr>
                <w:sz w:val="20"/>
                <w:szCs w:val="20"/>
              </w:rPr>
              <w:t>. Il calore può raggiungere materiali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infiammabili che si trovano al di fuori del campo visivo.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5E651B">
              <w:rPr>
                <w:sz w:val="20"/>
                <w:szCs w:val="20"/>
              </w:rPr>
              <w:t>non</w:t>
            </w:r>
            <w:proofErr w:type="gramEnd"/>
            <w:r w:rsidRPr="005E651B">
              <w:rPr>
                <w:sz w:val="20"/>
                <w:szCs w:val="20"/>
              </w:rPr>
              <w:t xml:space="preserve"> toccare il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tubo dell’elemento riscaldante e l’ugello quando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sono roventi.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Fare raffreddare l’apparecchio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Non dirigere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il getto di aria calda verso persone o animali.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Prima di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cambiare l‘ugello o prima di riporre l'apparecchio nella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 xml:space="preserve">valigetta dopo l‘uso, </w:t>
            </w:r>
            <w:proofErr w:type="gramStart"/>
            <w:r w:rsidRPr="005E651B">
              <w:rPr>
                <w:sz w:val="20"/>
                <w:szCs w:val="20"/>
              </w:rPr>
              <w:t>posizionare</w:t>
            </w:r>
            <w:proofErr w:type="gramEnd"/>
            <w:r w:rsidRPr="005E651B">
              <w:rPr>
                <w:sz w:val="20"/>
                <w:szCs w:val="20"/>
              </w:rPr>
              <w:t xml:space="preserve"> verticalmente l‘apparecchio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su una superficie d‘appoggio e farlo raffreddare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completamente.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Se durante l‘uso l‘apparecchio manuale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ad aria calda si spegne automaticamente (relè termico),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5E651B">
              <w:rPr>
                <w:sz w:val="20"/>
                <w:szCs w:val="20"/>
              </w:rPr>
              <w:t>spegnere</w:t>
            </w:r>
            <w:proofErr w:type="gramEnd"/>
            <w:r w:rsidRPr="005E651B">
              <w:rPr>
                <w:sz w:val="20"/>
                <w:szCs w:val="20"/>
              </w:rPr>
              <w:t xml:space="preserve"> l‘apparecchio o staccarlo dall‘alimentazione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di corrente.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Prima del successivo utilizzo, far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raffreddare l‘apparecchio.</w:t>
            </w:r>
          </w:p>
          <w:p w:rsidR="005E651B" w:rsidRP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La tensione nominale indicata sull‘apparecchio deve corrispondere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alla tensione di rete.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 xml:space="preserve">Se l’apparecchio </w:t>
            </w:r>
            <w:proofErr w:type="gramStart"/>
            <w:r w:rsidRPr="005E651B">
              <w:rPr>
                <w:sz w:val="20"/>
                <w:szCs w:val="20"/>
              </w:rPr>
              <w:t>viene</w:t>
            </w:r>
            <w:proofErr w:type="gramEnd"/>
            <w:r w:rsidRPr="005E651B">
              <w:rPr>
                <w:sz w:val="20"/>
                <w:szCs w:val="20"/>
              </w:rPr>
              <w:t xml:space="preserve"> usato in cantiere, per garantire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la protezione degli operatori è assolutamente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necessario un interruttore differenziale (salvavita).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Sorvegliare sempre l‘apparecchio durante l‘uso.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La macchina deve essere utilizzata esclusivamente da personale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specializzato addestrato oppure sotto il controllo dello stesso. È</w:t>
            </w:r>
            <w:r>
              <w:rPr>
                <w:sz w:val="20"/>
                <w:szCs w:val="20"/>
              </w:rPr>
              <w:t xml:space="preserve"> </w:t>
            </w:r>
            <w:r w:rsidRPr="005E651B">
              <w:rPr>
                <w:sz w:val="20"/>
                <w:szCs w:val="20"/>
              </w:rPr>
              <w:t>assolutamente vietato l’impiego da parte di bambini.</w:t>
            </w:r>
          </w:p>
          <w:p w:rsidR="005E651B" w:rsidRDefault="005E651B" w:rsidP="005E651B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E651B">
              <w:rPr>
                <w:sz w:val="20"/>
                <w:szCs w:val="20"/>
              </w:rPr>
              <w:t>Proteggere l‘apparecchio dall‘umidità e dal bagnato.</w:t>
            </w:r>
          </w:p>
          <w:p w:rsidR="005E651B" w:rsidRPr="005E651B" w:rsidRDefault="005E651B" w:rsidP="005E651B">
            <w:p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</w:tc>
      </w:tr>
      <w:tr w:rsidR="004C4AA4" w:rsidTr="006622CB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36307F3" wp14:editId="7934C05A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7C43D0B" wp14:editId="3E66D50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</w:p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4C4AA4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5E651B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FF</w:t>
            </w:r>
            <w:r w:rsidR="004C4AA4">
              <w:rPr>
                <w:noProof/>
                <w:sz w:val="20"/>
                <w:szCs w:val="20"/>
                <w:lang w:eastAsia="en-US"/>
              </w:rPr>
              <w:t xml:space="preserve">P2 </w:t>
            </w:r>
          </w:p>
          <w:p w:rsidR="005E651B" w:rsidRDefault="005E651B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 di protezione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4C4AA4" w:rsidRPr="005E651B" w:rsidRDefault="004C4AA4" w:rsidP="005E651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di protezione contro rischi meccanici (EN 388) </w:t>
            </w:r>
            <w:r w:rsidRPr="005E651B"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86FD2"/>
    <w:multiLevelType w:val="hybridMultilevel"/>
    <w:tmpl w:val="1A5A5504"/>
    <w:lvl w:ilvl="0" w:tplc="DF5440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8F867AB"/>
    <w:multiLevelType w:val="hybridMultilevel"/>
    <w:tmpl w:val="9E887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AA4"/>
    <w:rsid w:val="004C4AA4"/>
    <w:rsid w:val="004F4F70"/>
    <w:rsid w:val="005E651B"/>
    <w:rsid w:val="0084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4C4AA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C4AA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C4AA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41B5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41B55"/>
    <w:rPr>
      <w:rFonts w:ascii="Tahoma" w:eastAsia="Times New Roman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4C4AA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C4AA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C4AA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41B5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41B55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utente</cp:lastModifiedBy>
  <cp:revision>3</cp:revision>
  <dcterms:created xsi:type="dcterms:W3CDTF">2019-10-24T14:22:00Z</dcterms:created>
  <dcterms:modified xsi:type="dcterms:W3CDTF">2020-09-16T09:12:00Z</dcterms:modified>
</cp:coreProperties>
</file>