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81476B" w:rsidTr="00724C4E">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81476B" w:rsidRDefault="0081476B" w:rsidP="00724C4E">
            <w:pPr>
              <w:pStyle w:val="Titolo3"/>
              <w:spacing w:line="254" w:lineRule="auto"/>
              <w:rPr>
                <w:lang w:eastAsia="en-US"/>
              </w:rPr>
            </w:pPr>
            <w:bookmarkStart w:id="0" w:name="_Toc11225715"/>
            <w:bookmarkStart w:id="1" w:name="_GoBack" w:colFirst="0" w:colLast="0"/>
            <w:r>
              <w:rPr>
                <w:lang w:eastAsia="en-US"/>
              </w:rPr>
              <w:t xml:space="preserve">ATTREZZATURE: </w:t>
            </w:r>
            <w:bookmarkEnd w:id="0"/>
            <w:r>
              <w:rPr>
                <w:lang w:eastAsia="en-US"/>
              </w:rPr>
              <w:t xml:space="preserve">SEGHETTO ALTERNATIVO </w:t>
            </w:r>
          </w:p>
        </w:tc>
      </w:tr>
      <w:tr w:rsidR="0081476B" w:rsidTr="00724C4E">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b/>
                <w:sz w:val="20"/>
                <w:szCs w:val="20"/>
                <w:lang w:eastAsia="en-US"/>
              </w:rPr>
            </w:pPr>
            <w:r>
              <w:rPr>
                <w:b/>
                <w:sz w:val="20"/>
                <w:szCs w:val="20"/>
                <w:lang w:eastAsia="en-US"/>
              </w:rPr>
              <w:t>Utilizzo improprio dell’attrezzatura.</w:t>
            </w:r>
          </w:p>
          <w:p w:rsidR="0081476B" w:rsidRDefault="0081476B" w:rsidP="00724C4E">
            <w:pPr>
              <w:spacing w:line="254" w:lineRule="auto"/>
              <w:rPr>
                <w:b/>
                <w:sz w:val="20"/>
                <w:szCs w:val="20"/>
                <w:lang w:eastAsia="en-US"/>
              </w:rPr>
            </w:pPr>
            <w:r>
              <w:rPr>
                <w:b/>
                <w:sz w:val="20"/>
                <w:szCs w:val="20"/>
                <w:lang w:eastAsia="en-US"/>
              </w:rPr>
              <w:t>Rischio per incompetenza dell’operatore.</w:t>
            </w:r>
          </w:p>
        </w:tc>
      </w:tr>
      <w:tr w:rsidR="0081476B" w:rsidTr="00724C4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bCs/>
                <w:iCs/>
                <w:sz w:val="20"/>
                <w:szCs w:val="18"/>
                <w:lang w:eastAsia="en-US"/>
              </w:rPr>
            </w:pPr>
            <w:r>
              <w:rPr>
                <w:bCs/>
                <w:iCs/>
                <w:sz w:val="20"/>
                <w:szCs w:val="18"/>
                <w:lang w:eastAsia="en-US"/>
              </w:rPr>
              <w:t>Lavoratori</w:t>
            </w:r>
          </w:p>
        </w:tc>
      </w:tr>
      <w:tr w:rsidR="0081476B" w:rsidTr="00724C4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sz w:val="20"/>
                <w:szCs w:val="20"/>
                <w:lang w:eastAsia="en-US"/>
              </w:rPr>
            </w:pPr>
            <w:r>
              <w:rPr>
                <w:sz w:val="20"/>
                <w:szCs w:val="20"/>
                <w:lang w:eastAsia="en-US"/>
              </w:rPr>
              <w:t xml:space="preserve">ELETTRICO </w:t>
            </w:r>
          </w:p>
          <w:p w:rsidR="0081476B" w:rsidRDefault="0081476B" w:rsidP="00724C4E">
            <w:pPr>
              <w:spacing w:line="254" w:lineRule="auto"/>
              <w:rPr>
                <w:bCs/>
                <w:sz w:val="20"/>
                <w:szCs w:val="20"/>
                <w:lang w:eastAsia="en-US"/>
              </w:rPr>
            </w:pPr>
            <w:r>
              <w:rPr>
                <w:sz w:val="20"/>
                <w:szCs w:val="20"/>
                <w:lang w:eastAsia="en-US"/>
              </w:rPr>
              <w:t xml:space="preserve">LESIONI </w:t>
            </w:r>
            <w:r>
              <w:rPr>
                <w:sz w:val="20"/>
                <w:szCs w:val="20"/>
                <w:lang w:eastAsia="en-US"/>
              </w:rPr>
              <w:t xml:space="preserve">  </w:t>
            </w:r>
          </w:p>
        </w:tc>
      </w:tr>
      <w:tr w:rsidR="0081476B" w:rsidRPr="0060671F" w:rsidTr="00724C4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hideMark/>
          </w:tcPr>
          <w:p w:rsidR="0081476B" w:rsidRPr="0081476B" w:rsidRDefault="0081476B" w:rsidP="0081476B">
            <w:pPr>
              <w:pStyle w:val="Paragrafoelenco"/>
              <w:numPr>
                <w:ilvl w:val="0"/>
                <w:numId w:val="3"/>
              </w:numPr>
              <w:rPr>
                <w:rFonts w:ascii="Times" w:hAnsi="Times"/>
                <w:sz w:val="20"/>
                <w:szCs w:val="20"/>
              </w:rPr>
            </w:pPr>
            <w:r>
              <w:t xml:space="preserve">Per la sicurezza dell’area di lavoro, le superfici di appoggio e i pavimenti devono essere liberi e puliti. Si evitano, in questo modo, pericolosi incidenti causati da oggetti inutili, scarti o residui di lavorazione. Si consiglia inoltre di mantenere sempre bene illuminata l’area di lavoro. </w:t>
            </w:r>
          </w:p>
          <w:p w:rsidR="0081476B" w:rsidRPr="0081476B" w:rsidRDefault="0081476B" w:rsidP="0081476B">
            <w:pPr>
              <w:pStyle w:val="Paragrafoelenco"/>
              <w:numPr>
                <w:ilvl w:val="0"/>
                <w:numId w:val="3"/>
              </w:numPr>
              <w:rPr>
                <w:rFonts w:ascii="Times" w:hAnsi="Times"/>
                <w:sz w:val="20"/>
                <w:szCs w:val="20"/>
              </w:rPr>
            </w:pPr>
            <w:r>
              <w:t>Non utilizzate l’apparecchio in zone a rischio di esplosione o incendio dovuto a materiali combustibili, liquidi o polveri infiammabili, vernici, benzina, gas e polveri esplosive. Non impiegate inoltre gli apparecchi in ambienti dove possono bagnarsi o inumidirsi.</w:t>
            </w:r>
          </w:p>
          <w:p w:rsidR="0081476B" w:rsidRDefault="0081476B" w:rsidP="0081476B">
            <w:pPr>
              <w:pStyle w:val="Paragrafoelenco"/>
              <w:numPr>
                <w:ilvl w:val="0"/>
                <w:numId w:val="3"/>
              </w:numPr>
              <w:rPr>
                <w:rFonts w:ascii="Times" w:hAnsi="Times"/>
                <w:sz w:val="20"/>
                <w:szCs w:val="20"/>
              </w:rPr>
            </w:pPr>
            <w:r>
              <w:t xml:space="preserve">Evitate di recidere superfici collegate a terra o a massa (tubazioni, radiatori, forni, lavastoviglie e frigoriferi). </w:t>
            </w:r>
            <w:r>
              <w:rPr>
                <w:rFonts w:ascii="Times" w:hAnsi="Times"/>
                <w:sz w:val="20"/>
                <w:szCs w:val="20"/>
              </w:rPr>
              <w:t xml:space="preserve"> </w:t>
            </w:r>
          </w:p>
          <w:p w:rsidR="0081476B" w:rsidRPr="0081476B" w:rsidRDefault="0081476B" w:rsidP="0081476B">
            <w:pPr>
              <w:pStyle w:val="Paragrafoelenco"/>
              <w:numPr>
                <w:ilvl w:val="0"/>
                <w:numId w:val="3"/>
              </w:numPr>
              <w:rPr>
                <w:rFonts w:ascii="Times" w:hAnsi="Times"/>
                <w:sz w:val="20"/>
                <w:szCs w:val="20"/>
              </w:rPr>
            </w:pPr>
            <w:r>
              <w:t>Tenete i bambini e gli animali domestici fuori dall’area di lavoro ed impedite che tocchino l’apparecchio o i cavi di prolunga. Dopo ogni utilizzo, ritirate gli apparecchi in un luogo sicuro</w:t>
            </w:r>
          </w:p>
          <w:p w:rsidR="0081476B" w:rsidRPr="0081476B" w:rsidRDefault="0081476B" w:rsidP="0081476B">
            <w:pPr>
              <w:pStyle w:val="Paragrafoelenco"/>
              <w:numPr>
                <w:ilvl w:val="0"/>
                <w:numId w:val="3"/>
              </w:numPr>
              <w:rPr>
                <w:rFonts w:ascii="Times" w:hAnsi="Times"/>
                <w:sz w:val="20"/>
                <w:szCs w:val="20"/>
              </w:rPr>
            </w:pPr>
            <w:r>
              <w:t>Ogni prodotto è progettato per un uso specifico: non utilizzate quindi l’apparecchio per scopi diversi da quelli previsti</w:t>
            </w:r>
          </w:p>
          <w:p w:rsidR="0081476B" w:rsidRPr="0081476B" w:rsidRDefault="0081476B" w:rsidP="0081476B">
            <w:pPr>
              <w:pStyle w:val="Paragrafoelenco"/>
              <w:numPr>
                <w:ilvl w:val="0"/>
                <w:numId w:val="3"/>
              </w:numPr>
              <w:rPr>
                <w:rFonts w:ascii="Times" w:hAnsi="Times"/>
                <w:sz w:val="20"/>
                <w:szCs w:val="20"/>
              </w:rPr>
            </w:pPr>
            <w:r>
              <w:t>Non indossate abbigliamento, gioielleria o accessori che possano rimanere impigliati nell’utensile in funzione</w:t>
            </w:r>
          </w:p>
          <w:p w:rsidR="0081476B" w:rsidRPr="0081476B" w:rsidRDefault="0081476B" w:rsidP="0081476B">
            <w:pPr>
              <w:pStyle w:val="Paragrafoelenco"/>
              <w:numPr>
                <w:ilvl w:val="0"/>
                <w:numId w:val="3"/>
              </w:numPr>
              <w:rPr>
                <w:rFonts w:ascii="Times" w:hAnsi="Times"/>
                <w:sz w:val="20"/>
                <w:szCs w:val="20"/>
              </w:rPr>
            </w:pPr>
            <w:r>
              <w:t>Prima di avviare il prodotto, indossare sempre occhiali di protezione o occhiali di sicurezza con protezioni laterali e una maschera che protegga tutto il viso quando necessario. Consigliamo la mascherina con ampio campo visivo da utilizzare sopra gli occhiali o sopra occhiali standard con protezioni laterali.</w:t>
            </w:r>
          </w:p>
          <w:p w:rsidR="0081476B" w:rsidRPr="0081476B" w:rsidRDefault="0081476B" w:rsidP="0081476B">
            <w:pPr>
              <w:pStyle w:val="Paragrafoelenco"/>
              <w:numPr>
                <w:ilvl w:val="0"/>
                <w:numId w:val="3"/>
              </w:numPr>
              <w:rPr>
                <w:rFonts w:ascii="Times" w:hAnsi="Times"/>
                <w:sz w:val="20"/>
                <w:szCs w:val="20"/>
              </w:rPr>
            </w:pPr>
            <w:r>
              <w:t>Se utilizzate l’utensile per periodi prolungati, riparate le orecchie con un sistema di protezione auricolare</w:t>
            </w:r>
          </w:p>
          <w:p w:rsidR="0081476B" w:rsidRPr="0081476B" w:rsidRDefault="0081476B" w:rsidP="0081476B">
            <w:pPr>
              <w:pStyle w:val="Paragrafoelenco"/>
              <w:numPr>
                <w:ilvl w:val="0"/>
                <w:numId w:val="3"/>
              </w:numPr>
              <w:rPr>
                <w:rFonts w:ascii="Times" w:hAnsi="Times"/>
                <w:sz w:val="20"/>
                <w:szCs w:val="20"/>
              </w:rPr>
            </w:pPr>
            <w:r>
              <w:t>L’uso di guanti protettivi è utile per proteggere i le mani e le dita specialmente se lavorate in ambienti non perfettamente sicuri e in posizioni critiche.</w:t>
            </w:r>
          </w:p>
          <w:p w:rsidR="0081476B" w:rsidRPr="0081476B" w:rsidRDefault="0081476B" w:rsidP="0081476B">
            <w:pPr>
              <w:pStyle w:val="Paragrafoelenco"/>
              <w:numPr>
                <w:ilvl w:val="0"/>
                <w:numId w:val="3"/>
              </w:numPr>
              <w:rPr>
                <w:rFonts w:ascii="Times" w:hAnsi="Times"/>
                <w:sz w:val="20"/>
                <w:szCs w:val="20"/>
              </w:rPr>
            </w:pPr>
            <w:r>
              <w:t>L’uso di calzature di sicurezza antiscivolo è utile per proteggere i piedi specialmente se lavorate in ambienti non perfettamente sicuri.</w:t>
            </w:r>
          </w:p>
          <w:p w:rsidR="0081476B" w:rsidRPr="0081476B" w:rsidRDefault="0081476B" w:rsidP="0081476B">
            <w:pPr>
              <w:pStyle w:val="Paragrafoelenco"/>
              <w:numPr>
                <w:ilvl w:val="0"/>
                <w:numId w:val="3"/>
              </w:numPr>
              <w:rPr>
                <w:rFonts w:ascii="Times" w:hAnsi="Times"/>
                <w:sz w:val="20"/>
                <w:szCs w:val="20"/>
              </w:rPr>
            </w:pPr>
            <w:r>
              <w:t>Se lavorate in ambienti con sporgenze o rischi di urti, utilizzate un copricapo protettivo</w:t>
            </w:r>
          </w:p>
          <w:p w:rsidR="0081476B" w:rsidRPr="0081476B" w:rsidRDefault="0081476B" w:rsidP="0081476B">
            <w:pPr>
              <w:pStyle w:val="Paragrafoelenco"/>
              <w:numPr>
                <w:ilvl w:val="0"/>
                <w:numId w:val="3"/>
              </w:numPr>
              <w:rPr>
                <w:rFonts w:ascii="Times" w:hAnsi="Times"/>
                <w:sz w:val="20"/>
                <w:szCs w:val="20"/>
              </w:rPr>
            </w:pPr>
            <w:r>
              <w:t>Una manutenzione costante e accurata del vostro apparecchio è il metodo migliore per ottenere le massime prestazioni</w:t>
            </w:r>
          </w:p>
          <w:p w:rsidR="0081476B" w:rsidRPr="0081476B" w:rsidRDefault="0081476B" w:rsidP="0081476B">
            <w:pPr>
              <w:pStyle w:val="Paragrafoelenco"/>
              <w:numPr>
                <w:ilvl w:val="0"/>
                <w:numId w:val="3"/>
              </w:numPr>
              <w:rPr>
                <w:rFonts w:ascii="Times" w:hAnsi="Times"/>
                <w:sz w:val="20"/>
                <w:szCs w:val="20"/>
              </w:rPr>
            </w:pPr>
            <w:r>
              <w:t>Per evitare di azionare il prodotto involontariamente, verificate che l’interruttore di accensione/spegnimento sia in posizione OFF prima di collegare l’apparecchio alla presa.</w:t>
            </w:r>
          </w:p>
          <w:p w:rsidR="0081476B" w:rsidRPr="0081476B" w:rsidRDefault="0081476B" w:rsidP="0081476B">
            <w:pPr>
              <w:pStyle w:val="Paragrafoelenco"/>
              <w:numPr>
                <w:ilvl w:val="0"/>
                <w:numId w:val="3"/>
              </w:numPr>
              <w:rPr>
                <w:rFonts w:ascii="Times" w:hAnsi="Times"/>
                <w:sz w:val="20"/>
                <w:szCs w:val="20"/>
              </w:rPr>
            </w:pPr>
            <w:r>
              <w:t>Prima di iniziare a usarlo a</w:t>
            </w:r>
            <w:r>
              <w:t xml:space="preserve">ssicurarsi che la sega usata sia adeguata all’uso che se ne intende fare. Per esempio, per tagliare un pezzo di legno sarà necessaria una lama in legno, per un pezzo di plastica una lama di plastica, ecc. </w:t>
            </w:r>
          </w:p>
          <w:p w:rsidR="0081476B" w:rsidRPr="0081476B" w:rsidRDefault="0081476B" w:rsidP="0081476B">
            <w:pPr>
              <w:pStyle w:val="Paragrafoelenco"/>
              <w:numPr>
                <w:ilvl w:val="0"/>
                <w:numId w:val="3"/>
              </w:numPr>
              <w:rPr>
                <w:rFonts w:ascii="Times" w:hAnsi="Times"/>
                <w:sz w:val="20"/>
                <w:szCs w:val="20"/>
              </w:rPr>
            </w:pPr>
            <w:r>
              <w:t>Assicurarsi che la lama della sega sia saldamente inserita.</w:t>
            </w:r>
          </w:p>
          <w:p w:rsidR="0081476B" w:rsidRPr="0060671F" w:rsidRDefault="0081476B" w:rsidP="0081476B">
            <w:pPr>
              <w:pStyle w:val="Paragrafoelenco"/>
              <w:numPr>
                <w:ilvl w:val="0"/>
                <w:numId w:val="3"/>
              </w:numPr>
              <w:rPr>
                <w:rFonts w:ascii="Times" w:hAnsi="Times"/>
                <w:sz w:val="20"/>
                <w:szCs w:val="20"/>
              </w:rPr>
            </w:pPr>
            <w:r>
              <w:t>Assicurarsi che l’interruttore sia posizionato su off.</w:t>
            </w:r>
          </w:p>
        </w:tc>
      </w:tr>
      <w:tr w:rsidR="0081476B" w:rsidTr="00724C4E">
        <w:trPr>
          <w:trHeight w:val="1024"/>
        </w:trPr>
        <w:tc>
          <w:tcPr>
            <w:tcW w:w="2485"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sz w:val="20"/>
                <w:szCs w:val="20"/>
                <w:lang w:eastAsia="en-US"/>
              </w:rPr>
            </w:pPr>
            <w:r>
              <w:rPr>
                <w:noProof/>
                <w:lang w:eastAsia="en-US"/>
              </w:rPr>
              <w:drawing>
                <wp:anchor distT="0" distB="0" distL="114300" distR="114300" simplePos="0" relativeHeight="251660288" behindDoc="1" locked="0" layoutInCell="1" allowOverlap="1" wp14:anchorId="7D0DA507" wp14:editId="0F80F37C">
                  <wp:simplePos x="0" y="0"/>
                  <wp:positionH relativeFrom="column">
                    <wp:posOffset>0</wp:posOffset>
                  </wp:positionH>
                  <wp:positionV relativeFrom="paragraph">
                    <wp:posOffset>80010</wp:posOffset>
                  </wp:positionV>
                  <wp:extent cx="1313815" cy="467995"/>
                  <wp:effectExtent l="0" t="0" r="0" b="0"/>
                  <wp:wrapNone/>
                  <wp:docPr id="28" name="Immagine 28"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0423A3" w:rsidRPr="000423A3" w:rsidRDefault="000423A3" w:rsidP="000423A3">
            <w:pPr>
              <w:rPr>
                <w:sz w:val="20"/>
                <w:szCs w:val="20"/>
                <w:lang w:eastAsia="en-US"/>
              </w:rPr>
            </w:pPr>
          </w:p>
          <w:p w:rsidR="000423A3" w:rsidRPr="000423A3" w:rsidRDefault="000423A3" w:rsidP="000423A3">
            <w:pPr>
              <w:rPr>
                <w:sz w:val="20"/>
                <w:szCs w:val="20"/>
                <w:lang w:eastAsia="en-US"/>
              </w:rPr>
            </w:pPr>
          </w:p>
          <w:p w:rsidR="000423A3" w:rsidRDefault="000423A3" w:rsidP="000423A3">
            <w:pPr>
              <w:rPr>
                <w:sz w:val="20"/>
                <w:szCs w:val="20"/>
                <w:lang w:eastAsia="en-US"/>
              </w:rPr>
            </w:pPr>
          </w:p>
          <w:p w:rsidR="000423A3" w:rsidRDefault="000423A3" w:rsidP="000423A3">
            <w:pPr>
              <w:rPr>
                <w:sz w:val="20"/>
                <w:szCs w:val="20"/>
                <w:lang w:eastAsia="en-US"/>
              </w:rPr>
            </w:pPr>
          </w:p>
          <w:p w:rsidR="000423A3" w:rsidRPr="000423A3" w:rsidRDefault="000423A3" w:rsidP="000423A3">
            <w:pPr>
              <w:rPr>
                <w:sz w:val="20"/>
                <w:szCs w:val="20"/>
                <w:lang w:eastAsia="en-US"/>
              </w:rPr>
            </w:pPr>
            <w:r>
              <w:rPr>
                <w:noProof/>
              </w:rPr>
              <w:drawing>
                <wp:inline distT="0" distB="0" distL="0" distR="0" wp14:anchorId="5CA4D82C" wp14:editId="702F6F8F">
                  <wp:extent cx="1524000" cy="542925"/>
                  <wp:effectExtent l="0" t="0" r="0" b="9525"/>
                  <wp:docPr id="137" name="Immagine 8" descr="E1905K"/>
                  <wp:cNvGraphicFramePr/>
                  <a:graphic xmlns:a="http://schemas.openxmlformats.org/drawingml/2006/main">
                    <a:graphicData uri="http://schemas.openxmlformats.org/drawingml/2006/picture">
                      <pic:pic xmlns:pic="http://schemas.openxmlformats.org/drawingml/2006/picture">
                        <pic:nvPicPr>
                          <pic:cNvPr id="137" name="Immagine 8" descr="E1905K"/>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inline>
              </w:drawing>
            </w:r>
            <w:r>
              <w:rPr>
                <w:noProof/>
              </w:rPr>
              <w:drawing>
                <wp:inline distT="0" distB="0" distL="0" distR="0" wp14:anchorId="1CBB8C35" wp14:editId="7C4F8F95">
                  <wp:extent cx="1524000" cy="542925"/>
                  <wp:effectExtent l="0" t="0" r="0" b="9525"/>
                  <wp:docPr id="136" name="Immagine 7" descr="E1904K"/>
                  <wp:cNvGraphicFramePr/>
                  <a:graphic xmlns:a="http://schemas.openxmlformats.org/drawingml/2006/main">
                    <a:graphicData uri="http://schemas.openxmlformats.org/drawingml/2006/picture">
                      <pic:pic xmlns:pic="http://schemas.openxmlformats.org/drawingml/2006/picture">
                        <pic:nvPicPr>
                          <pic:cNvPr id="136" name="Immagine 7" descr="E1904K"/>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inline>
              </w:drawing>
            </w:r>
          </w:p>
        </w:tc>
      </w:tr>
      <w:tr w:rsidR="0081476B" w:rsidTr="00724C4E">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81476B" w:rsidRDefault="0081476B" w:rsidP="00724C4E">
            <w:pPr>
              <w:pStyle w:val="Paragrafoelenco"/>
              <w:numPr>
                <w:ilvl w:val="0"/>
                <w:numId w:val="1"/>
              </w:numPr>
              <w:spacing w:line="256" w:lineRule="auto"/>
              <w:rPr>
                <w:sz w:val="20"/>
                <w:szCs w:val="20"/>
                <w:lang w:eastAsia="en-US"/>
              </w:rPr>
            </w:pPr>
            <w:r>
              <w:rPr>
                <w:sz w:val="20"/>
                <w:szCs w:val="20"/>
                <w:lang w:eastAsia="en-US"/>
              </w:rPr>
              <w:t xml:space="preserve">Occhiali </w:t>
            </w:r>
          </w:p>
          <w:p w:rsidR="0081476B" w:rsidRDefault="0081476B" w:rsidP="00724C4E">
            <w:pPr>
              <w:pStyle w:val="Paragrafoelenco"/>
              <w:numPr>
                <w:ilvl w:val="0"/>
                <w:numId w:val="1"/>
              </w:numPr>
              <w:spacing w:line="256" w:lineRule="auto"/>
              <w:rPr>
                <w:sz w:val="20"/>
                <w:szCs w:val="20"/>
                <w:lang w:eastAsia="en-US"/>
              </w:rPr>
            </w:pPr>
            <w:r>
              <w:rPr>
                <w:sz w:val="20"/>
                <w:szCs w:val="20"/>
                <w:lang w:eastAsia="en-US"/>
              </w:rPr>
              <w:t xml:space="preserve">Maschera (nel caso si produca polvere) </w:t>
            </w:r>
          </w:p>
          <w:p w:rsidR="0081476B" w:rsidRDefault="0081476B" w:rsidP="00724C4E">
            <w:pPr>
              <w:pStyle w:val="Paragrafoelenco"/>
              <w:numPr>
                <w:ilvl w:val="0"/>
                <w:numId w:val="1"/>
              </w:numPr>
              <w:spacing w:line="256" w:lineRule="auto"/>
              <w:rPr>
                <w:sz w:val="20"/>
                <w:szCs w:val="20"/>
                <w:lang w:eastAsia="en-US"/>
              </w:rPr>
            </w:pPr>
            <w:r>
              <w:rPr>
                <w:sz w:val="20"/>
                <w:szCs w:val="20"/>
                <w:lang w:eastAsia="en-US"/>
              </w:rPr>
              <w:t>Indumenti di protezione EN 1149</w:t>
            </w:r>
          </w:p>
          <w:p w:rsidR="0081476B" w:rsidRDefault="0081476B" w:rsidP="00724C4E">
            <w:pPr>
              <w:pStyle w:val="Paragrafoelenco"/>
              <w:numPr>
                <w:ilvl w:val="0"/>
                <w:numId w:val="1"/>
              </w:numPr>
              <w:spacing w:line="256" w:lineRule="auto"/>
              <w:rPr>
                <w:sz w:val="20"/>
                <w:szCs w:val="20"/>
                <w:lang w:eastAsia="en-US"/>
              </w:rPr>
            </w:pPr>
            <w:r>
              <w:rPr>
                <w:sz w:val="20"/>
                <w:szCs w:val="20"/>
                <w:lang w:eastAsia="en-US"/>
              </w:rPr>
              <w:t>Guanti rischi meccanici</w:t>
            </w:r>
          </w:p>
          <w:p w:rsidR="0081476B" w:rsidRDefault="0081476B" w:rsidP="00724C4E">
            <w:pPr>
              <w:pStyle w:val="Paragrafoelenco"/>
              <w:numPr>
                <w:ilvl w:val="0"/>
                <w:numId w:val="2"/>
              </w:numPr>
              <w:spacing w:line="256" w:lineRule="auto"/>
              <w:rPr>
                <w:sz w:val="20"/>
                <w:szCs w:val="20"/>
                <w:lang w:eastAsia="en-US"/>
              </w:rPr>
            </w:pPr>
            <w:r>
              <w:rPr>
                <w:sz w:val="20"/>
                <w:szCs w:val="20"/>
                <w:lang w:eastAsia="en-US"/>
              </w:rPr>
              <w:t>Scarpe antinfortunistiche</w:t>
            </w:r>
          </w:p>
        </w:tc>
      </w:tr>
      <w:bookmarkEnd w:id="1"/>
    </w:tbl>
    <w:p w:rsidR="003611FF" w:rsidRDefault="003611FF"/>
    <w:sectPr w:rsidR="003611F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670B"/>
    <w:multiLevelType w:val="hybridMultilevel"/>
    <w:tmpl w:val="98CAF0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07B495B"/>
    <w:multiLevelType w:val="hybridMultilevel"/>
    <w:tmpl w:val="F956F1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5B8B2397"/>
    <w:multiLevelType w:val="hybridMultilevel"/>
    <w:tmpl w:val="2012DA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6B"/>
    <w:rsid w:val="000423A3"/>
    <w:rsid w:val="003611FF"/>
    <w:rsid w:val="008147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BEFC"/>
  <w15:chartTrackingRefBased/>
  <w15:docId w15:val="{07C26EFE-6ED3-4F22-8469-FF874E88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1476B"/>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81476B"/>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81476B"/>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81476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438</Words>
  <Characters>2502</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2019-06-24T13:20:00Z</dcterms:created>
  <dcterms:modified xsi:type="dcterms:W3CDTF">2019-06-24T15:39:00Z</dcterms:modified>
</cp:coreProperties>
</file>