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7626"/>
      </w:tblGrid>
      <w:tr w:rsidR="00C85AA0" w:rsidTr="00C85AA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85AA0" w:rsidRDefault="00C85AA0">
            <w:pPr>
              <w:pStyle w:val="Titolo3"/>
              <w:spacing w:line="252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EQUILIBRATRICE  </w:t>
            </w:r>
          </w:p>
        </w:tc>
      </w:tr>
      <w:tr w:rsidR="00C85AA0" w:rsidTr="00C85AA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C85AA0" w:rsidRDefault="00C85AA0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C85AA0" w:rsidTr="00C85AA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C85AA0" w:rsidTr="00C85AA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CONTATTO CON GLI ORGANI IN MOVIMENTO </w:t>
            </w:r>
          </w:p>
          <w:p w:rsidR="00C85AA0" w:rsidRDefault="00C85AA0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:rsidR="00C85AA0" w:rsidRDefault="00C85AA0">
            <w:pPr>
              <w:spacing w:line="252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C85AA0" w:rsidTr="00C85AA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>
              <w:t xml:space="preserve">L’equilibratrice deve essere usata esclusivamente da personale autorizzato e addestrato in modo adeguato.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>L’equilibratrice non deve essere utilizzata per usi diversi da quanto specificato nel manuale.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>L’equilibratrice non deve essere in alcun modo modificata, ad eccezione di modifiche approntate esplicitamente dal costruttore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>I dispositivi di sicurezza non devono essere rimossi.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Qualsiasi intervento sulla macchina deve essere eseguito solo da personale specializzato e autorizzato.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Evitare pulizia con forti getti di aria compressa.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Per la pulizia di pannelli o ripiani in plastica utilizzare alcool (EVITARE LIQUIDI CONTENENTI SOLVENTI).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Prima di avviare il ciclo di equilibratura accertarsi del corretto bloccaggio della ruota sulla flangia.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L'operatore all'equilibratrice non deve indossare abiti con parti svolazzanti;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Evitare che il personale non autorizzato si avvicini all'equilibratrice durante il ciclo.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Evitare di introdurre nei basamenti oggetti che pregiudicherebbero il corretto funzionamento dell'equilibratrice.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Dispositivi di sicurezza standard: Pulsante di STOP per arresto della ruota in condizioni di emergenza., Carter di protezione in materiale plastico di alta resistenza all'urto, ha forma e dimensione studiate per evitare il pericolo di proiezione di contrappesi in qualunque direzione esclusa quella verso terra.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 xml:space="preserve">Un </w:t>
            </w:r>
            <w:proofErr w:type="gramStart"/>
            <w:r>
              <w:t>micro interruttore</w:t>
            </w:r>
            <w:proofErr w:type="gramEnd"/>
            <w:r>
              <w:t xml:space="preserve"> impedisce l'avviamento della macchina se la protezione non è abbassata ed arresta il motore quando la protezione venisse comunque alzata.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t>La macchina non deve essere messa in servizio senza una regolare connessione di terra.</w:t>
            </w:r>
          </w:p>
        </w:tc>
      </w:tr>
      <w:tr w:rsidR="00C85AA0" w:rsidTr="00C85AA0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1458595</wp:posOffset>
                  </wp:positionH>
                  <wp:positionV relativeFrom="margin">
                    <wp:posOffset>68580</wp:posOffset>
                  </wp:positionV>
                  <wp:extent cx="1335405" cy="485775"/>
                  <wp:effectExtent l="0" t="0" r="0" b="9525"/>
                  <wp:wrapSquare wrapText="bothSides"/>
                  <wp:docPr id="2" name="Immag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405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80010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85AA0" w:rsidTr="00C85AA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5AA0" w:rsidRDefault="00C85AA0" w:rsidP="00B21749">
            <w:pPr>
              <w:pStyle w:val="Paragrafoelenco"/>
              <w:numPr>
                <w:ilvl w:val="0"/>
                <w:numId w:val="2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Occhiali 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2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Indumenti di protezione EN 1149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2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:rsidR="00C85AA0" w:rsidRDefault="00C85AA0" w:rsidP="00B21749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</w:tbl>
    <w:p w:rsidR="00C85AA0" w:rsidRDefault="00C85AA0">
      <w:bookmarkStart w:id="0" w:name="_GoBack"/>
      <w:bookmarkEnd w:id="0"/>
    </w:p>
    <w:sectPr w:rsidR="00C85A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B2397"/>
    <w:multiLevelType w:val="hybridMultilevel"/>
    <w:tmpl w:val="2012DA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A0"/>
    <w:rsid w:val="00C8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42355-1FFA-4149-80C7-18A753F2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85AA0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C85AA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C85AA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C85AA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0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2020-03-09T15:30:00Z</dcterms:created>
  <dcterms:modified xsi:type="dcterms:W3CDTF">2020-03-09T15:31:00Z</dcterms:modified>
</cp:coreProperties>
</file>