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4"/>
        <w:gridCol w:w="7218"/>
      </w:tblGrid>
      <w:tr w:rsidR="008F5020" w14:paraId="5646C685" w14:textId="77777777" w:rsidTr="00311826">
        <w:trPr>
          <w:trHeight w:val="450"/>
        </w:trPr>
        <w:tc>
          <w:tcPr>
            <w:tcW w:w="10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7E3F15" w14:textId="154F10CC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rStyle w:val="normaltextrun"/>
                <w:b/>
                <w:bCs/>
                <w:color w:val="0000FF"/>
              </w:rPr>
              <w:t>ATTREZZATURE: </w:t>
            </w:r>
            <w:r>
              <w:rPr>
                <w:rStyle w:val="normaltextrun"/>
                <w:b/>
                <w:bCs/>
                <w:color w:val="0000FF"/>
              </w:rPr>
              <w:t xml:space="preserve">GAS CROMATOGRAFO </w:t>
            </w:r>
            <w:r>
              <w:rPr>
                <w:rStyle w:val="normaltextrun"/>
                <w:b/>
                <w:bCs/>
                <w:color w:val="0000FF"/>
              </w:rPr>
              <w:t xml:space="preserve"> </w:t>
            </w:r>
          </w:p>
        </w:tc>
      </w:tr>
      <w:tr w:rsidR="008F5020" w14:paraId="33DC41FF" w14:textId="77777777" w:rsidTr="00311826">
        <w:trPr>
          <w:trHeight w:val="450"/>
        </w:trPr>
        <w:tc>
          <w:tcPr>
            <w:tcW w:w="24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43AB780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b/>
                <w:bCs/>
              </w:rPr>
              <w:t>Possibili cause</w:t>
            </w:r>
            <w:r>
              <w:rPr>
                <w:rStyle w:val="eop"/>
              </w:rPr>
              <w:t> </w:t>
            </w:r>
          </w:p>
        </w:tc>
        <w:tc>
          <w:tcPr>
            <w:tcW w:w="753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B9EABE1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b/>
                <w:bCs/>
                <w:sz w:val="20"/>
                <w:szCs w:val="20"/>
              </w:rPr>
              <w:t>Utilizzo improprio dell’attrezzatura</w:t>
            </w:r>
            <w:r>
              <w:rPr>
                <w:rStyle w:val="eop"/>
                <w:sz w:val="20"/>
                <w:szCs w:val="20"/>
              </w:rPr>
              <w:t> </w:t>
            </w:r>
          </w:p>
          <w:p w14:paraId="61348C4F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b/>
                <w:bCs/>
                <w:sz w:val="20"/>
                <w:szCs w:val="20"/>
              </w:rPr>
              <w:t>Manutenzione ordinaria dell’attrezzattura</w:t>
            </w:r>
            <w:r>
              <w:rPr>
                <w:rStyle w:val="eop"/>
                <w:sz w:val="20"/>
                <w:szCs w:val="20"/>
              </w:rPr>
              <w:t> </w:t>
            </w:r>
          </w:p>
          <w:p w14:paraId="37F7AE08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b/>
                <w:bCs/>
                <w:sz w:val="20"/>
                <w:szCs w:val="20"/>
              </w:rPr>
              <w:t>Rischio per incompetenza dell’operatore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8F5020" w14:paraId="44119F4E" w14:textId="77777777" w:rsidTr="00311826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DCAC5B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b/>
                <w:bCs/>
              </w:rPr>
              <w:t>Soggetti esposti</w:t>
            </w:r>
            <w:r>
              <w:rPr>
                <w:rStyle w:val="eop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3CCD4EE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>Lavoratori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8F5020" w14:paraId="1B7DD6D8" w14:textId="77777777" w:rsidTr="00311826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3193BF0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b/>
                <w:bCs/>
              </w:rPr>
              <w:t>Effetti del rischio</w:t>
            </w:r>
            <w:r>
              <w:rPr>
                <w:rStyle w:val="eop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1CC7048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rStyle w:val="scxw89482822"/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>ELETTRICO</w:t>
            </w:r>
            <w:r>
              <w:rPr>
                <w:rStyle w:val="scxw89482822"/>
                <w:sz w:val="20"/>
                <w:szCs w:val="20"/>
              </w:rPr>
              <w:t> </w:t>
            </w:r>
          </w:p>
          <w:p w14:paraId="44FC3B5A" w14:textId="104E9590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scxw89482822"/>
                <w:sz w:val="20"/>
                <w:szCs w:val="20"/>
              </w:rPr>
              <w:t>CHIMICO</w:t>
            </w:r>
          </w:p>
        </w:tc>
      </w:tr>
      <w:tr w:rsidR="008F5020" w14:paraId="74D18BFF" w14:textId="77777777" w:rsidTr="00311826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5A7EC91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b/>
                <w:bCs/>
              </w:rPr>
              <w:t>Procedure di lavoro</w:t>
            </w:r>
            <w:r>
              <w:rPr>
                <w:rStyle w:val="eop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7017DF" w14:textId="77777777" w:rsidR="008F5020" w:rsidRDefault="008F5020" w:rsidP="008F5020">
            <w:pPr>
              <w:pStyle w:val="Paragrafoelenco"/>
              <w:numPr>
                <w:ilvl w:val="0"/>
                <w:numId w:val="3"/>
              </w:numPr>
            </w:pPr>
            <w:r>
              <w:t>Quando si maneggiano/utilizzano sostanze chimiche per la preparazione o l’impiego nel GC, è necessario seguire tutte le procedure nazionali e locali per la sicurezza del laboratorio. Esse includono, tra l’altro, l’uso corretto delle attrezzature per la protezione personale e la sicurezza in laboratorio, delle fiale, delle sostanze chimiche, così come stabilito dalle procedure interne del laboratorio relative alla sicurezza nello svolgimento delle analisi e delle normali operazioni. L’inosservanza delle procedure di sicurezza del laboratorio potrebbe causare lesioni personali o la morte.</w:t>
            </w:r>
          </w:p>
          <w:p w14:paraId="49204B22" w14:textId="77777777" w:rsidR="008F5020" w:rsidRDefault="008F5020" w:rsidP="008F5020">
            <w:pPr>
              <w:pStyle w:val="Paragrafoelenco"/>
              <w:numPr>
                <w:ilvl w:val="0"/>
                <w:numId w:val="3"/>
              </w:numPr>
            </w:pPr>
            <w:r>
              <w:t xml:space="preserve">Se l’isolamento del cavo di alimentazione è danneggiato o usurato, sostituire il cavo. Consultare il personale dell’assistenza </w:t>
            </w:r>
          </w:p>
          <w:p w14:paraId="2272CCFE" w14:textId="77777777" w:rsidR="008F5020" w:rsidRDefault="008F5020" w:rsidP="008F5020">
            <w:pPr>
              <w:pStyle w:val="Paragrafoelenco"/>
              <w:numPr>
                <w:ilvl w:val="0"/>
                <w:numId w:val="3"/>
              </w:numPr>
            </w:pPr>
            <w:r>
              <w:t>Qualora si verifichi un improvviso calo di corrente nell’area in cui è installato il GC, se questo resta acceso, potrebbe prodursi una situazione di pericolo. Non utilizzare il GC con un gruppo di continuità</w:t>
            </w:r>
          </w:p>
          <w:p w14:paraId="5681BD7A" w14:textId="77777777" w:rsidR="008F5020" w:rsidRDefault="008F5020" w:rsidP="008F5020">
            <w:pPr>
              <w:pStyle w:val="Paragrafoelenco"/>
              <w:numPr>
                <w:ilvl w:val="0"/>
                <w:numId w:val="3"/>
              </w:numPr>
            </w:pPr>
            <w:r>
              <w:t>Molte parti del GC funzionano a temperature che possono causare gravi ustioni. Queste parti comprendono, ad esempio: iniettori</w:t>
            </w:r>
            <w:r>
              <w:t>,</w:t>
            </w:r>
            <w:r>
              <w:t xml:space="preserve"> forno e il suo contenuto</w:t>
            </w:r>
            <w:r>
              <w:t>,</w:t>
            </w:r>
            <w:r>
              <w:t xml:space="preserve"> rivelatori</w:t>
            </w:r>
            <w:r>
              <w:t xml:space="preserve">, </w:t>
            </w:r>
            <w:r>
              <w:t xml:space="preserve">dadi della colonna per il collegamento ad un iniettore o rivelatore </w:t>
            </w:r>
            <w:r>
              <w:t>e</w:t>
            </w:r>
            <w:r>
              <w:t xml:space="preserve"> comparto delle valvole</w:t>
            </w:r>
            <w:r>
              <w:t xml:space="preserve">. </w:t>
            </w:r>
            <w:r>
              <w:t>Lasciare raffreddare sempre le parti del GC a temperatura ambiente prima di operare su di esse</w:t>
            </w:r>
          </w:p>
          <w:p w14:paraId="3BC5AAEF" w14:textId="77777777" w:rsidR="008F5020" w:rsidRDefault="008F5020" w:rsidP="008F5020">
            <w:pPr>
              <w:pStyle w:val="Paragrafoelenco"/>
              <w:numPr>
                <w:ilvl w:val="0"/>
                <w:numId w:val="3"/>
              </w:numPr>
            </w:pPr>
            <w:r>
              <w:t>Prestare la massima attenzione quando si lavora dietro lo strumento. Durante i cicli di raffreddamento, dal GC fuoriescono emissioni calde in grado di provocare ustioni.</w:t>
            </w:r>
          </w:p>
          <w:p w14:paraId="2853F7C5" w14:textId="77777777" w:rsidR="008F5020" w:rsidRDefault="008F5020" w:rsidP="008F5020">
            <w:pPr>
              <w:pStyle w:val="Paragrafoelenco"/>
              <w:numPr>
                <w:ilvl w:val="0"/>
                <w:numId w:val="3"/>
              </w:numPr>
            </w:pPr>
            <w:r>
              <w:t>Il passaggio di oggetti attraverso la guarnizione dello sportello del forno può causare perdite termiche che creano pericolosi punti di calore in grado di produrre ustioni e di fondere l’attrezzatura</w:t>
            </w:r>
          </w:p>
          <w:p w14:paraId="32848D7A" w14:textId="77777777" w:rsidR="008F5020" w:rsidRDefault="008F5020" w:rsidP="008F5020">
            <w:pPr>
              <w:pStyle w:val="Paragrafoelenco"/>
              <w:numPr>
                <w:ilvl w:val="0"/>
                <w:numId w:val="3"/>
              </w:numPr>
            </w:pPr>
            <w:r>
              <w:t>Dopo un’interruzione di corrente, lo spettrometro di massa può avviarsi e iniziare la procedura di messa a vuoto automaticamente. Tale procedura non garantisce la rimozione completa dell’idrogeno dal sistema o l’eliminazione di qualsiasi rischio di esplosione.</w:t>
            </w:r>
          </w:p>
          <w:p w14:paraId="74F61F66" w14:textId="77777777" w:rsidR="008F5020" w:rsidRDefault="008F5020" w:rsidP="008F5020">
            <w:pPr>
              <w:pStyle w:val="Paragrafoelenco"/>
              <w:numPr>
                <w:ilvl w:val="0"/>
                <w:numId w:val="3"/>
              </w:numPr>
            </w:pPr>
            <w:r>
              <w:t>Eliminare dal laboratorio il maggior numero possibile di fonti di accensione (fiamme libere, dispositivi che possono provocare scintille, fonti di elettricità statica, ecc.).</w:t>
            </w:r>
          </w:p>
          <w:p w14:paraId="3D637DAA" w14:textId="77777777" w:rsidR="008F5020" w:rsidRDefault="008F5020" w:rsidP="008F5020">
            <w:pPr>
              <w:pStyle w:val="Paragrafoelenco"/>
              <w:numPr>
                <w:ilvl w:val="0"/>
                <w:numId w:val="3"/>
              </w:numPr>
            </w:pPr>
            <w:r>
              <w:t>Assicurare una corretta ventilazione del sistema</w:t>
            </w:r>
          </w:p>
          <w:p w14:paraId="73873439" w14:textId="6353749D" w:rsidR="008F5020" w:rsidRDefault="008F5020" w:rsidP="008F5020">
            <w:pPr>
              <w:pStyle w:val="Paragrafoelenco"/>
              <w:numPr>
                <w:ilvl w:val="0"/>
                <w:numId w:val="3"/>
              </w:numPr>
            </w:pPr>
            <w:r>
              <w:t>Per pulire l’unità, scollegare il cavo di alimentazione e utilizzare un panno pulito e inumidito.</w:t>
            </w:r>
          </w:p>
          <w:p w14:paraId="24EB6013" w14:textId="77777777" w:rsidR="008F5020" w:rsidRDefault="008F5020" w:rsidP="00311826">
            <w:pPr>
              <w:pStyle w:val="paragraph"/>
              <w:spacing w:before="0" w:beforeAutospacing="0" w:after="0" w:afterAutospacing="0"/>
              <w:ind w:left="1080"/>
              <w:jc w:val="both"/>
              <w:textAlignment w:val="baseline"/>
              <w:rPr>
                <w:sz w:val="20"/>
                <w:szCs w:val="20"/>
              </w:rPr>
            </w:pPr>
          </w:p>
        </w:tc>
      </w:tr>
      <w:tr w:rsidR="008F5020" w14:paraId="7254D152" w14:textId="77777777" w:rsidTr="00311826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5F4A056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b/>
                <w:bCs/>
              </w:rPr>
              <w:t>Segnaletica</w:t>
            </w:r>
            <w:r>
              <w:rPr>
                <w:rStyle w:val="eop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4B7CFE5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2F1DA6A" wp14:editId="735503A0">
                  <wp:extent cx="2033905" cy="726440"/>
                  <wp:effectExtent l="0" t="0" r="0" b="0"/>
                  <wp:docPr id="14" name="Immagine 14" descr="Immagine che contiene testo&#10;&#10;Descrizione generata automaticament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Immagine che contiene testo&#10;&#10;Descrizione generata automaticamente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90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</w:rPr>
              <w:t> </w:t>
            </w:r>
          </w:p>
          <w:p w14:paraId="0AAF5711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eop"/>
              </w:rPr>
              <w:lastRenderedPageBreak/>
              <w:t> </w:t>
            </w:r>
          </w:p>
          <w:p w14:paraId="03ABD69C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eop"/>
              </w:rPr>
              <w:t> </w:t>
            </w:r>
          </w:p>
        </w:tc>
      </w:tr>
      <w:tr w:rsidR="008F5020" w14:paraId="253E528E" w14:textId="77777777" w:rsidTr="00311826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EF2EE6" w14:textId="77777777" w:rsidR="008F5020" w:rsidRDefault="008F5020" w:rsidP="00311826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b/>
                <w:bCs/>
              </w:rPr>
              <w:lastRenderedPageBreak/>
              <w:t>DPI</w:t>
            </w:r>
            <w:r>
              <w:rPr>
                <w:rStyle w:val="eop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4E70DFE" w14:textId="13AD9463" w:rsidR="008F5020" w:rsidRDefault="008F5020" w:rsidP="008F502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080" w:firstLine="0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 xml:space="preserve">Guanti </w:t>
            </w:r>
          </w:p>
          <w:p w14:paraId="123AE01F" w14:textId="77777777" w:rsidR="008F5020" w:rsidRDefault="008F5020" w:rsidP="008F502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080" w:firstLine="0"/>
              <w:textAlignment w:val="baseline"/>
              <w:rPr>
                <w:rStyle w:val="eop"/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>Scarpa di sicurezza (EN ISO 20345)</w:t>
            </w:r>
            <w:r>
              <w:rPr>
                <w:rStyle w:val="eop"/>
                <w:sz w:val="20"/>
                <w:szCs w:val="20"/>
              </w:rPr>
              <w:t> </w:t>
            </w:r>
          </w:p>
          <w:p w14:paraId="63657E8D" w14:textId="47B4D12C" w:rsidR="008F5020" w:rsidRDefault="008F5020" w:rsidP="008F502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080" w:firstLine="0"/>
              <w:textAlignment w:val="baseline"/>
              <w:rPr>
                <w:rStyle w:val="eop"/>
                <w:sz w:val="20"/>
                <w:szCs w:val="20"/>
              </w:rPr>
            </w:pPr>
            <w:r>
              <w:rPr>
                <w:rStyle w:val="eop"/>
                <w:sz w:val="20"/>
                <w:szCs w:val="20"/>
              </w:rPr>
              <w:t>Occhiali EN166</w:t>
            </w:r>
          </w:p>
          <w:p w14:paraId="7EC958AD" w14:textId="39FBA320" w:rsidR="008F5020" w:rsidRDefault="008F5020" w:rsidP="008F502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080" w:firstLine="0"/>
              <w:textAlignment w:val="baseline"/>
              <w:rPr>
                <w:rStyle w:val="eop"/>
                <w:sz w:val="20"/>
                <w:szCs w:val="20"/>
              </w:rPr>
            </w:pPr>
            <w:r>
              <w:rPr>
                <w:rStyle w:val="eop"/>
                <w:sz w:val="20"/>
                <w:szCs w:val="20"/>
              </w:rPr>
              <w:t>Maschera EN 141</w:t>
            </w:r>
          </w:p>
          <w:p w14:paraId="2F1073FC" w14:textId="0A11AEA4" w:rsidR="008F5020" w:rsidRDefault="008F5020" w:rsidP="008F5020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sz w:val="20"/>
                <w:szCs w:val="20"/>
              </w:rPr>
            </w:pPr>
          </w:p>
        </w:tc>
      </w:tr>
    </w:tbl>
    <w:p w14:paraId="1DB34C13" w14:textId="05ADCC49" w:rsidR="00AF7953" w:rsidRDefault="00AF7953"/>
    <w:p w14:paraId="7782AED5" w14:textId="6B7A28EC" w:rsidR="008F5020" w:rsidRDefault="008F5020"/>
    <w:p w14:paraId="4880D634" w14:textId="11A65519" w:rsidR="008F5020" w:rsidRDefault="008F5020"/>
    <w:p w14:paraId="351B4925" w14:textId="72D1D898" w:rsidR="008F5020" w:rsidRDefault="008F5020"/>
    <w:p w14:paraId="776F3C59" w14:textId="016B095D" w:rsidR="008F5020" w:rsidRDefault="008F5020"/>
    <w:p w14:paraId="0252DEF9" w14:textId="4040B40D" w:rsidR="008F5020" w:rsidRDefault="008F5020"/>
    <w:p w14:paraId="0D48218A" w14:textId="233B68F3" w:rsidR="008F5020" w:rsidRDefault="008F5020"/>
    <w:p w14:paraId="3936067F" w14:textId="68A41644" w:rsidR="008F5020" w:rsidRDefault="008F5020"/>
    <w:p w14:paraId="79F730A0" w14:textId="1B1168FB" w:rsidR="008F5020" w:rsidRDefault="008F5020"/>
    <w:p w14:paraId="05F52C98" w14:textId="29BC7AAB" w:rsidR="008F5020" w:rsidRDefault="008F5020"/>
    <w:p w14:paraId="3EBAB57B" w14:textId="1BD114D7" w:rsidR="008F5020" w:rsidRDefault="008F5020"/>
    <w:p w14:paraId="3F1937D3" w14:textId="457F6A93" w:rsidR="008F5020" w:rsidRDefault="008F5020"/>
    <w:p w14:paraId="442869D6" w14:textId="5D7107D0" w:rsidR="008F5020" w:rsidRDefault="008F5020"/>
    <w:p w14:paraId="5445A4EE" w14:textId="0ED52DA8" w:rsidR="008F5020" w:rsidRDefault="008F5020"/>
    <w:p w14:paraId="23454ECA" w14:textId="34EC5D2C" w:rsidR="008F5020" w:rsidRDefault="008F5020"/>
    <w:p w14:paraId="6ABF26E4" w14:textId="77777777" w:rsidR="008F5020" w:rsidRDefault="008F5020"/>
    <w:sectPr w:rsidR="008F5020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4B6CF4"/>
    <w:multiLevelType w:val="multilevel"/>
    <w:tmpl w:val="820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BB0660"/>
    <w:multiLevelType w:val="hybridMultilevel"/>
    <w:tmpl w:val="9D2C0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84363B"/>
    <w:multiLevelType w:val="multilevel"/>
    <w:tmpl w:val="820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20"/>
    <w:rsid w:val="004A246C"/>
    <w:rsid w:val="008F5020"/>
    <w:rsid w:val="00AF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3434D"/>
  <w15:chartTrackingRefBased/>
  <w15:docId w15:val="{5EF52CDD-BFB3-AA42-93F7-26A6E229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F5020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F5020"/>
    <w:pPr>
      <w:ind w:left="720"/>
    </w:pPr>
  </w:style>
  <w:style w:type="paragraph" w:customStyle="1" w:styleId="paragraph">
    <w:name w:val="paragraph"/>
    <w:basedOn w:val="Normale"/>
    <w:rsid w:val="008F5020"/>
    <w:pPr>
      <w:spacing w:before="100" w:beforeAutospacing="1" w:after="100" w:afterAutospacing="1"/>
    </w:pPr>
  </w:style>
  <w:style w:type="character" w:customStyle="1" w:styleId="normaltextrun">
    <w:name w:val="normaltextrun"/>
    <w:basedOn w:val="Carpredefinitoparagrafo"/>
    <w:rsid w:val="008F5020"/>
  </w:style>
  <w:style w:type="character" w:customStyle="1" w:styleId="eop">
    <w:name w:val="eop"/>
    <w:basedOn w:val="Carpredefinitoparagrafo"/>
    <w:rsid w:val="008F5020"/>
  </w:style>
  <w:style w:type="character" w:customStyle="1" w:styleId="scxw89482822">
    <w:name w:val="scxw89482822"/>
    <w:basedOn w:val="Carpredefinitoparagrafo"/>
    <w:rsid w:val="008F5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8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2021-02-19T14:36:00Z</dcterms:created>
  <dcterms:modified xsi:type="dcterms:W3CDTF">2021-02-19T14:44:00Z</dcterms:modified>
</cp:coreProperties>
</file>