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5217" w:rsidRDefault="00A35217" w:rsidP="00A35217">
      <w:pPr>
        <w:suppressAutoHyphens w:val="0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35217" w:rsidTr="008A789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35217" w:rsidRDefault="00A35217" w:rsidP="008A789D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5299428"/>
            <w:bookmarkStart w:id="1" w:name="_GoBack"/>
            <w:r>
              <w:rPr>
                <w:lang w:eastAsia="en-US"/>
              </w:rPr>
              <w:t>ATTREZZATURE:</w:t>
            </w:r>
            <w:bookmarkEnd w:id="0"/>
            <w:r>
              <w:rPr>
                <w:lang w:eastAsia="en-US"/>
              </w:rPr>
              <w:t xml:space="preserve"> LAMPADA A INFRAROSSI PER CARROZZERIA</w:t>
            </w:r>
            <w:r>
              <w:rPr>
                <w:lang w:eastAsia="en-US"/>
              </w:rPr>
              <w:t xml:space="preserve"> </w:t>
            </w:r>
          </w:p>
        </w:tc>
      </w:tr>
      <w:tr w:rsidR="00A35217" w:rsidTr="008A789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35217" w:rsidRDefault="00A35217" w:rsidP="008A789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35217" w:rsidTr="008A789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35217" w:rsidRPr="00DB2F44" w:rsidTr="008A789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A35217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ELETTRICO</w:t>
            </w:r>
          </w:p>
          <w:p w:rsidR="00A35217" w:rsidRPr="00DB2F44" w:rsidRDefault="00A35217" w:rsidP="00A35217">
            <w:pPr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>RADIAZIONI OTTICHE ARTIFICIALI</w:t>
            </w:r>
          </w:p>
        </w:tc>
      </w:tr>
      <w:tr w:rsidR="00A35217" w:rsidRPr="00DB2F44" w:rsidTr="008A789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Interrompere il collegamento elettrico prima di effettuare qualsiasi operazione manutentiva o di spostamento.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Assicurarsi che per il tipo di lampada da Voi prescelta sia disponibile una corretta alimentazione elettrica.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Identificare i requisiti dell’alimentazione idonea, consultando il numero seriale posto sull’etichetta fissata all’unità. Se doveste avere dei dubbi a riguardo consultate comunque un elettricista.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Chiedere conferma ad un‘elettricista qualificato sull’idoneità del vostro sistema d’alimentazione elettrica e dei cavi d’alimentazione del vostro impianto.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Assicurarsi sempre che il pannello dei comandi abbia un corretto collegamento a terra (a massa).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Utilizzare sempre l’unità in un‘area adeguatamente ventilata.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>Mai utilizzare l’unità in ambienti</w:t>
            </w:r>
            <w:r w:rsidRPr="00A35217">
              <w:rPr>
                <w:sz w:val="20"/>
                <w:szCs w:val="20"/>
              </w:rPr>
              <w:t xml:space="preserve"> </w:t>
            </w:r>
            <w:r w:rsidRPr="00A35217">
              <w:rPr>
                <w:sz w:val="20"/>
                <w:szCs w:val="20"/>
              </w:rPr>
              <w:t xml:space="preserve">dove vi sia la presenza di prodotti infiammabili.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>Posizionare sempre l’unità in maniera corretta rispetto al supporto: a 500 mm dalla superficie da essiccare e perpendicolare ad essa.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Un errato posizionamento potrebbe causare la sovraesposizione della superficie di lavoro.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>Non tenere mai i cavi di alimentazione arrotolati durante l’utilizzo dell’impianto</w:t>
            </w:r>
            <w:r w:rsidRPr="00A35217">
              <w:rPr>
                <w:sz w:val="20"/>
                <w:szCs w:val="20"/>
              </w:rPr>
              <w:t xml:space="preserve"> </w:t>
            </w:r>
            <w:r w:rsidRPr="00A35217">
              <w:rPr>
                <w:sz w:val="20"/>
                <w:szCs w:val="20"/>
              </w:rPr>
              <w:t xml:space="preserve">in quanto ciò potrebbe causare fenomeni di induzione magnetica.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>Mai esporsi direttamente alle radiazioni emesse dalle lampade.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Mai fissare direttamente le lampade se queste sono accese. In caso di prolungata esposizione degli occhi alla luce diretta delle lampade, consultare un medico.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>Mai toccare le lampade quando queste non siano a temperatura ambiente. Mai maneggiarle a mani nude.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Questo potrebbe causare danni permanenti alle lampade stesse e produrre tracce di grasso difficilmente removibili in fase di manutenzione. A tale scopo risulta necessario effettuare la pulizia utilizzando un panno imbevuto di alcool etilico.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proofErr w:type="gramStart"/>
            <w:r w:rsidRPr="00A35217">
              <w:rPr>
                <w:sz w:val="20"/>
                <w:szCs w:val="20"/>
              </w:rPr>
              <w:t>E’</w:t>
            </w:r>
            <w:proofErr w:type="gramEnd"/>
            <w:r w:rsidRPr="00A35217">
              <w:rPr>
                <w:sz w:val="20"/>
                <w:szCs w:val="20"/>
              </w:rPr>
              <w:t xml:space="preserve"> normale che durante l’utilizzo le lampade tendano a surriscaldarsi. Prima di effettuare qualsiasi operazione manutentiva o di trasporto, assicurarsi che le lampade si siano raffreddate completamente: solo successivamente sarà possibile sganciarle dall’apposito supporto.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Evitare che le lampade o le parti elettroniche dell’impianto, entrino in contatto con sostanze liquide o acquose. 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>Quando posizionate il braccio estendibile, ponete particolare attenzione a non farvi imprigionare le mani o le braccia dallo stesso.</w:t>
            </w:r>
          </w:p>
          <w:p w:rsidR="00A35217" w:rsidRPr="00A35217" w:rsidRDefault="00A35217" w:rsidP="00A3521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A35217">
              <w:rPr>
                <w:sz w:val="20"/>
                <w:szCs w:val="20"/>
              </w:rPr>
              <w:t xml:space="preserve">Per assicurare stabilità all’impianto </w:t>
            </w:r>
            <w:r w:rsidRPr="00A35217">
              <w:rPr>
                <w:sz w:val="20"/>
                <w:szCs w:val="20"/>
              </w:rPr>
              <w:t xml:space="preserve">è </w:t>
            </w:r>
            <w:r w:rsidRPr="00A35217">
              <w:rPr>
                <w:sz w:val="20"/>
                <w:szCs w:val="20"/>
              </w:rPr>
              <w:t>necessario bloccare saldamente i dadi neri di chiusura prima dell'ac</w:t>
            </w:r>
            <w:r w:rsidRPr="00A35217">
              <w:rPr>
                <w:sz w:val="20"/>
                <w:szCs w:val="20"/>
              </w:rPr>
              <w:t>c</w:t>
            </w:r>
            <w:r w:rsidRPr="00A35217">
              <w:rPr>
                <w:sz w:val="20"/>
                <w:szCs w:val="20"/>
              </w:rPr>
              <w:t>ensione delle lampade.</w:t>
            </w:r>
          </w:p>
        </w:tc>
      </w:tr>
      <w:tr w:rsidR="00A35217" w:rsidRPr="00DB2F44" w:rsidTr="008A789D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217" w:rsidRPr="00DB2F44" w:rsidRDefault="00A35217" w:rsidP="008A789D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7136E7E" wp14:editId="3F82CD09">
                  <wp:simplePos x="0" y="0"/>
                  <wp:positionH relativeFrom="column">
                    <wp:posOffset>1362075</wp:posOffset>
                  </wp:positionH>
                  <wp:positionV relativeFrom="paragraph">
                    <wp:posOffset>8890</wp:posOffset>
                  </wp:positionV>
                  <wp:extent cx="1310640" cy="467995"/>
                  <wp:effectExtent l="0" t="0" r="3810" b="8255"/>
                  <wp:wrapNone/>
                  <wp:docPr id="19" name="Immagine 1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800B674" wp14:editId="6E642DFF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20" name="Immagine 20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35217" w:rsidRPr="00DB2F44" w:rsidRDefault="00A35217" w:rsidP="008A789D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  <w:p w:rsidR="00A35217" w:rsidRPr="00DB2F44" w:rsidRDefault="00A35217" w:rsidP="008A789D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A35217" w:rsidRPr="00DB2F44" w:rsidTr="008A789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Default="00A35217" w:rsidP="008A789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217" w:rsidRPr="00DB2F44" w:rsidRDefault="00A35217" w:rsidP="00A35217">
            <w:pPr>
              <w:pStyle w:val="Paragrafoelenco"/>
              <w:numPr>
                <w:ilvl w:val="0"/>
                <w:numId w:val="6"/>
              </w:numPr>
              <w:textAlignment w:val="auto"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Guanti per rischi meccanici (solo per le operazioni di movimentazione e non per quelle di taglio)</w:t>
            </w:r>
          </w:p>
          <w:p w:rsidR="00A35217" w:rsidRPr="00DB2F44" w:rsidRDefault="00A35217" w:rsidP="00A35217">
            <w:pPr>
              <w:pStyle w:val="Paragrafoelenco"/>
              <w:numPr>
                <w:ilvl w:val="0"/>
                <w:numId w:val="6"/>
              </w:numPr>
              <w:textAlignment w:val="auto"/>
              <w:rPr>
                <w:sz w:val="20"/>
                <w:szCs w:val="20"/>
              </w:rPr>
            </w:pPr>
            <w:proofErr w:type="spellStart"/>
            <w:r w:rsidRPr="00DB2F44">
              <w:rPr>
                <w:sz w:val="20"/>
                <w:szCs w:val="20"/>
              </w:rPr>
              <w:t>Otoprotettori</w:t>
            </w:r>
            <w:proofErr w:type="spellEnd"/>
          </w:p>
          <w:p w:rsidR="00A35217" w:rsidRPr="00DB2F44" w:rsidRDefault="00A35217" w:rsidP="00A35217">
            <w:pPr>
              <w:pStyle w:val="Paragrafoelenco"/>
              <w:numPr>
                <w:ilvl w:val="0"/>
                <w:numId w:val="6"/>
              </w:numPr>
              <w:textAlignment w:val="auto"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Maschera antipolvere</w:t>
            </w:r>
          </w:p>
          <w:p w:rsidR="00A35217" w:rsidRPr="00DB2F44" w:rsidRDefault="00A35217" w:rsidP="00A35217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Occhiali con ripari laterali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4442C"/>
    <w:multiLevelType w:val="hybridMultilevel"/>
    <w:tmpl w:val="3BE2C6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DFB"/>
    <w:multiLevelType w:val="hybridMultilevel"/>
    <w:tmpl w:val="9DF2FB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B4541"/>
    <w:multiLevelType w:val="hybridMultilevel"/>
    <w:tmpl w:val="4738B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E5AFA"/>
    <w:multiLevelType w:val="hybridMultilevel"/>
    <w:tmpl w:val="C93C7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C6273"/>
    <w:multiLevelType w:val="hybridMultilevel"/>
    <w:tmpl w:val="67BC3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779A5"/>
    <w:multiLevelType w:val="hybridMultilevel"/>
    <w:tmpl w:val="E9B8CE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17"/>
    <w:rsid w:val="004F4F70"/>
    <w:rsid w:val="00A3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56FC6"/>
  <w15:chartTrackingRefBased/>
  <w15:docId w15:val="{A02C0084-0582-4DA9-9A6E-BDFD5831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3521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3521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3521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3521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2019-07-29T14:22:00Z</dcterms:created>
  <dcterms:modified xsi:type="dcterms:W3CDTF">2019-07-29T14:32:00Z</dcterms:modified>
</cp:coreProperties>
</file>