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423"/>
      </w:tblGrid>
      <w:tr w:rsidR="005064F0" w:rsidTr="00890EBE">
        <w:trPr>
          <w:trHeight w:val="454"/>
        </w:trPr>
        <w:tc>
          <w:tcPr>
            <w:tcW w:w="9908" w:type="dxa"/>
            <w:gridSpan w:val="2"/>
            <w:tcBorders>
              <w:top w:val="single" w:sz="12" w:space="0" w:color="auto"/>
              <w:left w:val="single" w:sz="12" w:space="0" w:color="auto"/>
              <w:bottom w:val="single" w:sz="12" w:space="0" w:color="auto"/>
              <w:right w:val="single" w:sz="12" w:space="0" w:color="auto"/>
            </w:tcBorders>
            <w:vAlign w:val="center"/>
            <w:hideMark/>
          </w:tcPr>
          <w:p w:rsidR="005064F0" w:rsidRDefault="005064F0" w:rsidP="00890EBE">
            <w:pPr>
              <w:pStyle w:val="Titolo3"/>
              <w:spacing w:line="254" w:lineRule="auto"/>
              <w:rPr>
                <w:lang w:eastAsia="en-US"/>
              </w:rPr>
            </w:pPr>
            <w:bookmarkStart w:id="0" w:name="_Toc11235586"/>
            <w:bookmarkStart w:id="1" w:name="_Toc11315291"/>
            <w:bookmarkStart w:id="2" w:name="_GoBack" w:colFirst="0" w:colLast="0"/>
            <w:r>
              <w:rPr>
                <w:lang w:eastAsia="en-US"/>
              </w:rPr>
              <w:t xml:space="preserve">ATTREZZATURE: </w:t>
            </w:r>
            <w:bookmarkEnd w:id="0"/>
            <w:bookmarkEnd w:id="1"/>
            <w:r>
              <w:rPr>
                <w:lang w:eastAsia="en-US"/>
              </w:rPr>
              <w:t xml:space="preserve">MACCHINA PER LO YOGURT </w:t>
            </w:r>
            <w:r>
              <w:rPr>
                <w:lang w:eastAsia="en-US"/>
              </w:rPr>
              <w:t xml:space="preserve"> </w:t>
            </w:r>
          </w:p>
        </w:tc>
      </w:tr>
      <w:tr w:rsidR="005064F0" w:rsidTr="00890EBE">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5064F0" w:rsidRDefault="005064F0" w:rsidP="00890EBE">
            <w:pPr>
              <w:spacing w:line="254" w:lineRule="auto"/>
              <w:rPr>
                <w:b/>
                <w:lang w:eastAsia="en-US"/>
              </w:rPr>
            </w:pPr>
            <w:r>
              <w:rPr>
                <w:b/>
                <w:lang w:eastAsia="en-US"/>
              </w:rPr>
              <w:t>Possibili cause</w:t>
            </w:r>
          </w:p>
        </w:tc>
        <w:tc>
          <w:tcPr>
            <w:tcW w:w="7423" w:type="dxa"/>
            <w:tcBorders>
              <w:top w:val="single" w:sz="12" w:space="0" w:color="auto"/>
              <w:left w:val="single" w:sz="4" w:space="0" w:color="auto"/>
              <w:bottom w:val="single" w:sz="4" w:space="0" w:color="auto"/>
              <w:right w:val="single" w:sz="4" w:space="0" w:color="auto"/>
            </w:tcBorders>
            <w:vAlign w:val="center"/>
            <w:hideMark/>
          </w:tcPr>
          <w:p w:rsidR="005064F0" w:rsidRDefault="005064F0" w:rsidP="00890EBE">
            <w:pPr>
              <w:spacing w:line="254" w:lineRule="auto"/>
              <w:rPr>
                <w:b/>
                <w:sz w:val="20"/>
                <w:szCs w:val="20"/>
                <w:lang w:eastAsia="en-US"/>
              </w:rPr>
            </w:pPr>
            <w:r>
              <w:rPr>
                <w:b/>
                <w:sz w:val="20"/>
                <w:szCs w:val="20"/>
                <w:lang w:eastAsia="en-US"/>
              </w:rPr>
              <w:t>Utilizzo improprio dell’attrezzatura</w:t>
            </w:r>
          </w:p>
          <w:p w:rsidR="005064F0" w:rsidRDefault="005064F0" w:rsidP="00890EBE">
            <w:pPr>
              <w:spacing w:line="254" w:lineRule="auto"/>
              <w:rPr>
                <w:b/>
                <w:sz w:val="20"/>
                <w:szCs w:val="20"/>
                <w:lang w:eastAsia="en-US"/>
              </w:rPr>
            </w:pPr>
            <w:r>
              <w:rPr>
                <w:b/>
                <w:sz w:val="20"/>
                <w:szCs w:val="20"/>
                <w:lang w:eastAsia="en-US"/>
              </w:rPr>
              <w:t>Manutenzione ordinaria dell’attrezzattura</w:t>
            </w:r>
          </w:p>
          <w:p w:rsidR="005064F0" w:rsidRDefault="005064F0" w:rsidP="00890EBE">
            <w:pPr>
              <w:spacing w:line="254" w:lineRule="auto"/>
              <w:rPr>
                <w:b/>
                <w:sz w:val="20"/>
                <w:szCs w:val="20"/>
                <w:lang w:eastAsia="en-US"/>
              </w:rPr>
            </w:pPr>
            <w:r>
              <w:rPr>
                <w:b/>
                <w:sz w:val="20"/>
                <w:szCs w:val="20"/>
                <w:lang w:eastAsia="en-US"/>
              </w:rPr>
              <w:t>Rischio per incompetenza dell’operatore</w:t>
            </w:r>
          </w:p>
        </w:tc>
      </w:tr>
      <w:tr w:rsidR="005064F0" w:rsidTr="00890EBE">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5064F0" w:rsidRDefault="005064F0" w:rsidP="00890EBE">
            <w:pPr>
              <w:spacing w:line="254" w:lineRule="auto"/>
              <w:rPr>
                <w:b/>
                <w:lang w:eastAsia="en-US"/>
              </w:rPr>
            </w:pPr>
            <w:r>
              <w:rPr>
                <w:b/>
                <w:lang w:eastAsia="en-US"/>
              </w:rPr>
              <w:t>Soggetti esposti</w:t>
            </w:r>
          </w:p>
        </w:tc>
        <w:tc>
          <w:tcPr>
            <w:tcW w:w="7423" w:type="dxa"/>
            <w:tcBorders>
              <w:top w:val="single" w:sz="4" w:space="0" w:color="auto"/>
              <w:left w:val="single" w:sz="4" w:space="0" w:color="auto"/>
              <w:bottom w:val="single" w:sz="4" w:space="0" w:color="auto"/>
              <w:right w:val="single" w:sz="4" w:space="0" w:color="auto"/>
            </w:tcBorders>
            <w:vAlign w:val="center"/>
            <w:hideMark/>
          </w:tcPr>
          <w:p w:rsidR="005064F0" w:rsidRDefault="005064F0" w:rsidP="00890EBE">
            <w:pPr>
              <w:spacing w:line="254" w:lineRule="auto"/>
              <w:rPr>
                <w:bCs/>
                <w:iCs/>
                <w:sz w:val="20"/>
                <w:szCs w:val="18"/>
                <w:lang w:eastAsia="en-US"/>
              </w:rPr>
            </w:pPr>
            <w:r>
              <w:rPr>
                <w:bCs/>
                <w:iCs/>
                <w:sz w:val="20"/>
                <w:szCs w:val="18"/>
                <w:lang w:eastAsia="en-US"/>
              </w:rPr>
              <w:t>Lavoratori</w:t>
            </w:r>
          </w:p>
        </w:tc>
      </w:tr>
      <w:tr w:rsidR="005064F0" w:rsidTr="00890EBE">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5064F0" w:rsidRDefault="005064F0" w:rsidP="00890EBE">
            <w:pPr>
              <w:spacing w:line="254" w:lineRule="auto"/>
              <w:rPr>
                <w:b/>
                <w:lang w:eastAsia="en-US"/>
              </w:rPr>
            </w:pPr>
            <w:r>
              <w:rPr>
                <w:b/>
                <w:lang w:eastAsia="en-US"/>
              </w:rPr>
              <w:t>Effetti del rischio</w:t>
            </w:r>
          </w:p>
        </w:tc>
        <w:tc>
          <w:tcPr>
            <w:tcW w:w="7423" w:type="dxa"/>
            <w:tcBorders>
              <w:top w:val="single" w:sz="4" w:space="0" w:color="auto"/>
              <w:left w:val="single" w:sz="4" w:space="0" w:color="auto"/>
              <w:bottom w:val="single" w:sz="4" w:space="0" w:color="auto"/>
              <w:right w:val="single" w:sz="4" w:space="0" w:color="auto"/>
            </w:tcBorders>
            <w:vAlign w:val="center"/>
            <w:hideMark/>
          </w:tcPr>
          <w:p w:rsidR="005064F0" w:rsidRDefault="005064F0" w:rsidP="00890EBE">
            <w:pPr>
              <w:spacing w:line="254" w:lineRule="auto"/>
              <w:rPr>
                <w:caps/>
                <w:sz w:val="20"/>
                <w:szCs w:val="20"/>
                <w:lang w:eastAsia="en-US"/>
              </w:rPr>
            </w:pPr>
            <w:r>
              <w:rPr>
                <w:caps/>
                <w:sz w:val="20"/>
                <w:szCs w:val="20"/>
                <w:lang w:eastAsia="en-US"/>
              </w:rPr>
              <w:t>Elettrico (</w:t>
            </w:r>
            <w:r>
              <w:rPr>
                <w:sz w:val="20"/>
                <w:szCs w:val="20"/>
                <w:lang w:eastAsia="en-US"/>
              </w:rPr>
              <w:t>Utilizzo impianti ed attrezzature</w:t>
            </w:r>
            <w:r>
              <w:rPr>
                <w:caps/>
                <w:sz w:val="20"/>
                <w:szCs w:val="20"/>
                <w:lang w:eastAsia="en-US"/>
              </w:rPr>
              <w:t>)</w:t>
            </w:r>
          </w:p>
          <w:p w:rsidR="005064F0" w:rsidRDefault="005064F0" w:rsidP="00890EBE">
            <w:pPr>
              <w:spacing w:line="254" w:lineRule="auto"/>
              <w:rPr>
                <w:sz w:val="20"/>
                <w:szCs w:val="18"/>
                <w:lang w:eastAsia="en-US"/>
              </w:rPr>
            </w:pPr>
            <w:r>
              <w:rPr>
                <w:sz w:val="20"/>
                <w:szCs w:val="18"/>
                <w:lang w:eastAsia="en-US"/>
              </w:rPr>
              <w:t>LESIONI</w:t>
            </w:r>
          </w:p>
        </w:tc>
      </w:tr>
      <w:tr w:rsidR="005064F0" w:rsidRPr="00F05E10" w:rsidTr="00890EBE">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5064F0" w:rsidRDefault="005064F0" w:rsidP="00890EBE">
            <w:pPr>
              <w:spacing w:line="254" w:lineRule="auto"/>
              <w:rPr>
                <w:b/>
                <w:lang w:eastAsia="en-US"/>
              </w:rPr>
            </w:pPr>
            <w:r>
              <w:rPr>
                <w:b/>
                <w:lang w:eastAsia="en-US"/>
              </w:rPr>
              <w:t>Procedure di lavoro</w:t>
            </w:r>
          </w:p>
        </w:tc>
        <w:tc>
          <w:tcPr>
            <w:tcW w:w="7423" w:type="dxa"/>
            <w:tcBorders>
              <w:top w:val="single" w:sz="4" w:space="0" w:color="auto"/>
              <w:left w:val="single" w:sz="4" w:space="0" w:color="auto"/>
              <w:bottom w:val="single" w:sz="4" w:space="0" w:color="auto"/>
              <w:right w:val="single" w:sz="4" w:space="0" w:color="auto"/>
            </w:tcBorders>
            <w:vAlign w:val="center"/>
            <w:hideMark/>
          </w:tcPr>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Prima di collegare elettricamente il distributore, controllare che la tensione di rete sia quella corretta indicata in targa. Collegare il distributore a una rete monofase, servendosi di una presa completa di messa a terra secondo quanto stabilito dalle norme vigenti. Nel caso la disconnessione </w:t>
            </w:r>
            <w:proofErr w:type="gramStart"/>
            <w:r w:rsidRPr="005064F0">
              <w:rPr>
                <w:sz w:val="20"/>
                <w:szCs w:val="20"/>
              </w:rPr>
              <w:t>dell`apparecchio</w:t>
            </w:r>
            <w:proofErr w:type="gramEnd"/>
            <w:r w:rsidRPr="005064F0">
              <w:rPr>
                <w:sz w:val="20"/>
                <w:szCs w:val="20"/>
              </w:rPr>
              <w:t xml:space="preserve"> dalla rete elettrica sia effettuata con un interruttore unipolare, tale interruttore deve garantire una distanza di apertura dei contatti che consenta la disconnessione completa nelle condizioni della categoria di sovratensione III.</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Non usare prolunghe per collegare elettricamente l'apparecchio.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Se il cavo di alimentazione è danneggiato, esso deve essere sostituito dal costruttore o dal suo servizio assistenza tecnica o, comunque, da una persona con qualifica similare, in modo da prevenire ogni rischio.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L'apparecchio non è adatto per l'uso in ambienti esterni.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L'apparecchio deve essere installato in posizione verticale.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Prima di qualsiasi intervento di pulizia disconnettere sempre elettricamente il distributore estraendo la spina dalla presa.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Non smontare i pannelli per pulizia o manutenzione senza assicurarsi che il distributore sia scollegato elettricamente.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Per la pulizia, non utilizzare un getto d'acqua.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Questo apparecchio non può essere utilizzato da bambini.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Evitare che bambini giochino con l'apparecchio.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Questo apparecchio non può essere utilizzato da persone con capacità fisiche, sensoriali o mentali ridotte o prive di esperienza e conoscenza, a meno che queste non abbiano ricevuto assistenza e formazione per l'uso sicuro dell'apparecchio e comprendano i pericoli da esso derivanti.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L'accesso alla parte interna del distributore </w:t>
            </w:r>
            <w:proofErr w:type="gramStart"/>
            <w:r w:rsidRPr="005064F0">
              <w:rPr>
                <w:sz w:val="20"/>
                <w:szCs w:val="20"/>
              </w:rPr>
              <w:t>è limitata</w:t>
            </w:r>
            <w:proofErr w:type="gramEnd"/>
            <w:r w:rsidRPr="005064F0">
              <w:rPr>
                <w:sz w:val="20"/>
                <w:szCs w:val="20"/>
              </w:rPr>
              <w:t xml:space="preserve"> alle persone che hanno conoscenza ed esperienza pratica dell'apparecchio, specialmente quando si tratta di sicurezza e di igiene</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 xml:space="preserve">Utilizzare l'apparecchio esclusivamente per il raffreddamento dei liquidi indicati. </w:t>
            </w:r>
          </w:p>
          <w:p w:rsidR="005064F0" w:rsidRPr="005064F0" w:rsidRDefault="005064F0" w:rsidP="00890EBE">
            <w:pPr>
              <w:pStyle w:val="Paragrafoelenco"/>
              <w:numPr>
                <w:ilvl w:val="0"/>
                <w:numId w:val="2"/>
              </w:numPr>
              <w:suppressAutoHyphens w:val="0"/>
              <w:spacing w:line="254" w:lineRule="auto"/>
              <w:jc w:val="both"/>
              <w:rPr>
                <w:sz w:val="20"/>
                <w:szCs w:val="20"/>
                <w:lang w:eastAsia="en-US"/>
              </w:rPr>
            </w:pPr>
            <w:r w:rsidRPr="005064F0">
              <w:rPr>
                <w:sz w:val="20"/>
                <w:szCs w:val="20"/>
              </w:rPr>
              <w:t>Non introdurre sostanze o liquidi pericolosi o tossici all'interno dell'apparecchio.</w:t>
            </w:r>
          </w:p>
        </w:tc>
      </w:tr>
      <w:tr w:rsidR="005064F0" w:rsidTr="00890EBE">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5064F0" w:rsidRDefault="005064F0" w:rsidP="00890EBE">
            <w:pPr>
              <w:spacing w:line="254" w:lineRule="auto"/>
              <w:rPr>
                <w:b/>
                <w:lang w:eastAsia="en-US"/>
              </w:rPr>
            </w:pPr>
            <w:r>
              <w:rPr>
                <w:b/>
                <w:lang w:eastAsia="en-US"/>
              </w:rPr>
              <w:t>Segnaletica</w:t>
            </w:r>
          </w:p>
        </w:tc>
        <w:tc>
          <w:tcPr>
            <w:tcW w:w="7423" w:type="dxa"/>
            <w:tcBorders>
              <w:top w:val="single" w:sz="4" w:space="0" w:color="auto"/>
              <w:left w:val="single" w:sz="4" w:space="0" w:color="auto"/>
              <w:bottom w:val="single" w:sz="4" w:space="0" w:color="auto"/>
              <w:right w:val="single" w:sz="4" w:space="0" w:color="auto"/>
            </w:tcBorders>
            <w:vAlign w:val="center"/>
          </w:tcPr>
          <w:p w:rsidR="005064F0" w:rsidRDefault="005064F0" w:rsidP="00890EBE">
            <w:pPr>
              <w:spacing w:line="254" w:lineRule="auto"/>
              <w:rPr>
                <w:lang w:eastAsia="en-US"/>
              </w:rPr>
            </w:pPr>
            <w:r>
              <w:rPr>
                <w:noProof/>
                <w:lang w:eastAsia="en-US"/>
              </w:rPr>
              <w:drawing>
                <wp:anchor distT="0" distB="0" distL="114300" distR="114300" simplePos="0" relativeHeight="251659264" behindDoc="1" locked="0" layoutInCell="1" allowOverlap="1" wp14:anchorId="1F8B6236" wp14:editId="414382FD">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5064F0" w:rsidRDefault="005064F0" w:rsidP="00890EBE">
            <w:pPr>
              <w:spacing w:line="254" w:lineRule="auto"/>
              <w:rPr>
                <w:lang w:eastAsia="en-US"/>
              </w:rPr>
            </w:pPr>
          </w:p>
          <w:p w:rsidR="005064F0" w:rsidRDefault="005064F0" w:rsidP="00890EBE">
            <w:pPr>
              <w:spacing w:line="254" w:lineRule="auto"/>
              <w:rPr>
                <w:lang w:eastAsia="en-US"/>
              </w:rPr>
            </w:pPr>
          </w:p>
        </w:tc>
      </w:tr>
      <w:tr w:rsidR="005064F0" w:rsidTr="00890EBE">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5064F0" w:rsidRDefault="005064F0" w:rsidP="00890EBE">
            <w:pPr>
              <w:spacing w:line="254" w:lineRule="auto"/>
              <w:rPr>
                <w:b/>
                <w:lang w:eastAsia="en-US"/>
              </w:rPr>
            </w:pPr>
            <w:r>
              <w:rPr>
                <w:b/>
                <w:lang w:eastAsia="en-US"/>
              </w:rPr>
              <w:t>DPI</w:t>
            </w:r>
          </w:p>
        </w:tc>
        <w:tc>
          <w:tcPr>
            <w:tcW w:w="7423" w:type="dxa"/>
            <w:tcBorders>
              <w:top w:val="single" w:sz="4" w:space="0" w:color="auto"/>
              <w:left w:val="single" w:sz="4" w:space="0" w:color="auto"/>
              <w:bottom w:val="single" w:sz="4" w:space="0" w:color="auto"/>
              <w:right w:val="single" w:sz="4" w:space="0" w:color="auto"/>
            </w:tcBorders>
            <w:vAlign w:val="center"/>
            <w:hideMark/>
          </w:tcPr>
          <w:p w:rsidR="005064F0" w:rsidRDefault="005064F0" w:rsidP="00890EBE">
            <w:pPr>
              <w:pStyle w:val="Paragrafoelenco"/>
              <w:numPr>
                <w:ilvl w:val="0"/>
                <w:numId w:val="1"/>
              </w:numPr>
              <w:spacing w:line="254" w:lineRule="auto"/>
              <w:rPr>
                <w:noProof/>
                <w:sz w:val="20"/>
                <w:szCs w:val="20"/>
                <w:lang w:eastAsia="en-US"/>
              </w:rPr>
            </w:pPr>
            <w:r>
              <w:rPr>
                <w:noProof/>
                <w:sz w:val="20"/>
                <w:szCs w:val="20"/>
                <w:lang w:eastAsia="en-US"/>
              </w:rPr>
              <w:t>In caso di utilizzo dell’attrezzatura in modo appropriato, come previsto dal manuale d’uso e manutenzione, i DPI non sono necessari.</w:t>
            </w:r>
          </w:p>
        </w:tc>
      </w:tr>
      <w:bookmarkEnd w:id="2"/>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E6782"/>
    <w:multiLevelType w:val="hybridMultilevel"/>
    <w:tmpl w:val="524C93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4C4E119A"/>
    <w:multiLevelType w:val="hybridMultilevel"/>
    <w:tmpl w:val="E52EC42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4F0"/>
    <w:rsid w:val="004F4F70"/>
    <w:rsid w:val="005064F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AD1C"/>
  <w15:chartTrackingRefBased/>
  <w15:docId w15:val="{6008AC81-3B84-4F90-9132-2CB45891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064F0"/>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5064F0"/>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5064F0"/>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5064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365</Words>
  <Characters>2082</Characters>
  <Application>Microsoft Office Word</Application>
  <DocSecurity>0</DocSecurity>
  <Lines>17</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2019-07-10T11:11:00Z</dcterms:created>
  <dcterms:modified xsi:type="dcterms:W3CDTF">2019-07-10T11:13:00Z</dcterms:modified>
</cp:coreProperties>
</file>