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45A6" w:rsidRDefault="003845A6" w:rsidP="003845A6">
      <w:pPr>
        <w:suppressAutoHyphens w:val="0"/>
      </w:pPr>
      <w:bookmarkStart w:id="0" w:name="_Hlk14033967"/>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3845A6" w:rsidTr="00237B58">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3845A6" w:rsidRDefault="003845A6" w:rsidP="00237B58">
            <w:pPr>
              <w:pStyle w:val="Titolo3"/>
              <w:spacing w:line="254" w:lineRule="auto"/>
              <w:rPr>
                <w:lang w:eastAsia="en-US"/>
              </w:rPr>
            </w:pPr>
            <w:bookmarkStart w:id="1" w:name="_Toc11225715"/>
            <w:bookmarkStart w:id="2" w:name="_GoBack"/>
            <w:r>
              <w:rPr>
                <w:lang w:eastAsia="en-US"/>
              </w:rPr>
              <w:t xml:space="preserve">ATTREZZATURE: </w:t>
            </w:r>
            <w:bookmarkEnd w:id="1"/>
            <w:r>
              <w:rPr>
                <w:lang w:eastAsia="en-US"/>
              </w:rPr>
              <w:t xml:space="preserve">MARTELLO DEMOLITORE </w:t>
            </w:r>
          </w:p>
        </w:tc>
      </w:tr>
      <w:tr w:rsidR="003845A6" w:rsidTr="00237B58">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3845A6" w:rsidRDefault="003845A6" w:rsidP="00237B58">
            <w:pPr>
              <w:spacing w:line="254"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3845A6" w:rsidRDefault="003845A6" w:rsidP="00237B58">
            <w:pPr>
              <w:spacing w:line="254" w:lineRule="auto"/>
              <w:rPr>
                <w:b/>
                <w:sz w:val="20"/>
                <w:szCs w:val="20"/>
                <w:lang w:eastAsia="en-US"/>
              </w:rPr>
            </w:pPr>
            <w:r>
              <w:rPr>
                <w:b/>
                <w:sz w:val="20"/>
                <w:szCs w:val="20"/>
                <w:lang w:eastAsia="en-US"/>
              </w:rPr>
              <w:t>Utilizzo improprio dell’attrezzatura.</w:t>
            </w:r>
          </w:p>
          <w:p w:rsidR="003845A6" w:rsidRDefault="003845A6" w:rsidP="00237B58">
            <w:pPr>
              <w:spacing w:line="254" w:lineRule="auto"/>
              <w:rPr>
                <w:b/>
                <w:sz w:val="20"/>
                <w:szCs w:val="20"/>
                <w:lang w:eastAsia="en-US"/>
              </w:rPr>
            </w:pPr>
            <w:r>
              <w:rPr>
                <w:b/>
                <w:sz w:val="20"/>
                <w:szCs w:val="20"/>
                <w:lang w:eastAsia="en-US"/>
              </w:rPr>
              <w:t>Rischio per incompetenza dell’operatore.</w:t>
            </w:r>
          </w:p>
        </w:tc>
      </w:tr>
      <w:tr w:rsidR="003845A6" w:rsidTr="00237B58">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3845A6" w:rsidRDefault="003845A6" w:rsidP="00237B58">
            <w:pPr>
              <w:spacing w:line="254"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3845A6" w:rsidRDefault="003845A6" w:rsidP="00237B58">
            <w:pPr>
              <w:spacing w:line="254" w:lineRule="auto"/>
              <w:rPr>
                <w:bCs/>
                <w:iCs/>
                <w:sz w:val="20"/>
                <w:szCs w:val="18"/>
                <w:lang w:eastAsia="en-US"/>
              </w:rPr>
            </w:pPr>
            <w:r>
              <w:rPr>
                <w:bCs/>
                <w:iCs/>
                <w:sz w:val="20"/>
                <w:szCs w:val="18"/>
                <w:lang w:eastAsia="en-US"/>
              </w:rPr>
              <w:t>Lavoratori</w:t>
            </w:r>
          </w:p>
        </w:tc>
      </w:tr>
      <w:tr w:rsidR="003845A6" w:rsidTr="00237B58">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3845A6" w:rsidRDefault="003845A6" w:rsidP="00237B58">
            <w:pPr>
              <w:spacing w:line="254"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3845A6" w:rsidRDefault="003845A6" w:rsidP="00237B58">
            <w:pPr>
              <w:spacing w:line="256" w:lineRule="auto"/>
              <w:rPr>
                <w:bCs/>
                <w:sz w:val="20"/>
                <w:szCs w:val="20"/>
                <w:lang w:eastAsia="en-US"/>
              </w:rPr>
            </w:pPr>
            <w:r>
              <w:rPr>
                <w:bCs/>
                <w:sz w:val="20"/>
                <w:szCs w:val="20"/>
                <w:lang w:eastAsia="en-US"/>
              </w:rPr>
              <w:t xml:space="preserve">INALAZIONI DI POLVERI E FIBRE </w:t>
            </w:r>
          </w:p>
          <w:p w:rsidR="003845A6" w:rsidRDefault="003845A6" w:rsidP="00237B58">
            <w:pPr>
              <w:spacing w:line="256" w:lineRule="auto"/>
              <w:rPr>
                <w:bCs/>
                <w:sz w:val="20"/>
                <w:szCs w:val="20"/>
                <w:lang w:eastAsia="en-US"/>
              </w:rPr>
            </w:pPr>
            <w:r>
              <w:rPr>
                <w:bCs/>
                <w:sz w:val="20"/>
                <w:szCs w:val="20"/>
                <w:lang w:eastAsia="en-US"/>
              </w:rPr>
              <w:t>PUNTURE, TAGLI, ABRASIONI</w:t>
            </w:r>
          </w:p>
          <w:p w:rsidR="003845A6" w:rsidRDefault="003845A6" w:rsidP="00237B58">
            <w:pPr>
              <w:spacing w:line="256" w:lineRule="auto"/>
              <w:rPr>
                <w:bCs/>
                <w:sz w:val="20"/>
                <w:szCs w:val="20"/>
                <w:lang w:eastAsia="en-US"/>
              </w:rPr>
            </w:pPr>
            <w:r>
              <w:rPr>
                <w:bCs/>
                <w:sz w:val="20"/>
                <w:szCs w:val="20"/>
                <w:lang w:eastAsia="en-US"/>
              </w:rPr>
              <w:t xml:space="preserve">URTI, COLPI, IMPATTI E COMPRESSIONI </w:t>
            </w:r>
          </w:p>
          <w:p w:rsidR="003845A6" w:rsidRDefault="003845A6" w:rsidP="00237B58">
            <w:pPr>
              <w:spacing w:line="256" w:lineRule="auto"/>
              <w:rPr>
                <w:bCs/>
                <w:sz w:val="20"/>
                <w:szCs w:val="20"/>
                <w:lang w:eastAsia="en-US"/>
              </w:rPr>
            </w:pPr>
            <w:r>
              <w:rPr>
                <w:bCs/>
                <w:sz w:val="20"/>
                <w:szCs w:val="20"/>
                <w:lang w:eastAsia="en-US"/>
              </w:rPr>
              <w:t xml:space="preserve">RUMORE </w:t>
            </w:r>
          </w:p>
          <w:p w:rsidR="003845A6" w:rsidRDefault="003845A6" w:rsidP="00237B58">
            <w:pPr>
              <w:spacing w:line="256" w:lineRule="auto"/>
              <w:rPr>
                <w:bCs/>
                <w:sz w:val="20"/>
                <w:szCs w:val="20"/>
                <w:lang w:eastAsia="en-US"/>
              </w:rPr>
            </w:pPr>
            <w:r>
              <w:rPr>
                <w:bCs/>
                <w:sz w:val="20"/>
                <w:szCs w:val="20"/>
                <w:lang w:eastAsia="en-US"/>
              </w:rPr>
              <w:t>ELETTROCUZIONE</w:t>
            </w:r>
          </w:p>
          <w:p w:rsidR="003845A6" w:rsidRDefault="003845A6" w:rsidP="00237B58">
            <w:pPr>
              <w:spacing w:line="254" w:lineRule="auto"/>
              <w:rPr>
                <w:sz w:val="20"/>
                <w:szCs w:val="18"/>
                <w:lang w:eastAsia="en-US"/>
              </w:rPr>
            </w:pPr>
            <w:r>
              <w:rPr>
                <w:bCs/>
                <w:sz w:val="20"/>
                <w:szCs w:val="20"/>
                <w:lang w:eastAsia="en-US"/>
              </w:rPr>
              <w:t>PROIEZIONE DI SCHEGGE</w:t>
            </w:r>
          </w:p>
        </w:tc>
      </w:tr>
      <w:tr w:rsidR="003845A6" w:rsidTr="00237B58">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3845A6" w:rsidRDefault="003845A6" w:rsidP="00237B58">
            <w:pPr>
              <w:spacing w:line="254"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tcPr>
          <w:p w:rsidR="003845A6" w:rsidRPr="003845A6" w:rsidRDefault="003845A6" w:rsidP="003845A6">
            <w:pPr>
              <w:pStyle w:val="Paragrafoelenco"/>
              <w:numPr>
                <w:ilvl w:val="0"/>
                <w:numId w:val="2"/>
              </w:numPr>
              <w:spacing w:line="256" w:lineRule="auto"/>
              <w:jc w:val="both"/>
              <w:textAlignment w:val="auto"/>
              <w:rPr>
                <w:sz w:val="20"/>
                <w:szCs w:val="20"/>
                <w:lang w:eastAsia="en-US"/>
              </w:rPr>
            </w:pPr>
            <w:r w:rsidRPr="003845A6">
              <w:rPr>
                <w:sz w:val="20"/>
                <w:szCs w:val="20"/>
              </w:rPr>
              <w:t>Mantenere pulita e ben illuminata la zona di lavoro.</w:t>
            </w:r>
          </w:p>
          <w:p w:rsidR="003845A6" w:rsidRPr="003845A6" w:rsidRDefault="003845A6" w:rsidP="003845A6">
            <w:pPr>
              <w:pStyle w:val="Paragrafoelenco"/>
              <w:numPr>
                <w:ilvl w:val="0"/>
                <w:numId w:val="2"/>
              </w:numPr>
              <w:spacing w:line="256" w:lineRule="auto"/>
              <w:jc w:val="both"/>
              <w:textAlignment w:val="auto"/>
              <w:rPr>
                <w:sz w:val="20"/>
                <w:szCs w:val="20"/>
                <w:lang w:eastAsia="en-US"/>
              </w:rPr>
            </w:pPr>
            <w:r w:rsidRPr="003845A6">
              <w:rPr>
                <w:sz w:val="20"/>
                <w:szCs w:val="20"/>
              </w:rPr>
              <w:t xml:space="preserve">Il disordine o le zone di lavoro non illuminate possono essere fonte di incidenti. </w:t>
            </w:r>
          </w:p>
          <w:p w:rsidR="003845A6" w:rsidRPr="003845A6" w:rsidRDefault="003845A6" w:rsidP="003845A6">
            <w:pPr>
              <w:pStyle w:val="Paragrafoelenco"/>
              <w:numPr>
                <w:ilvl w:val="0"/>
                <w:numId w:val="2"/>
              </w:numPr>
              <w:spacing w:line="256" w:lineRule="auto"/>
              <w:jc w:val="both"/>
              <w:textAlignment w:val="auto"/>
              <w:rPr>
                <w:sz w:val="20"/>
                <w:szCs w:val="20"/>
                <w:lang w:eastAsia="en-US"/>
              </w:rPr>
            </w:pPr>
            <w:r w:rsidRPr="003845A6">
              <w:rPr>
                <w:sz w:val="20"/>
                <w:szCs w:val="20"/>
              </w:rPr>
              <w:t>Evitare di lavorare con l'attrezzo elettrico in ambienti soggetti a rischio di esplosioni nei quali si trovino liquidi, gas o polveri infiammabili.</w:t>
            </w:r>
          </w:p>
          <w:p w:rsidR="003845A6" w:rsidRPr="003845A6" w:rsidRDefault="003845A6" w:rsidP="003845A6">
            <w:pPr>
              <w:pStyle w:val="Paragrafoelenco"/>
              <w:numPr>
                <w:ilvl w:val="0"/>
                <w:numId w:val="2"/>
              </w:numPr>
              <w:spacing w:line="256" w:lineRule="auto"/>
              <w:jc w:val="both"/>
              <w:textAlignment w:val="auto"/>
              <w:rPr>
                <w:sz w:val="20"/>
                <w:szCs w:val="20"/>
                <w:lang w:eastAsia="en-US"/>
              </w:rPr>
            </w:pPr>
            <w:r w:rsidRPr="003845A6">
              <w:rPr>
                <w:sz w:val="20"/>
                <w:szCs w:val="20"/>
              </w:rPr>
              <w:t xml:space="preserve">Gli attrezzi elettrici producono scintille che possono far infiammare la polvere o i gas. </w:t>
            </w:r>
          </w:p>
          <w:p w:rsidR="003845A6" w:rsidRPr="003845A6" w:rsidRDefault="003845A6" w:rsidP="003845A6">
            <w:pPr>
              <w:pStyle w:val="Paragrafoelenco"/>
              <w:numPr>
                <w:ilvl w:val="0"/>
                <w:numId w:val="2"/>
              </w:numPr>
              <w:spacing w:line="256" w:lineRule="auto"/>
              <w:jc w:val="both"/>
              <w:textAlignment w:val="auto"/>
              <w:rPr>
                <w:sz w:val="20"/>
                <w:szCs w:val="20"/>
                <w:lang w:eastAsia="en-US"/>
              </w:rPr>
            </w:pPr>
            <w:r w:rsidRPr="003845A6">
              <w:rPr>
                <w:sz w:val="20"/>
                <w:szCs w:val="20"/>
              </w:rPr>
              <w:t>Tenere lontani i bambini e le altre persone durante l'impiego dell'attrezzo elettrico.</w:t>
            </w:r>
            <w:r w:rsidRPr="003845A6">
              <w:rPr>
                <w:sz w:val="20"/>
                <w:szCs w:val="20"/>
              </w:rPr>
              <w:t xml:space="preserve"> </w:t>
            </w:r>
            <w:r w:rsidRPr="003845A6">
              <w:rPr>
                <w:sz w:val="20"/>
                <w:szCs w:val="20"/>
              </w:rPr>
              <w:t>Eventuali distrazioni potranno comportare la perdita del controllo sull'attrezzo.</w:t>
            </w:r>
          </w:p>
          <w:p w:rsidR="003845A6" w:rsidRPr="003845A6" w:rsidRDefault="003845A6" w:rsidP="003845A6">
            <w:pPr>
              <w:pStyle w:val="Paragrafoelenco"/>
              <w:numPr>
                <w:ilvl w:val="0"/>
                <w:numId w:val="2"/>
              </w:numPr>
              <w:spacing w:line="256" w:lineRule="auto"/>
              <w:jc w:val="both"/>
              <w:textAlignment w:val="auto"/>
              <w:rPr>
                <w:sz w:val="20"/>
                <w:szCs w:val="20"/>
                <w:lang w:eastAsia="en-US"/>
              </w:rPr>
            </w:pPr>
            <w:r w:rsidRPr="003845A6">
              <w:rPr>
                <w:sz w:val="20"/>
                <w:szCs w:val="20"/>
              </w:rPr>
              <w:t>La spina di collegamento dell'attrezzo elettrico deve essere adatta alla presa. Evitare assolutamente di apportare modifiche alla spina. Non utilizzare adattatori con gli attrezzi elettrici dotati di messa a terra di protezione.</w:t>
            </w:r>
            <w:r w:rsidRPr="003845A6">
              <w:rPr>
                <w:sz w:val="20"/>
                <w:szCs w:val="20"/>
              </w:rPr>
              <w:t xml:space="preserve"> </w:t>
            </w:r>
            <w:r w:rsidRPr="003845A6">
              <w:rPr>
                <w:sz w:val="20"/>
                <w:szCs w:val="20"/>
              </w:rPr>
              <w:t xml:space="preserve">Le spine non modificate e le prese adatte allo scopo riducono il rischio di scosse elettriche. </w:t>
            </w:r>
          </w:p>
          <w:p w:rsidR="003845A6" w:rsidRPr="003845A6" w:rsidRDefault="003845A6" w:rsidP="003845A6">
            <w:pPr>
              <w:pStyle w:val="Paragrafoelenco"/>
              <w:numPr>
                <w:ilvl w:val="0"/>
                <w:numId w:val="2"/>
              </w:numPr>
              <w:spacing w:line="256" w:lineRule="auto"/>
              <w:jc w:val="both"/>
              <w:textAlignment w:val="auto"/>
              <w:rPr>
                <w:sz w:val="20"/>
                <w:szCs w:val="20"/>
                <w:lang w:eastAsia="en-US"/>
              </w:rPr>
            </w:pPr>
            <w:r w:rsidRPr="003845A6">
              <w:rPr>
                <w:sz w:val="20"/>
                <w:szCs w:val="20"/>
              </w:rPr>
              <w:t>Evitare il contatto del corpo con superfici con messa a terra, come tubi, radiatori, fornelli e frigoriferi.</w:t>
            </w:r>
            <w:r w:rsidRPr="003845A6">
              <w:rPr>
                <w:sz w:val="20"/>
                <w:szCs w:val="20"/>
              </w:rPr>
              <w:t xml:space="preserve"> </w:t>
            </w:r>
            <w:r w:rsidRPr="003845A6">
              <w:rPr>
                <w:sz w:val="20"/>
                <w:szCs w:val="20"/>
              </w:rPr>
              <w:t>Sussiste un maggior rischio di scosse elettriche nel momento in cui il corpo è collegato a terra.</w:t>
            </w:r>
          </w:p>
          <w:p w:rsidR="003845A6" w:rsidRPr="003845A6" w:rsidRDefault="003845A6" w:rsidP="003845A6">
            <w:pPr>
              <w:pStyle w:val="Paragrafoelenco"/>
              <w:numPr>
                <w:ilvl w:val="0"/>
                <w:numId w:val="2"/>
              </w:numPr>
              <w:spacing w:line="256" w:lineRule="auto"/>
              <w:jc w:val="both"/>
              <w:textAlignment w:val="auto"/>
              <w:rPr>
                <w:sz w:val="20"/>
                <w:szCs w:val="20"/>
                <w:lang w:eastAsia="en-US"/>
              </w:rPr>
            </w:pPr>
            <w:r w:rsidRPr="003845A6">
              <w:rPr>
                <w:sz w:val="20"/>
                <w:szCs w:val="20"/>
              </w:rPr>
              <w:t>Tenere gli attrezzi elettrici al riparo dalla pioggia o dall'umidità.</w:t>
            </w:r>
            <w:r w:rsidRPr="003845A6">
              <w:rPr>
                <w:sz w:val="20"/>
                <w:szCs w:val="20"/>
              </w:rPr>
              <w:t xml:space="preserve"> </w:t>
            </w:r>
            <w:r w:rsidRPr="003845A6">
              <w:rPr>
                <w:sz w:val="20"/>
                <w:szCs w:val="20"/>
              </w:rPr>
              <w:t xml:space="preserve">L'eventuale infiltrazione di acqua in un attrezzo elettrico aumenta il rischio di scosse elettriche. </w:t>
            </w:r>
          </w:p>
          <w:p w:rsidR="003845A6" w:rsidRPr="003845A6" w:rsidRDefault="003845A6" w:rsidP="003845A6">
            <w:pPr>
              <w:pStyle w:val="Paragrafoelenco"/>
              <w:numPr>
                <w:ilvl w:val="0"/>
                <w:numId w:val="2"/>
              </w:numPr>
              <w:spacing w:line="256" w:lineRule="auto"/>
              <w:jc w:val="both"/>
              <w:textAlignment w:val="auto"/>
              <w:rPr>
                <w:sz w:val="20"/>
                <w:szCs w:val="20"/>
                <w:lang w:eastAsia="en-US"/>
              </w:rPr>
            </w:pPr>
            <w:r w:rsidRPr="003845A6">
              <w:rPr>
                <w:sz w:val="20"/>
                <w:szCs w:val="20"/>
              </w:rPr>
              <w:t>Non usare il cavo per scopi diversi da quelli previsti, per trasportare o appendere l'attrezzo elettrico, né per estrarre la spina dalla presa di corrente. Tenere il cavo al riparo da fonti di calore, dall'olio, dagli spigoli o da parti dell'attrezzo in movimento.</w:t>
            </w:r>
            <w:r w:rsidRPr="003845A6">
              <w:rPr>
                <w:sz w:val="20"/>
                <w:szCs w:val="20"/>
              </w:rPr>
              <w:t xml:space="preserve"> </w:t>
            </w:r>
            <w:r w:rsidRPr="003845A6">
              <w:rPr>
                <w:sz w:val="20"/>
                <w:szCs w:val="20"/>
              </w:rPr>
              <w:t xml:space="preserve">I cavi danneggiati o aggrovigliati aumentano il rischio di scosse elettriche. </w:t>
            </w:r>
          </w:p>
          <w:p w:rsidR="003845A6" w:rsidRPr="003845A6" w:rsidRDefault="003845A6" w:rsidP="003845A6">
            <w:pPr>
              <w:pStyle w:val="Paragrafoelenco"/>
              <w:numPr>
                <w:ilvl w:val="0"/>
                <w:numId w:val="2"/>
              </w:numPr>
              <w:spacing w:line="256" w:lineRule="auto"/>
              <w:jc w:val="both"/>
              <w:textAlignment w:val="auto"/>
              <w:rPr>
                <w:sz w:val="20"/>
                <w:szCs w:val="20"/>
                <w:lang w:eastAsia="en-US"/>
              </w:rPr>
            </w:pPr>
            <w:r w:rsidRPr="003845A6">
              <w:rPr>
                <w:sz w:val="20"/>
                <w:szCs w:val="20"/>
              </w:rPr>
              <w:t>Qualora si voglia usare l'attrezzo elettrico all'aperto, impiegare esclusivamente cavi di prolunga adatti anche per l'impiego all'esterno.</w:t>
            </w:r>
            <w:r w:rsidRPr="003845A6">
              <w:rPr>
                <w:sz w:val="20"/>
                <w:szCs w:val="20"/>
              </w:rPr>
              <w:t xml:space="preserve"> </w:t>
            </w:r>
            <w:r w:rsidRPr="003845A6">
              <w:rPr>
                <w:sz w:val="20"/>
                <w:szCs w:val="20"/>
              </w:rPr>
              <w:t>L'uso di un cavo di prolunga omologato per l'impiego all'esterno riduce il rischio di scosse elettriche.</w:t>
            </w:r>
          </w:p>
          <w:p w:rsidR="003845A6" w:rsidRPr="003845A6" w:rsidRDefault="003845A6" w:rsidP="003845A6">
            <w:pPr>
              <w:pStyle w:val="Paragrafoelenco"/>
              <w:numPr>
                <w:ilvl w:val="0"/>
                <w:numId w:val="2"/>
              </w:numPr>
              <w:spacing w:line="256" w:lineRule="auto"/>
              <w:jc w:val="both"/>
              <w:textAlignment w:val="auto"/>
              <w:rPr>
                <w:sz w:val="20"/>
                <w:szCs w:val="20"/>
                <w:lang w:eastAsia="en-US"/>
              </w:rPr>
            </w:pPr>
            <w:r w:rsidRPr="003845A6">
              <w:rPr>
                <w:sz w:val="20"/>
                <w:szCs w:val="20"/>
              </w:rPr>
              <w:t>Se non è possibile evitare l'uso dell'attrezzo elettrico in un ambiente umido, utilizzare un circuito di sicurezza per correnti di guasto. L'impiego di un circuito di sicurezza per correnti di guasto evita il rischio di scossa elettrica</w:t>
            </w:r>
          </w:p>
          <w:p w:rsidR="003845A6" w:rsidRPr="003845A6" w:rsidRDefault="003845A6" w:rsidP="003845A6">
            <w:pPr>
              <w:pStyle w:val="Paragrafoelenco"/>
              <w:numPr>
                <w:ilvl w:val="0"/>
                <w:numId w:val="2"/>
              </w:numPr>
              <w:spacing w:line="256" w:lineRule="auto"/>
              <w:jc w:val="both"/>
              <w:textAlignment w:val="auto"/>
              <w:rPr>
                <w:sz w:val="20"/>
                <w:szCs w:val="20"/>
                <w:lang w:eastAsia="en-US"/>
              </w:rPr>
            </w:pPr>
            <w:r w:rsidRPr="003845A6">
              <w:rPr>
                <w:sz w:val="20"/>
                <w:szCs w:val="20"/>
              </w:rPr>
              <w:t>È importante concentrarsi su ciò che si sta facendo e maneggiare con attenzione l'attrezzo elettrico durante le operazioni di lavoro. Non utilizzare l'attrezzo elettrico in caso di stanchezza o sotto l'effetto di droghe, bevande alcoliche o medicinali.</w:t>
            </w:r>
            <w:r w:rsidRPr="003845A6">
              <w:rPr>
                <w:sz w:val="20"/>
                <w:szCs w:val="20"/>
              </w:rPr>
              <w:t xml:space="preserve"> </w:t>
            </w:r>
            <w:r w:rsidRPr="003845A6">
              <w:rPr>
                <w:sz w:val="20"/>
                <w:szCs w:val="20"/>
              </w:rPr>
              <w:t xml:space="preserve">Anche solo un attimo di distrazione durante l'uso dell'attrezzo elettrico potrebbe provocare lesioni gravi. </w:t>
            </w:r>
          </w:p>
          <w:p w:rsidR="003845A6" w:rsidRPr="003845A6" w:rsidRDefault="003845A6" w:rsidP="003845A6">
            <w:pPr>
              <w:pStyle w:val="Paragrafoelenco"/>
              <w:numPr>
                <w:ilvl w:val="0"/>
                <w:numId w:val="2"/>
              </w:numPr>
              <w:spacing w:line="256" w:lineRule="auto"/>
              <w:jc w:val="both"/>
              <w:textAlignment w:val="auto"/>
              <w:rPr>
                <w:sz w:val="20"/>
                <w:szCs w:val="20"/>
                <w:lang w:eastAsia="en-US"/>
              </w:rPr>
            </w:pPr>
            <w:r w:rsidRPr="003845A6">
              <w:rPr>
                <w:sz w:val="20"/>
                <w:szCs w:val="20"/>
              </w:rPr>
              <w:t>Indossare sempre l'equipaggiamento di protezione personale e gli occhiali protettivi.</w:t>
            </w:r>
            <w:r w:rsidRPr="003845A6">
              <w:rPr>
                <w:sz w:val="20"/>
                <w:szCs w:val="20"/>
              </w:rPr>
              <w:t xml:space="preserve"> </w:t>
            </w:r>
            <w:r w:rsidRPr="003845A6">
              <w:rPr>
                <w:sz w:val="20"/>
                <w:szCs w:val="20"/>
              </w:rPr>
              <w:t xml:space="preserve">Se si avrà cura d'indossare l'equipaggiamento di protezione personale come la mascherina antipolvere, le calzature antinfortunistiche antiscivolo, l'elmetto di protezione o le protezioni acustiche, a seconda dell'impiego previsto per l'attrezzo elettrico, si potrà ridurre il rischio di lesioni. </w:t>
            </w:r>
          </w:p>
          <w:p w:rsidR="003845A6" w:rsidRPr="003845A6" w:rsidRDefault="003845A6" w:rsidP="003845A6">
            <w:pPr>
              <w:pStyle w:val="Paragrafoelenco"/>
              <w:numPr>
                <w:ilvl w:val="0"/>
                <w:numId w:val="2"/>
              </w:numPr>
              <w:spacing w:line="256" w:lineRule="auto"/>
              <w:jc w:val="both"/>
              <w:textAlignment w:val="auto"/>
              <w:rPr>
                <w:sz w:val="20"/>
                <w:szCs w:val="20"/>
                <w:lang w:eastAsia="en-US"/>
              </w:rPr>
            </w:pPr>
            <w:r w:rsidRPr="003845A6">
              <w:rPr>
                <w:sz w:val="20"/>
                <w:szCs w:val="20"/>
              </w:rPr>
              <w:t>Evitare l'accensione involontaria dell'attrezzo. Accertarsi che l'attrezzo elettrico sia spento prima di collegare l'alimentazione di corrente e/o la batteria, prima di prenderlo o trasportarlo.</w:t>
            </w:r>
            <w:r w:rsidRPr="003845A6">
              <w:rPr>
                <w:sz w:val="20"/>
                <w:szCs w:val="20"/>
              </w:rPr>
              <w:t xml:space="preserve"> </w:t>
            </w:r>
            <w:r w:rsidRPr="003845A6">
              <w:rPr>
                <w:sz w:val="20"/>
                <w:szCs w:val="20"/>
              </w:rPr>
              <w:t xml:space="preserve">Comportamenti come tenere il dito sopra l'interruttore durante il trasporto o collegare l'attrezzo elettrico acceso all'alimentazione di corrente possono essere causa di incidenti. </w:t>
            </w:r>
          </w:p>
          <w:p w:rsidR="003845A6" w:rsidRPr="003845A6" w:rsidRDefault="003845A6" w:rsidP="003845A6">
            <w:pPr>
              <w:pStyle w:val="Paragrafoelenco"/>
              <w:numPr>
                <w:ilvl w:val="0"/>
                <w:numId w:val="2"/>
              </w:numPr>
              <w:spacing w:line="256" w:lineRule="auto"/>
              <w:jc w:val="both"/>
              <w:textAlignment w:val="auto"/>
              <w:rPr>
                <w:sz w:val="20"/>
                <w:szCs w:val="20"/>
                <w:lang w:eastAsia="en-US"/>
              </w:rPr>
            </w:pPr>
            <w:r w:rsidRPr="003845A6">
              <w:rPr>
                <w:sz w:val="20"/>
                <w:szCs w:val="20"/>
              </w:rPr>
              <w:lastRenderedPageBreak/>
              <w:t>Rimuovere gli strumenti di regolazione o la chiave inglese prima di accendere l'attrezzo elettrico.</w:t>
            </w:r>
            <w:r w:rsidRPr="003845A6">
              <w:rPr>
                <w:sz w:val="20"/>
                <w:szCs w:val="20"/>
              </w:rPr>
              <w:t xml:space="preserve"> </w:t>
            </w:r>
            <w:r w:rsidRPr="003845A6">
              <w:rPr>
                <w:sz w:val="20"/>
                <w:szCs w:val="20"/>
              </w:rPr>
              <w:t>Un utensile o una chiave che si trovino in una parte in rotazione dell'attrezzo possono causare lesioni.</w:t>
            </w:r>
          </w:p>
          <w:p w:rsidR="003845A6" w:rsidRPr="003845A6" w:rsidRDefault="003845A6" w:rsidP="003845A6">
            <w:pPr>
              <w:pStyle w:val="Paragrafoelenco"/>
              <w:numPr>
                <w:ilvl w:val="0"/>
                <w:numId w:val="2"/>
              </w:numPr>
              <w:spacing w:line="256" w:lineRule="auto"/>
              <w:jc w:val="both"/>
              <w:textAlignment w:val="auto"/>
              <w:rPr>
                <w:sz w:val="20"/>
                <w:szCs w:val="20"/>
                <w:lang w:eastAsia="en-US"/>
              </w:rPr>
            </w:pPr>
            <w:r w:rsidRPr="003845A6">
              <w:rPr>
                <w:sz w:val="20"/>
                <w:szCs w:val="20"/>
              </w:rPr>
              <w:t>Evitare di assumere posture anomale. Cercare di tenere una posizione stabile e di mantenere sempre l'equilibrio.</w:t>
            </w:r>
            <w:r w:rsidRPr="003845A6">
              <w:rPr>
                <w:sz w:val="20"/>
                <w:szCs w:val="20"/>
              </w:rPr>
              <w:t xml:space="preserve"> </w:t>
            </w:r>
            <w:r w:rsidRPr="003845A6">
              <w:rPr>
                <w:sz w:val="20"/>
                <w:szCs w:val="20"/>
              </w:rPr>
              <w:t xml:space="preserve">In questo modo sarà possibile controllare meglio l'attrezzo elettrico in situazioni inaspettate. </w:t>
            </w:r>
          </w:p>
          <w:p w:rsidR="003845A6" w:rsidRPr="003845A6" w:rsidRDefault="003845A6" w:rsidP="003845A6">
            <w:pPr>
              <w:pStyle w:val="Paragrafoelenco"/>
              <w:numPr>
                <w:ilvl w:val="0"/>
                <w:numId w:val="2"/>
              </w:numPr>
              <w:spacing w:line="256" w:lineRule="auto"/>
              <w:jc w:val="both"/>
              <w:textAlignment w:val="auto"/>
              <w:rPr>
                <w:sz w:val="20"/>
                <w:szCs w:val="20"/>
                <w:lang w:eastAsia="en-US"/>
              </w:rPr>
            </w:pPr>
            <w:r w:rsidRPr="003845A6">
              <w:rPr>
                <w:sz w:val="20"/>
                <w:szCs w:val="20"/>
              </w:rPr>
              <w:t xml:space="preserve">Indossare un abbigliamento adeguato. Evitare di indossare vestiti larghi o gioielli. Tenere i capelli, i vestiti e i guanti lontani da parti in movimento. I vestiti larghi, i gioielli o i capelli lunghi possono impigliarsi nelle parti in movimento. </w:t>
            </w:r>
          </w:p>
          <w:p w:rsidR="003845A6" w:rsidRPr="003845A6" w:rsidRDefault="003845A6" w:rsidP="003845A6">
            <w:pPr>
              <w:pStyle w:val="Paragrafoelenco"/>
              <w:numPr>
                <w:ilvl w:val="0"/>
                <w:numId w:val="2"/>
              </w:numPr>
              <w:spacing w:line="256" w:lineRule="auto"/>
              <w:jc w:val="both"/>
              <w:textAlignment w:val="auto"/>
              <w:rPr>
                <w:sz w:val="20"/>
                <w:szCs w:val="20"/>
                <w:lang w:eastAsia="en-US"/>
              </w:rPr>
            </w:pPr>
            <w:r w:rsidRPr="003845A6">
              <w:rPr>
                <w:sz w:val="20"/>
                <w:szCs w:val="20"/>
              </w:rPr>
              <w:t>Se è possibile montare dispositivi di aspirazione o di raccolta della polvere, assicurarsi che questi siano collegati e vengano utilizzati in modo corretto. L'impiego di un dispositivo di aspirazione della polvere può diminuire il pericolo rappresentato dalla polvere</w:t>
            </w:r>
          </w:p>
        </w:tc>
      </w:tr>
      <w:tr w:rsidR="003845A6" w:rsidTr="00237B58">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3845A6" w:rsidRDefault="003845A6" w:rsidP="00237B58">
            <w:pPr>
              <w:spacing w:line="254"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rsidR="003845A6" w:rsidRDefault="003845A6" w:rsidP="00237B58">
            <w:pPr>
              <w:spacing w:line="254" w:lineRule="auto"/>
              <w:rPr>
                <w:lang w:eastAsia="en-US"/>
              </w:rPr>
            </w:pPr>
            <w:r>
              <w:rPr>
                <w:noProof/>
                <w:lang w:eastAsia="en-US"/>
              </w:rPr>
              <w:drawing>
                <wp:anchor distT="0" distB="0" distL="114300" distR="114300" simplePos="0" relativeHeight="251660288" behindDoc="0" locked="0" layoutInCell="1" allowOverlap="1" wp14:anchorId="0C6870B7" wp14:editId="1DB8C41F">
                  <wp:simplePos x="0" y="0"/>
                  <wp:positionH relativeFrom="column">
                    <wp:posOffset>1307465</wp:posOffset>
                  </wp:positionH>
                  <wp:positionV relativeFrom="paragraph">
                    <wp:posOffset>24765</wp:posOffset>
                  </wp:positionV>
                  <wp:extent cx="1310640" cy="467995"/>
                  <wp:effectExtent l="0" t="0" r="0" b="0"/>
                  <wp:wrapNone/>
                  <wp:docPr id="8" name="Immagine 8"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9"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59264" behindDoc="1" locked="0" layoutInCell="1" allowOverlap="1" wp14:anchorId="5448901C" wp14:editId="7ECD5A82">
                  <wp:simplePos x="0" y="0"/>
                  <wp:positionH relativeFrom="column">
                    <wp:posOffset>-43180</wp:posOffset>
                  </wp:positionH>
                  <wp:positionV relativeFrom="paragraph">
                    <wp:posOffset>8255</wp:posOffset>
                  </wp:positionV>
                  <wp:extent cx="1313815" cy="467995"/>
                  <wp:effectExtent l="0" t="0" r="0" b="0"/>
                  <wp:wrapNone/>
                  <wp:docPr id="7" name="Immagine 7"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descr="E1709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3845A6" w:rsidRDefault="003845A6" w:rsidP="00237B58">
            <w:pPr>
              <w:spacing w:line="254" w:lineRule="auto"/>
              <w:rPr>
                <w:lang w:eastAsia="en-US"/>
              </w:rPr>
            </w:pPr>
          </w:p>
          <w:p w:rsidR="003845A6" w:rsidRDefault="003845A6" w:rsidP="00237B58">
            <w:pPr>
              <w:spacing w:line="254" w:lineRule="auto"/>
              <w:rPr>
                <w:lang w:eastAsia="en-US"/>
              </w:rPr>
            </w:pPr>
          </w:p>
        </w:tc>
      </w:tr>
      <w:tr w:rsidR="003845A6" w:rsidTr="00237B58">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3845A6" w:rsidRDefault="003845A6" w:rsidP="00237B58">
            <w:pPr>
              <w:spacing w:line="254"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3845A6" w:rsidRDefault="003845A6" w:rsidP="003845A6">
            <w:pPr>
              <w:numPr>
                <w:ilvl w:val="0"/>
                <w:numId w:val="1"/>
              </w:numPr>
              <w:suppressAutoHyphens w:val="0"/>
              <w:spacing w:line="254" w:lineRule="auto"/>
              <w:textAlignment w:val="auto"/>
              <w:rPr>
                <w:noProof/>
                <w:sz w:val="20"/>
                <w:szCs w:val="20"/>
                <w:lang w:eastAsia="en-US"/>
              </w:rPr>
            </w:pPr>
            <w:r>
              <w:rPr>
                <w:noProof/>
                <w:sz w:val="20"/>
                <w:szCs w:val="20"/>
                <w:lang w:eastAsia="en-US"/>
              </w:rPr>
              <w:t>Scarpa di sicurezza (EN ISO 20345)</w:t>
            </w:r>
          </w:p>
          <w:p w:rsidR="003845A6" w:rsidRDefault="003845A6" w:rsidP="003845A6">
            <w:pPr>
              <w:numPr>
                <w:ilvl w:val="0"/>
                <w:numId w:val="1"/>
              </w:numPr>
              <w:suppressAutoHyphens w:val="0"/>
              <w:spacing w:line="254" w:lineRule="auto"/>
              <w:textAlignment w:val="auto"/>
              <w:rPr>
                <w:noProof/>
                <w:sz w:val="20"/>
                <w:szCs w:val="20"/>
                <w:lang w:eastAsia="en-US"/>
              </w:rPr>
            </w:pPr>
            <w:r>
              <w:rPr>
                <w:noProof/>
                <w:sz w:val="20"/>
                <w:szCs w:val="20"/>
                <w:lang w:eastAsia="en-US"/>
              </w:rPr>
              <w:t>Guanti di protezione contro rischi meccanici (EN 388)</w:t>
            </w:r>
          </w:p>
          <w:p w:rsidR="003845A6" w:rsidRDefault="003845A6" w:rsidP="003845A6">
            <w:pPr>
              <w:numPr>
                <w:ilvl w:val="0"/>
                <w:numId w:val="1"/>
              </w:numPr>
              <w:suppressAutoHyphens w:val="0"/>
              <w:spacing w:line="254" w:lineRule="auto"/>
              <w:textAlignment w:val="auto"/>
              <w:rPr>
                <w:noProof/>
                <w:sz w:val="20"/>
                <w:szCs w:val="20"/>
                <w:lang w:eastAsia="en-US"/>
              </w:rPr>
            </w:pPr>
            <w:r>
              <w:rPr>
                <w:noProof/>
                <w:sz w:val="20"/>
                <w:szCs w:val="20"/>
                <w:lang w:eastAsia="en-US"/>
              </w:rPr>
              <w:t>Tuta da lavoro (EN 340)</w:t>
            </w:r>
          </w:p>
          <w:p w:rsidR="003845A6" w:rsidRDefault="003845A6" w:rsidP="003845A6">
            <w:pPr>
              <w:numPr>
                <w:ilvl w:val="0"/>
                <w:numId w:val="1"/>
              </w:numPr>
              <w:suppressAutoHyphens w:val="0"/>
              <w:spacing w:line="254" w:lineRule="auto"/>
              <w:textAlignment w:val="auto"/>
              <w:rPr>
                <w:noProof/>
                <w:sz w:val="20"/>
                <w:szCs w:val="20"/>
                <w:lang w:eastAsia="en-US"/>
              </w:rPr>
            </w:pPr>
            <w:r>
              <w:rPr>
                <w:noProof/>
                <w:sz w:val="20"/>
                <w:szCs w:val="20"/>
                <w:lang w:eastAsia="en-US"/>
              </w:rPr>
              <w:t xml:space="preserve">Otoprotettori </w:t>
            </w:r>
          </w:p>
          <w:p w:rsidR="003845A6" w:rsidRDefault="003845A6" w:rsidP="003845A6">
            <w:pPr>
              <w:numPr>
                <w:ilvl w:val="0"/>
                <w:numId w:val="1"/>
              </w:numPr>
              <w:suppressAutoHyphens w:val="0"/>
              <w:spacing w:line="254" w:lineRule="auto"/>
              <w:textAlignment w:val="auto"/>
              <w:rPr>
                <w:noProof/>
                <w:sz w:val="20"/>
                <w:szCs w:val="20"/>
                <w:lang w:eastAsia="en-US"/>
              </w:rPr>
            </w:pPr>
            <w:r>
              <w:rPr>
                <w:noProof/>
                <w:sz w:val="20"/>
                <w:szCs w:val="20"/>
                <w:lang w:eastAsia="en-US"/>
              </w:rPr>
              <w:t xml:space="preserve">Occhiali </w:t>
            </w:r>
          </w:p>
          <w:p w:rsidR="003845A6" w:rsidRDefault="003845A6" w:rsidP="003845A6">
            <w:pPr>
              <w:numPr>
                <w:ilvl w:val="0"/>
                <w:numId w:val="1"/>
              </w:numPr>
              <w:suppressAutoHyphens w:val="0"/>
              <w:spacing w:line="254" w:lineRule="auto"/>
              <w:textAlignment w:val="auto"/>
              <w:rPr>
                <w:noProof/>
                <w:sz w:val="20"/>
                <w:szCs w:val="20"/>
                <w:lang w:eastAsia="en-US"/>
              </w:rPr>
            </w:pPr>
            <w:r>
              <w:rPr>
                <w:noProof/>
                <w:sz w:val="20"/>
                <w:szCs w:val="20"/>
                <w:lang w:eastAsia="en-US"/>
              </w:rPr>
              <w:t>Maschera antipolvere FFP2</w:t>
            </w:r>
          </w:p>
        </w:tc>
      </w:tr>
      <w:bookmarkEnd w:id="2"/>
    </w:tbl>
    <w:p w:rsidR="003845A6" w:rsidRDefault="003845A6" w:rsidP="003845A6">
      <w:pPr>
        <w:suppressAutoHyphens w:val="0"/>
      </w:pPr>
      <w:r>
        <w:br w:type="page"/>
      </w:r>
      <w:bookmarkEnd w:id="0"/>
    </w:p>
    <w:p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2C0E563B"/>
    <w:multiLevelType w:val="hybridMultilevel"/>
    <w:tmpl w:val="DD083B6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A6"/>
    <w:rsid w:val="003845A6"/>
    <w:rsid w:val="004F4F7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06F24"/>
  <w15:chartTrackingRefBased/>
  <w15:docId w15:val="{F46F0B42-FAE6-45E0-BC46-9514F1D6F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3845A6"/>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3845A6"/>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3845A6"/>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3845A6"/>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695</Words>
  <Characters>3968</Characters>
  <Application>Microsoft Office Word</Application>
  <DocSecurity>0</DocSecurity>
  <Lines>33</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2019-07-15T08:50:00Z</dcterms:created>
  <dcterms:modified xsi:type="dcterms:W3CDTF">2019-07-15T08:59:00Z</dcterms:modified>
</cp:coreProperties>
</file>