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C79B6" w14:paraId="4401E482" w14:textId="77777777" w:rsidTr="004C79B6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011150" w14:textId="3D056DE1" w:rsidR="004C79B6" w:rsidRDefault="004C79B6">
            <w:pPr>
              <w:pStyle w:val="Titolo3"/>
              <w:spacing w:line="252" w:lineRule="auto"/>
              <w:rPr>
                <w:lang w:eastAsia="en-US"/>
              </w:rPr>
            </w:pPr>
            <w:bookmarkStart w:id="0" w:name="_Toc14086242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SALDAT</w:t>
            </w:r>
            <w:r>
              <w:rPr>
                <w:lang w:eastAsia="en-US"/>
              </w:rPr>
              <w:t>URA AD ARCO</w:t>
            </w:r>
          </w:p>
        </w:tc>
      </w:tr>
      <w:tr w:rsidR="004C79B6" w14:paraId="658D7573" w14:textId="77777777" w:rsidTr="004C79B6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81CC8" w14:textId="77777777" w:rsidR="004C79B6" w:rsidRDefault="004C79B6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4E5EC" w14:textId="77777777" w:rsidR="004C79B6" w:rsidRDefault="004C79B6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64D54A3A" w14:textId="77777777" w:rsidR="004C79B6" w:rsidRDefault="004C79B6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4C79B6" w14:paraId="770D1B57" w14:textId="77777777" w:rsidTr="004C79B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FA992" w14:textId="77777777" w:rsidR="004C79B6" w:rsidRDefault="004C79B6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93C59" w14:textId="77777777" w:rsidR="004C79B6" w:rsidRDefault="004C79B6">
            <w:pPr>
              <w:spacing w:line="252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4C79B6" w14:paraId="2364F585" w14:textId="77777777" w:rsidTr="004C79B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EBFDB" w14:textId="77777777" w:rsidR="004C79B6" w:rsidRDefault="004C79B6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31A17" w14:textId="77777777" w:rsidR="004C79B6" w:rsidRDefault="004C79B6">
            <w:p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16"/>
                <w:szCs w:val="14"/>
                <w:lang w:eastAsia="en-US"/>
              </w:rPr>
              <w:t xml:space="preserve"> </w:t>
            </w:r>
            <w:r>
              <w:rPr>
                <w:sz w:val="20"/>
                <w:szCs w:val="20"/>
                <w:lang w:eastAsia="en-US"/>
              </w:rPr>
              <w:t>INALAZIONI DI FUMI E GAS</w:t>
            </w:r>
          </w:p>
          <w:p w14:paraId="12BC9C8E" w14:textId="77777777" w:rsidR="004C79B6" w:rsidRDefault="004C79B6">
            <w:p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ELETTROCUZIONE</w:t>
            </w:r>
          </w:p>
          <w:p w14:paraId="68CEAFE7" w14:textId="77777777" w:rsidR="004C79B6" w:rsidRDefault="004C79B6">
            <w:p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RADIAZIONI ULTRAVIOLETTE E IRRAGGIAMENTO</w:t>
            </w:r>
          </w:p>
          <w:p w14:paraId="5C3F1339" w14:textId="77777777" w:rsidR="004C79B6" w:rsidRDefault="004C79B6">
            <w:p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USTIONE</w:t>
            </w:r>
          </w:p>
          <w:p w14:paraId="7AD15788" w14:textId="77777777" w:rsidR="004C79B6" w:rsidRDefault="004C79B6">
            <w:p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INCENDIO DI MATERIALI INFIAMMABILI</w:t>
            </w:r>
          </w:p>
          <w:p w14:paraId="4C17F6D7" w14:textId="77777777" w:rsidR="004C79B6" w:rsidRDefault="004C79B6">
            <w:p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CADUTA DI SCINTILLE E/O PROIEZIONE DI MATERIALE FUSO</w:t>
            </w:r>
          </w:p>
          <w:p w14:paraId="4E656873" w14:textId="77777777" w:rsidR="004C79B6" w:rsidRDefault="004C79B6">
            <w:pPr>
              <w:spacing w:line="252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ESPLOSIONI DEI RECIPIENTI</w:t>
            </w:r>
          </w:p>
        </w:tc>
      </w:tr>
      <w:tr w:rsidR="004C79B6" w14:paraId="2D20BDAD" w14:textId="77777777" w:rsidTr="004C79B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BBED0" w14:textId="77777777" w:rsidR="004C79B6" w:rsidRDefault="004C79B6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6F95E" w14:textId="77777777" w:rsidR="004C79B6" w:rsidRDefault="004C79B6" w:rsidP="004C79B6">
            <w:p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Prima di iniziare il lavoro </w:t>
            </w:r>
          </w:p>
          <w:p w14:paraId="23901B29" w14:textId="77777777" w:rsidR="004C79B6" w:rsidRDefault="004C79B6" w:rsidP="004C79B6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Raschiare e pulire i pezzi da saldare se sono verniciati, zincati, piombati, o sporchi di olio o di grasso</w:t>
            </w:r>
          </w:p>
          <w:p w14:paraId="5F193C76" w14:textId="009C404B" w:rsidR="004C79B6" w:rsidRDefault="004C79B6" w:rsidP="004C79B6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Disporre, intorno alla zona di lavoro, schermi mobili di colore scuro e opaco di intercettazione delle radiazioni UV e delle particelle incandescenti</w:t>
            </w:r>
          </w:p>
          <w:p w14:paraId="3DA279F0" w14:textId="77777777" w:rsidR="004C79B6" w:rsidRDefault="004C79B6" w:rsidP="004C79B6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Verificare sempre la stabilità dei pezzi da saldare in relazione alle attrezzature di pressa/sostegno</w:t>
            </w:r>
          </w:p>
          <w:p w14:paraId="194B9047" w14:textId="77777777" w:rsidR="004C79B6" w:rsidRDefault="004C79B6" w:rsidP="004C79B6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Effettuare le regolazioni dei parametri elettrici in funzione delle istruzioni ricevute </w:t>
            </w:r>
          </w:p>
          <w:p w14:paraId="2D52BE9A" w14:textId="77777777" w:rsidR="004C79B6" w:rsidRDefault="004C79B6" w:rsidP="004C79B6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Controllare visivamente che l’impianto di aspirazioni fumi funzioni </w:t>
            </w:r>
          </w:p>
          <w:p w14:paraId="767443AC" w14:textId="77777777" w:rsidR="004C79B6" w:rsidRDefault="004C79B6" w:rsidP="004C79B6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Verificare che la cappa d’aspirazione possa raggiungere sempre il punto di emissione dei fumi e ne realizzi l’aspirazione</w:t>
            </w:r>
          </w:p>
          <w:p w14:paraId="5B47F50F" w14:textId="77777777" w:rsidR="004C79B6" w:rsidRDefault="004C79B6" w:rsidP="004C79B6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Indossare i DPI </w:t>
            </w:r>
          </w:p>
          <w:p w14:paraId="78CC0C9D" w14:textId="77777777" w:rsidR="004C79B6" w:rsidRDefault="004C79B6" w:rsidP="004C79B6">
            <w:p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</w:p>
          <w:p w14:paraId="0FDA9796" w14:textId="77777777" w:rsidR="004C79B6" w:rsidRDefault="004C79B6" w:rsidP="004C79B6">
            <w:p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Durante il lavoro </w:t>
            </w:r>
          </w:p>
          <w:p w14:paraId="4448372A" w14:textId="77777777" w:rsidR="004C79B6" w:rsidRDefault="004C79B6" w:rsidP="004C79B6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Mantenere attivato l’impianto d’aspirazione </w:t>
            </w:r>
          </w:p>
          <w:p w14:paraId="7A6C7FAC" w14:textId="77777777" w:rsidR="004C79B6" w:rsidRDefault="004C79B6" w:rsidP="004C79B6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Ricollocare la cappa d’aspirazione alla distanza utile per la captazione dei fumi, tutte le volte che è necessario </w:t>
            </w:r>
          </w:p>
          <w:p w14:paraId="581234BE" w14:textId="77777777" w:rsidR="004C79B6" w:rsidRDefault="004C79B6" w:rsidP="004C79B6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Proteggersi con lo schermo facciale </w:t>
            </w:r>
          </w:p>
          <w:p w14:paraId="585AB85E" w14:textId="77777777" w:rsidR="004C79B6" w:rsidRDefault="004C79B6" w:rsidP="004C79B6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appoggiare a terra o su parti metalliche la pinza </w:t>
            </w:r>
            <w:proofErr w:type="spellStart"/>
            <w:r>
              <w:rPr>
                <w:sz w:val="20"/>
                <w:szCs w:val="20"/>
                <w:lang w:eastAsia="en-US"/>
              </w:rPr>
              <w:t>portaelettrodi</w:t>
            </w:r>
            <w:proofErr w:type="spellEnd"/>
            <w:r>
              <w:rPr>
                <w:sz w:val="20"/>
                <w:szCs w:val="20"/>
                <w:lang w:eastAsia="en-US"/>
              </w:rPr>
              <w:t xml:space="preserve"> o la torcia di saldatura non isolate</w:t>
            </w:r>
          </w:p>
          <w:p w14:paraId="2573E455" w14:textId="77777777" w:rsidR="004C79B6" w:rsidRDefault="004C79B6" w:rsidP="004C79B6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Mantenere sempre collegato il “cavo elettrico di ritorno” vicino al punto di saldatura </w:t>
            </w:r>
          </w:p>
          <w:p w14:paraId="40282C31" w14:textId="77777777" w:rsidR="004C79B6" w:rsidRDefault="004C79B6" w:rsidP="004C79B6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utilizzare mai corde o imbragature di materiale sintetico per sostenere i pezzi da saldare </w:t>
            </w:r>
          </w:p>
          <w:p w14:paraId="20DE12F1" w14:textId="77777777" w:rsidR="004C79B6" w:rsidRDefault="004C79B6" w:rsidP="004C79B6">
            <w:p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</w:p>
          <w:p w14:paraId="194E0583" w14:textId="77777777" w:rsidR="004C79B6" w:rsidRDefault="004C79B6" w:rsidP="004C79B6">
            <w:p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A fine lavoro </w:t>
            </w:r>
          </w:p>
          <w:p w14:paraId="79C99AA0" w14:textId="77777777" w:rsidR="004C79B6" w:rsidRDefault="004C79B6" w:rsidP="004C79B6">
            <w:pPr>
              <w:pStyle w:val="Paragrafoelenco"/>
              <w:numPr>
                <w:ilvl w:val="0"/>
                <w:numId w:val="6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Interrompere l’alimentazione elettrica dell’impianto di saldatura </w:t>
            </w:r>
          </w:p>
          <w:p w14:paraId="0B8F385A" w14:textId="77777777" w:rsidR="004C79B6" w:rsidRDefault="004C79B6" w:rsidP="004C79B6">
            <w:pPr>
              <w:pStyle w:val="Paragrafoelenco"/>
              <w:numPr>
                <w:ilvl w:val="0"/>
                <w:numId w:val="6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Interrompere l’alimentazione dei gas tecnici per saldatura </w:t>
            </w:r>
          </w:p>
          <w:p w14:paraId="00B06CEE" w14:textId="77777777" w:rsidR="004C79B6" w:rsidRDefault="004C79B6" w:rsidP="004C79B6">
            <w:pPr>
              <w:pStyle w:val="Paragrafoelenco"/>
              <w:numPr>
                <w:ilvl w:val="0"/>
                <w:numId w:val="6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Lasciare sotto aspirazione i pezzi ancora fumanti </w:t>
            </w:r>
          </w:p>
          <w:p w14:paraId="0BC34B69" w14:textId="77777777" w:rsidR="004C79B6" w:rsidRDefault="004C79B6" w:rsidP="004C79B6">
            <w:pPr>
              <w:pStyle w:val="Paragrafoelenco"/>
              <w:numPr>
                <w:ilvl w:val="0"/>
                <w:numId w:val="6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Prima di maneggiarli, controllare che i pezzi e le scorie si siano raffreddati </w:t>
            </w:r>
          </w:p>
          <w:p w14:paraId="1052DAED" w14:textId="77777777" w:rsidR="004C79B6" w:rsidRDefault="004C79B6" w:rsidP="004C79B6">
            <w:pPr>
              <w:pStyle w:val="Paragrafoelenco"/>
              <w:numPr>
                <w:ilvl w:val="0"/>
                <w:numId w:val="6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Lasciare pulita e in ordine la zona di lavoro </w:t>
            </w:r>
          </w:p>
          <w:p w14:paraId="679D4E78" w14:textId="77777777" w:rsidR="002E13C1" w:rsidRDefault="002E13C1" w:rsidP="004C79B6">
            <w:pPr>
              <w:pStyle w:val="Paragrafoelenco"/>
              <w:numPr>
                <w:ilvl w:val="0"/>
                <w:numId w:val="6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Riporre i DPI nei posti destinati </w:t>
            </w:r>
          </w:p>
          <w:p w14:paraId="50D4E1CC" w14:textId="77777777" w:rsidR="002E13C1" w:rsidRDefault="002E13C1" w:rsidP="002E13C1">
            <w:p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</w:p>
          <w:p w14:paraId="2882A80E" w14:textId="77777777" w:rsidR="002E13C1" w:rsidRDefault="002E13C1" w:rsidP="002E13C1">
            <w:p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Altre azioni </w:t>
            </w:r>
          </w:p>
          <w:p w14:paraId="6729F7ED" w14:textId="77777777" w:rsidR="002E13C1" w:rsidRDefault="002E13C1" w:rsidP="002E13C1">
            <w:pPr>
              <w:pStyle w:val="Paragrafoelenco"/>
              <w:numPr>
                <w:ilvl w:val="0"/>
                <w:numId w:val="7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usare l’aria compressa per effettuare pulizie o raffreddare i pezzi </w:t>
            </w:r>
          </w:p>
          <w:p w14:paraId="38C880E7" w14:textId="77777777" w:rsidR="002E13C1" w:rsidRDefault="002E13C1" w:rsidP="002E13C1">
            <w:pPr>
              <w:pStyle w:val="Paragrafoelenco"/>
              <w:numPr>
                <w:ilvl w:val="0"/>
                <w:numId w:val="7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L’aspirazione e i DPI vanno utilizzati anche nelle operazioni di puntatura e molatura </w:t>
            </w:r>
          </w:p>
          <w:p w14:paraId="2391D839" w14:textId="21E3C2E7" w:rsidR="002E13C1" w:rsidRPr="002E13C1" w:rsidRDefault="002E13C1" w:rsidP="002E13C1">
            <w:pPr>
              <w:pStyle w:val="Paragrafoelenco"/>
              <w:numPr>
                <w:ilvl w:val="0"/>
                <w:numId w:val="7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trascurare eventuali ustioni, presenza di corpi estranei o irritazioni degli occhi </w:t>
            </w:r>
          </w:p>
        </w:tc>
      </w:tr>
      <w:tr w:rsidR="004C79B6" w14:paraId="3553453D" w14:textId="77777777" w:rsidTr="004C79B6">
        <w:trPr>
          <w:trHeight w:val="1657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96DD0" w14:textId="77777777" w:rsidR="004C79B6" w:rsidRDefault="004C79B6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6A7D7" w14:textId="69261C18" w:rsidR="004C79B6" w:rsidRDefault="004C79B6">
            <w:pPr>
              <w:spacing w:line="252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55D7F701" wp14:editId="578374D6">
                  <wp:simplePos x="0" y="0"/>
                  <wp:positionH relativeFrom="column">
                    <wp:posOffset>1366520</wp:posOffset>
                  </wp:positionH>
                  <wp:positionV relativeFrom="paragraph">
                    <wp:posOffset>6350</wp:posOffset>
                  </wp:positionV>
                  <wp:extent cx="1310640" cy="467995"/>
                  <wp:effectExtent l="0" t="0" r="3810" b="8255"/>
                  <wp:wrapNone/>
                  <wp:docPr id="2" name="Immagine 2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592BCA69" wp14:editId="02AE45EA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B1D6CB" w14:textId="77777777" w:rsidR="004C79B6" w:rsidRDefault="004C79B6">
            <w:pPr>
              <w:spacing w:line="252" w:lineRule="auto"/>
              <w:rPr>
                <w:lang w:eastAsia="en-US"/>
              </w:rPr>
            </w:pPr>
          </w:p>
          <w:p w14:paraId="7D8A14F7" w14:textId="77777777" w:rsidR="004C79B6" w:rsidRDefault="004C79B6">
            <w:pPr>
              <w:spacing w:line="252" w:lineRule="auto"/>
              <w:rPr>
                <w:lang w:eastAsia="en-US"/>
              </w:rPr>
            </w:pPr>
          </w:p>
        </w:tc>
      </w:tr>
      <w:tr w:rsidR="004C79B6" w14:paraId="0494EFA2" w14:textId="77777777" w:rsidTr="004C79B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3F23A" w14:textId="77777777" w:rsidR="004C79B6" w:rsidRDefault="004C79B6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07656" w14:textId="77777777" w:rsidR="004C79B6" w:rsidRDefault="004C79B6" w:rsidP="00EE60E3">
            <w:pPr>
              <w:numPr>
                <w:ilvl w:val="0"/>
                <w:numId w:val="2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Respiratore FFA1P2 UNI EN 405</w:t>
            </w:r>
          </w:p>
          <w:p w14:paraId="66887DDB" w14:textId="77777777" w:rsidR="004C79B6" w:rsidRDefault="004C79B6" w:rsidP="00EE60E3">
            <w:pPr>
              <w:numPr>
                <w:ilvl w:val="0"/>
                <w:numId w:val="2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Schermo facciale per saldatori UNI EN 169 </w:t>
            </w:r>
          </w:p>
          <w:p w14:paraId="1D5138BE" w14:textId="77777777" w:rsidR="004C79B6" w:rsidRDefault="004C79B6" w:rsidP="00EE60E3">
            <w:pPr>
              <w:numPr>
                <w:ilvl w:val="0"/>
                <w:numId w:val="2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4FFA8001" w14:textId="77777777" w:rsidR="004C79B6" w:rsidRDefault="004C79B6" w:rsidP="00EE60E3">
            <w:pPr>
              <w:numPr>
                <w:ilvl w:val="0"/>
                <w:numId w:val="2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Grembiule per saldatura (UNI EN 470-1)</w:t>
            </w:r>
          </w:p>
          <w:p w14:paraId="580D7BEE" w14:textId="77777777" w:rsidR="004C79B6" w:rsidRDefault="004C79B6" w:rsidP="00EE60E3">
            <w:pPr>
              <w:numPr>
                <w:ilvl w:val="0"/>
                <w:numId w:val="2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di protezione contro rischi meccanici (EN 388) </w:t>
            </w:r>
          </w:p>
          <w:p w14:paraId="185843F0" w14:textId="77777777" w:rsidR="004C79B6" w:rsidRDefault="004C79B6" w:rsidP="00EE60E3">
            <w:pPr>
              <w:numPr>
                <w:ilvl w:val="0"/>
                <w:numId w:val="2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in tessuto ignifugo </w:t>
            </w:r>
          </w:p>
          <w:p w14:paraId="0D3305F0" w14:textId="77777777" w:rsidR="004C79B6" w:rsidRDefault="004C79B6" w:rsidP="00EE60E3">
            <w:pPr>
              <w:numPr>
                <w:ilvl w:val="0"/>
                <w:numId w:val="2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anticalore (UNI EN 407)</w:t>
            </w:r>
          </w:p>
          <w:p w14:paraId="7977810E" w14:textId="77777777" w:rsidR="004C79B6" w:rsidRDefault="004C79B6" w:rsidP="00EE60E3">
            <w:pPr>
              <w:numPr>
                <w:ilvl w:val="0"/>
                <w:numId w:val="2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Berretto ignifugo (UNI EN 470-1)</w:t>
            </w:r>
          </w:p>
          <w:p w14:paraId="789EF11D" w14:textId="77777777" w:rsidR="004C79B6" w:rsidRDefault="004C79B6" w:rsidP="00EE60E3">
            <w:pPr>
              <w:numPr>
                <w:ilvl w:val="0"/>
                <w:numId w:val="2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Ghette in cuoio (UNI EN 470-1) </w:t>
            </w:r>
          </w:p>
        </w:tc>
      </w:tr>
    </w:tbl>
    <w:p w14:paraId="51800E2F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867AB"/>
    <w:multiLevelType w:val="hybridMultilevel"/>
    <w:tmpl w:val="9E8871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84DDD"/>
    <w:multiLevelType w:val="hybridMultilevel"/>
    <w:tmpl w:val="D97AA5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54272"/>
    <w:multiLevelType w:val="hybridMultilevel"/>
    <w:tmpl w:val="B3741F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52B7D"/>
    <w:multiLevelType w:val="hybridMultilevel"/>
    <w:tmpl w:val="3D2659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357915"/>
    <w:multiLevelType w:val="hybridMultilevel"/>
    <w:tmpl w:val="E856F3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B6"/>
    <w:rsid w:val="002E13C1"/>
    <w:rsid w:val="004C79B6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7E77D"/>
  <w15:chartTrackingRefBased/>
  <w15:docId w15:val="{AEBCDC13-8BB1-4DD2-9BDE-BD38BA895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C79B6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4C79B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4C79B6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4C7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56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2021-01-07T17:54:00Z</dcterms:created>
  <dcterms:modified xsi:type="dcterms:W3CDTF">2021-01-07T18:10:00Z</dcterms:modified>
</cp:coreProperties>
</file>