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50ABB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D50AB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Cetirizina dicloridrato Ph. Eur.  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ossidanti.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D50AB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>Vedi SDS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D50AB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r>
              <w:rPr>
                <w:rFonts w:ascii="Aptos" w:hAnsi="Aptos"/>
                <w:b/>
                <w:sz w:val="18"/>
                <w:szCs w:val="20"/>
              </w:rPr>
              <w:t>H302</w:t>
            </w:r>
            <w:r>
              <w:rPr>
                <w:rFonts w:ascii="Aptos" w:hAnsi="Aptos"/>
                <w:bCs/>
                <w:sz w:val="18"/>
                <w:szCs w:val="20"/>
              </w:rPr>
              <w:t xml:space="preserve">: nocivo se ingerito </w:t>
            </w:r>
          </w:p>
          <w:p w:rsidR="00D50ABB" w:rsidRDefault="00A37959">
            <w:r>
              <w:rPr>
                <w:rFonts w:ascii="Aptos" w:hAnsi="Aptos"/>
                <w:b/>
                <w:bCs/>
                <w:sz w:val="18"/>
                <w:szCs w:val="20"/>
              </w:rPr>
              <w:t>H317</w:t>
            </w:r>
            <w:r>
              <w:rPr>
                <w:rFonts w:ascii="Aptos" w:hAnsi="Aptos"/>
                <w:sz w:val="18"/>
                <w:szCs w:val="20"/>
              </w:rPr>
              <w:t>: può provocare una reazione allergica cutanea</w:t>
            </w:r>
          </w:p>
          <w:p w:rsidR="00D50ABB" w:rsidRDefault="00A37959">
            <w:r>
              <w:rPr>
                <w:rFonts w:ascii="Aptos" w:hAnsi="Aptos"/>
                <w:b/>
                <w:bCs/>
                <w:sz w:val="18"/>
                <w:szCs w:val="20"/>
              </w:rPr>
              <w:t>H332</w:t>
            </w:r>
            <w:r>
              <w:rPr>
                <w:rFonts w:ascii="Aptos" w:hAnsi="Aptos"/>
                <w:sz w:val="18"/>
                <w:szCs w:val="20"/>
              </w:rPr>
              <w:t xml:space="preserve">: </w:t>
            </w:r>
            <w:r>
              <w:rPr>
                <w:rFonts w:ascii="Aptos" w:hAnsi="Aptos"/>
                <w:sz w:val="18"/>
                <w:szCs w:val="20"/>
              </w:rPr>
              <w:t>nocivo se inalato</w:t>
            </w:r>
          </w:p>
          <w:p w:rsidR="00D50ABB" w:rsidRDefault="00A37959">
            <w:r>
              <w:rPr>
                <w:rFonts w:ascii="Aptos" w:hAnsi="Aptos"/>
                <w:b/>
                <w:bCs/>
                <w:sz w:val="18"/>
                <w:szCs w:val="20"/>
              </w:rPr>
              <w:t>H360</w:t>
            </w:r>
            <w:r>
              <w:rPr>
                <w:rFonts w:ascii="Aptos" w:hAnsi="Aptos"/>
                <w:sz w:val="18"/>
                <w:szCs w:val="20"/>
              </w:rPr>
              <w:t xml:space="preserve">: può nuocere alla fertilità o al feto  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D50ABB" w:rsidRDefault="00A3795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B–Gas/vapori inorganici</w:t>
            </w:r>
          </w:p>
          <w:p w:rsidR="00D50ABB" w:rsidRDefault="00A3795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D50ABB" w:rsidRDefault="00A3795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D50ABB"/>
          <w:p w:rsidR="00D50ABB" w:rsidRDefault="00D50ABB"/>
          <w:p w:rsidR="00D50ABB" w:rsidRDefault="00D50ABB"/>
          <w:p w:rsidR="00D50ABB" w:rsidRDefault="00D50ABB"/>
          <w:p w:rsidR="00D50ABB" w:rsidRDefault="00D50ABB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 xml:space="preserve">&lt; 10 </w:t>
            </w:r>
            <w:r>
              <w:rPr>
                <w:rFonts w:ascii="Aptos" w:hAnsi="Aptos"/>
                <w:b/>
                <w:sz w:val="16"/>
                <w:szCs w:val="16"/>
              </w:rPr>
              <w:t>Irrilevante/Basso</w:t>
            </w:r>
          </w:p>
          <w:p w:rsidR="00D50ABB" w:rsidRDefault="00A3795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D50ABB" w:rsidRDefault="00A3795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D50ABB" w:rsidRDefault="00A3795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D50ABB" w:rsidRDefault="00A3795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Fornitura di </w:t>
            </w:r>
            <w:r>
              <w:rPr>
                <w:rFonts w:ascii="Aptos" w:hAnsi="Aptos"/>
                <w:sz w:val="16"/>
                <w:szCs w:val="16"/>
              </w:rPr>
              <w:t xml:space="preserve">attrezzature per il lavoro specifico 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Attuazione di metodi di </w:t>
            </w:r>
            <w:r>
              <w:rPr>
                <w:rFonts w:ascii="Aptos" w:hAnsi="Aptos"/>
                <w:sz w:val="16"/>
                <w:szCs w:val="16"/>
              </w:rPr>
              <w:t>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</w:t>
            </w:r>
            <w:r>
              <w:rPr>
                <w:rFonts w:ascii="Aptos" w:hAnsi="Aptos"/>
                <w:sz w:val="16"/>
                <w:szCs w:val="16"/>
              </w:rPr>
              <w:t xml:space="preserve"> allarme in caso di incidenti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0ABB" w:rsidRDefault="00A3795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D50AB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50ABB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Guanti rischi </w:t>
            </w:r>
            <w:r>
              <w:rPr>
                <w:rFonts w:ascii="Aptos" w:hAnsi="Aptos"/>
                <w:sz w:val="16"/>
                <w:szCs w:val="16"/>
              </w:rPr>
              <w:t>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:rsidR="00D50ABB" w:rsidRDefault="00A37959">
            <w:r>
              <w:rPr>
                <w:rFonts w:ascii="Aptos" w:hAnsi="Aptos"/>
                <w:sz w:val="16"/>
                <w:szCs w:val="16"/>
              </w:rPr>
              <w:t xml:space="preserve"> Calzature (EN 20347)</w:t>
            </w:r>
          </w:p>
        </w:tc>
      </w:tr>
    </w:tbl>
    <w:p w:rsidR="00D50ABB" w:rsidRDefault="00D50ABB"/>
    <w:sectPr w:rsidR="00D50ABB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37959">
      <w:r>
        <w:separator/>
      </w:r>
    </w:p>
  </w:endnote>
  <w:endnote w:type="continuationSeparator" w:id="0">
    <w:p w:rsidR="00000000" w:rsidRDefault="00A3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37959">
      <w:r>
        <w:rPr>
          <w:color w:val="000000"/>
        </w:rPr>
        <w:separator/>
      </w:r>
    </w:p>
  </w:footnote>
  <w:footnote w:type="continuationSeparator" w:id="0">
    <w:p w:rsidR="00000000" w:rsidRDefault="00A37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50ABB"/>
    <w:rsid w:val="00A37959"/>
    <w:rsid w:val="00D5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