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757BBC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757BB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r>
              <w:rPr>
                <w:rFonts w:ascii="Aptos" w:hAnsi="Aptos"/>
                <w:b/>
                <w:bCs/>
                <w:sz w:val="22"/>
                <w:szCs w:val="22"/>
              </w:rPr>
              <w:t xml:space="preserve">Ossigeno 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c>
          <w:tcPr>
            <w:tcW w:w="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/>
        </w:tc>
        <w:tc>
          <w:tcPr>
            <w:tcW w:w="228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/>
        </w:tc>
        <w:tc>
          <w:tcPr>
            <w:tcW w:w="2827" w:type="dxa"/>
            <w:gridSpan w:val="6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/>
        </w:tc>
        <w:tc>
          <w:tcPr>
            <w:tcW w:w="2563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/>
        </w:tc>
        <w:tc>
          <w:tcPr>
            <w:tcW w:w="228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/>
        </w:tc>
        <w:tc>
          <w:tcPr>
            <w:tcW w:w="2827" w:type="dxa"/>
            <w:gridSpan w:val="6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/>
        </w:tc>
        <w:tc>
          <w:tcPr>
            <w:tcW w:w="2563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materiali combustibili e agenti riducenti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/>
        </w:tc>
        <w:tc>
          <w:tcPr>
            <w:tcW w:w="228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/>
        </w:tc>
        <w:tc>
          <w:tcPr>
            <w:tcW w:w="2827" w:type="dxa"/>
            <w:gridSpan w:val="6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/>
        </w:tc>
        <w:tc>
          <w:tcPr>
            <w:tcW w:w="2563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757BBC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757BBC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757BB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757BBC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Questa miscela è classificata come non pericolosa per l’uomo.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Kg </w:t>
            </w:r>
            <w:r>
              <w:rPr>
                <w:rFonts w:ascii="Aptos" w:hAnsi="Aptos"/>
                <w:sz w:val="20"/>
                <w:szCs w:val="20"/>
              </w:rPr>
              <w:t>utilizzati per addetto</w:t>
            </w:r>
          </w:p>
        </w:tc>
        <w:tc>
          <w:tcPr>
            <w:tcW w:w="2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:rsidR="00757BBC" w:rsidRDefault="000012A5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:rsidR="00757BBC" w:rsidRDefault="000012A5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E–Gas/vapori acidi</w:t>
            </w:r>
          </w:p>
          <w:p w:rsidR="00757BBC" w:rsidRDefault="000012A5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757BBC"/>
          <w:p w:rsidR="00757BBC" w:rsidRDefault="00757BBC"/>
          <w:p w:rsidR="00757BBC" w:rsidRDefault="00757BBC"/>
          <w:p w:rsidR="00757BBC" w:rsidRDefault="00757BBC"/>
          <w:p w:rsidR="00757BBC" w:rsidRDefault="00757BBC"/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:rsidR="00757BBC" w:rsidRDefault="000012A5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:rsidR="00757BBC" w:rsidRDefault="000012A5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:rsidR="00757BBC" w:rsidRDefault="000012A5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:rsidR="00757BBC" w:rsidRDefault="000012A5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Processi lavorativi appropriati: installazione di un sistema di aspirazione localizzato sulle fonti di emissione</w:t>
            </w:r>
          </w:p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</w:t>
            </w:r>
            <w:r>
              <w:rPr>
                <w:rFonts w:ascii="Aptos" w:hAnsi="Aptos"/>
                <w:sz w:val="16"/>
                <w:szCs w:val="16"/>
              </w:rPr>
              <w:t>incidenti</w:t>
            </w:r>
          </w:p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7BBC" w:rsidRDefault="000012A5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757BB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7BBC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757BBC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UNI EN ISO 16321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757BBC" w:rsidRDefault="00757BB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UNI EN 14387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>
              <w:rPr>
                <w:rFonts w:ascii="Aptos" w:hAnsi="Aptos"/>
                <w:sz w:val="16"/>
                <w:szCs w:val="16"/>
              </w:rPr>
              <w:t xml:space="preserve">: </w:t>
            </w:r>
            <w:r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Altro: 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7BBC" w:rsidRDefault="000012A5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>
              <w:rPr>
                <w:rFonts w:ascii="Aptos" w:hAnsi="Aptos"/>
                <w:sz w:val="16"/>
                <w:szCs w:val="16"/>
              </w:rPr>
              <w:t>UNI EN ISO 20345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</w:tr>
    </w:tbl>
    <w:p w:rsidR="00757BBC" w:rsidRDefault="00757BBC"/>
    <w:sectPr w:rsidR="00757BBC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0012A5">
      <w:r>
        <w:separator/>
      </w:r>
    </w:p>
  </w:endnote>
  <w:endnote w:type="continuationSeparator" w:id="0">
    <w:p w:rsidR="00000000" w:rsidRDefault="00001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0012A5">
      <w:r>
        <w:rPr>
          <w:color w:val="000000"/>
        </w:rPr>
        <w:separator/>
      </w:r>
    </w:p>
  </w:footnote>
  <w:footnote w:type="continuationSeparator" w:id="0">
    <w:p w:rsidR="00000000" w:rsidRDefault="000012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57BBC"/>
    <w:rsid w:val="000012A5"/>
    <w:rsid w:val="0075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