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2"/>
        <w:gridCol w:w="715"/>
        <w:gridCol w:w="66"/>
        <w:gridCol w:w="541"/>
        <w:gridCol w:w="264"/>
        <w:gridCol w:w="377"/>
        <w:gridCol w:w="266"/>
        <w:gridCol w:w="629"/>
        <w:gridCol w:w="299"/>
        <w:gridCol w:w="47"/>
        <w:gridCol w:w="71"/>
        <w:gridCol w:w="1272"/>
        <w:gridCol w:w="248"/>
        <w:gridCol w:w="648"/>
        <w:gridCol w:w="123"/>
        <w:gridCol w:w="56"/>
        <w:gridCol w:w="334"/>
        <w:gridCol w:w="278"/>
        <w:gridCol w:w="1776"/>
      </w:tblGrid>
      <w:tr w:rsidR="00F16EBF" w:rsidRPr="008B49ED" w14:paraId="56CD53BA" w14:textId="77777777" w:rsidTr="00F1176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B5CE686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045F86" w14:textId="488D8089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D15E09" w14:textId="77777777" w:rsidR="00F16EBF" w:rsidRPr="008B49ED" w:rsidRDefault="00F16EBF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B116E9D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Fumi di saldatura</w:t>
            </w:r>
          </w:p>
        </w:tc>
      </w:tr>
      <w:tr w:rsidR="00F16EBF" w:rsidRPr="008B49ED" w14:paraId="2FC3C358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E11E67B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10BAE850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29C577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1890613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IDENTIFICAZIONE AGENTE</w:t>
            </w:r>
          </w:p>
        </w:tc>
      </w:tr>
      <w:tr w:rsidR="00F16EBF" w:rsidRPr="008B49ED" w14:paraId="56050F02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D6EFDA2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5E932A66" w14:textId="77777777" w:rsidTr="00F1176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1B1DB3CB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5D873415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26E5F275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F16EBF" w:rsidRPr="008B49ED" w14:paraId="01D79A77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4ECE783A" w14:textId="77777777" w:rsidR="00F16EBF" w:rsidRPr="008B49ED" w:rsidRDefault="00F16EBF" w:rsidP="00F1176C">
            <w:pPr>
              <w:rPr>
                <w:rFonts w:ascii="Aptos" w:hAnsi="Aptos"/>
                <w:sz w:val="18"/>
                <w:szCs w:val="18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B49ED">
              <w:rPr>
                <w:rFonts w:ascii="Aptos" w:hAnsi="Aptos"/>
                <w:sz w:val="18"/>
                <w:szCs w:val="18"/>
              </w:rPr>
            </w:r>
            <w:r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61E7157F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79308D76" w14:textId="77777777" w:rsidR="00F16EBF" w:rsidRPr="008B49ED" w:rsidRDefault="00F16EBF" w:rsidP="00F1176C">
            <w:pPr>
              <w:rPr>
                <w:rFonts w:ascii="Aptos" w:hAnsi="Aptos"/>
                <w:sz w:val="18"/>
                <w:szCs w:val="18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B49ED">
              <w:rPr>
                <w:rFonts w:ascii="Aptos" w:hAnsi="Aptos"/>
                <w:sz w:val="18"/>
                <w:szCs w:val="18"/>
              </w:rPr>
            </w:r>
            <w:r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56AFF063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36A5DDDB" w14:textId="77777777" w:rsidR="00F16EBF" w:rsidRPr="008B49ED" w:rsidRDefault="00F16EBF" w:rsidP="00F1176C">
            <w:pPr>
              <w:rPr>
                <w:rFonts w:ascii="Aptos" w:hAnsi="Aptos"/>
                <w:sz w:val="18"/>
                <w:szCs w:val="18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B49ED">
              <w:rPr>
                <w:rFonts w:ascii="Aptos" w:hAnsi="Aptos"/>
                <w:sz w:val="18"/>
                <w:szCs w:val="18"/>
              </w:rPr>
            </w:r>
            <w:r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143CF6E0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F16EBF" w:rsidRPr="008B49ED" w14:paraId="0234BE64" w14:textId="77777777" w:rsidTr="00F1176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74D655A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B49ED">
              <w:rPr>
                <w:rFonts w:ascii="Aptos" w:hAnsi="Aptos"/>
                <w:sz w:val="18"/>
                <w:szCs w:val="18"/>
              </w:rPr>
            </w:r>
            <w:r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7F360848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56E8BA26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B49ED">
              <w:rPr>
                <w:rFonts w:ascii="Aptos" w:hAnsi="Aptos"/>
                <w:sz w:val="18"/>
                <w:szCs w:val="18"/>
              </w:rPr>
            </w:r>
            <w:r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393A37B8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0978679D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B49ED">
              <w:rPr>
                <w:rFonts w:ascii="Aptos" w:hAnsi="Aptos"/>
                <w:sz w:val="18"/>
                <w:szCs w:val="18"/>
              </w:rPr>
            </w:r>
            <w:r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6B2B9660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8B49ED">
              <w:rPr>
                <w:rFonts w:ascii="Aptos" w:hAnsi="Aptos"/>
                <w:sz w:val="20"/>
                <w:szCs w:val="20"/>
              </w:rPr>
            </w:r>
            <w:r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B49E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B49E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B49E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B49E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F16EBF" w:rsidRPr="008B49ED" w14:paraId="494456EE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C78A9D1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B49ED">
              <w:rPr>
                <w:rFonts w:ascii="Aptos" w:hAnsi="Aptos"/>
                <w:sz w:val="18"/>
                <w:szCs w:val="18"/>
              </w:rPr>
            </w:r>
            <w:r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7C178633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2D844A1D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B49ED">
              <w:rPr>
                <w:rFonts w:ascii="Aptos" w:hAnsi="Aptos"/>
                <w:sz w:val="18"/>
                <w:szCs w:val="18"/>
              </w:rPr>
            </w:r>
            <w:r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471C107A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1AB0FF46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8B49ED">
              <w:rPr>
                <w:rFonts w:ascii="Aptos" w:hAnsi="Aptos"/>
                <w:sz w:val="18"/>
                <w:szCs w:val="18"/>
              </w:rPr>
            </w:r>
            <w:r w:rsidRPr="008B49E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8B49E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133DE9F0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F16EBF" w:rsidRPr="008B49ED" w14:paraId="55CBBABE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5DC7D1E2" w14:textId="77777777" w:rsidR="00F16EBF" w:rsidRPr="008B49ED" w:rsidRDefault="00F16EBF" w:rsidP="00F1176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16EBF" w:rsidRPr="008B49ED" w14:paraId="1A65E751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03C7FD98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6800" w:type="dxa"/>
            <w:gridSpan w:val="15"/>
            <w:vAlign w:val="center"/>
          </w:tcPr>
          <w:p w14:paraId="2A585948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F16EBF" w:rsidRPr="008B49ED" w14:paraId="288560BB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5267BED4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B49ED">
              <w:rPr>
                <w:rFonts w:ascii="Aptos" w:hAnsi="Aptos"/>
                <w:sz w:val="20"/>
                <w:szCs w:val="20"/>
              </w:rPr>
            </w:r>
            <w:r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Manganese</w:t>
            </w:r>
          </w:p>
        </w:tc>
        <w:tc>
          <w:tcPr>
            <w:tcW w:w="6800" w:type="dxa"/>
            <w:gridSpan w:val="15"/>
            <w:vAlign w:val="center"/>
          </w:tcPr>
          <w:p w14:paraId="7110B1E4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0,2 mg/mc</w:t>
            </w:r>
          </w:p>
        </w:tc>
      </w:tr>
      <w:tr w:rsidR="00F16EBF" w:rsidRPr="008B49ED" w14:paraId="337164B2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1FDCA4CD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B49ED">
              <w:rPr>
                <w:rFonts w:ascii="Aptos" w:hAnsi="Aptos"/>
                <w:sz w:val="20"/>
                <w:szCs w:val="20"/>
              </w:rPr>
            </w:r>
            <w:r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Nichel</w:t>
            </w:r>
          </w:p>
        </w:tc>
        <w:tc>
          <w:tcPr>
            <w:tcW w:w="6800" w:type="dxa"/>
            <w:gridSpan w:val="15"/>
            <w:vAlign w:val="center"/>
          </w:tcPr>
          <w:p w14:paraId="6EAB0F28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0,2 mg/mc</w:t>
            </w:r>
          </w:p>
        </w:tc>
      </w:tr>
      <w:tr w:rsidR="00F16EBF" w:rsidRPr="008B49ED" w14:paraId="27CFADB4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2030E18C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B49ED">
              <w:rPr>
                <w:rFonts w:ascii="Aptos" w:hAnsi="Aptos"/>
                <w:sz w:val="20"/>
                <w:szCs w:val="20"/>
              </w:rPr>
            </w:r>
            <w:r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Cobalto</w:t>
            </w:r>
          </w:p>
        </w:tc>
        <w:tc>
          <w:tcPr>
            <w:tcW w:w="6800" w:type="dxa"/>
            <w:gridSpan w:val="15"/>
            <w:vAlign w:val="center"/>
          </w:tcPr>
          <w:p w14:paraId="0E498C62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0,02 mg/mc</w:t>
            </w:r>
          </w:p>
          <w:p w14:paraId="369B3AE2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IBE: cobalto nelle urine 15 mg/l</w:t>
            </w:r>
          </w:p>
          <w:p w14:paraId="7C2EBB2D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cobalto nel sangue 1 mg/l (f.t.s.l.)</w:t>
            </w:r>
          </w:p>
        </w:tc>
      </w:tr>
      <w:tr w:rsidR="00F16EBF" w:rsidRPr="008B49ED" w14:paraId="78E7D1A6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65478BB5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B49ED">
              <w:rPr>
                <w:rFonts w:ascii="Aptos" w:hAnsi="Aptos"/>
                <w:sz w:val="20"/>
                <w:szCs w:val="20"/>
              </w:rPr>
            </w:r>
            <w:r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Cromo III</w:t>
            </w:r>
          </w:p>
        </w:tc>
        <w:tc>
          <w:tcPr>
            <w:tcW w:w="6800" w:type="dxa"/>
            <w:gridSpan w:val="15"/>
            <w:vAlign w:val="center"/>
          </w:tcPr>
          <w:p w14:paraId="04C79D3D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0,5 mg/mc</w:t>
            </w:r>
          </w:p>
        </w:tc>
      </w:tr>
      <w:tr w:rsidR="00F16EBF" w:rsidRPr="008B49ED" w14:paraId="052AC483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7062B8C0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B49ED">
              <w:rPr>
                <w:rFonts w:ascii="Aptos" w:hAnsi="Aptos"/>
                <w:sz w:val="20"/>
                <w:szCs w:val="20"/>
              </w:rPr>
            </w:r>
            <w:r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Cromo VI</w:t>
            </w:r>
          </w:p>
        </w:tc>
        <w:tc>
          <w:tcPr>
            <w:tcW w:w="6800" w:type="dxa"/>
            <w:gridSpan w:val="15"/>
            <w:vAlign w:val="center"/>
          </w:tcPr>
          <w:p w14:paraId="165689B9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0,05 mg/mc</w:t>
            </w:r>
          </w:p>
          <w:p w14:paraId="10EE4E4F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IBE: cromo totale nelle urine 10 mg/g di creatinina (aumento d.t.)</w:t>
            </w:r>
          </w:p>
          <w:p w14:paraId="213EE6D9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30 mg/g di creatinina (f.t.s.l.)</w:t>
            </w:r>
          </w:p>
        </w:tc>
      </w:tr>
      <w:tr w:rsidR="00F16EBF" w:rsidRPr="008B49ED" w14:paraId="1EB34A64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54C19979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B49ED">
              <w:rPr>
                <w:rFonts w:ascii="Aptos" w:hAnsi="Aptos"/>
                <w:sz w:val="20"/>
                <w:szCs w:val="20"/>
              </w:rPr>
            </w:r>
            <w:r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Ossido di carbonio</w:t>
            </w:r>
          </w:p>
        </w:tc>
        <w:tc>
          <w:tcPr>
            <w:tcW w:w="6800" w:type="dxa"/>
            <w:gridSpan w:val="15"/>
            <w:vAlign w:val="center"/>
          </w:tcPr>
          <w:p w14:paraId="2229A687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29 mg/mc</w:t>
            </w:r>
          </w:p>
          <w:p w14:paraId="32E64E47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IBE: carbossi- emoglobina nel sangue 3,5% di emoglobina</w:t>
            </w:r>
          </w:p>
          <w:p w14:paraId="4855CD56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CO nell’aria di fine espirazione (20 ppm)</w:t>
            </w:r>
          </w:p>
        </w:tc>
      </w:tr>
      <w:tr w:rsidR="00F16EBF" w:rsidRPr="008B49ED" w14:paraId="7F0598F5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5F399240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B49ED">
              <w:rPr>
                <w:rFonts w:ascii="Aptos" w:hAnsi="Aptos"/>
                <w:sz w:val="20"/>
                <w:szCs w:val="20"/>
              </w:rPr>
            </w:r>
            <w:r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Biossido di azoto</w:t>
            </w:r>
          </w:p>
        </w:tc>
        <w:tc>
          <w:tcPr>
            <w:tcW w:w="6800" w:type="dxa"/>
            <w:gridSpan w:val="15"/>
            <w:vAlign w:val="center"/>
          </w:tcPr>
          <w:p w14:paraId="3EAC9CBB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5,6 mg/mc</w:t>
            </w:r>
          </w:p>
        </w:tc>
      </w:tr>
      <w:tr w:rsidR="00F16EBF" w:rsidRPr="008B49ED" w14:paraId="6724CA27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14C9E5D8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B49ED">
              <w:rPr>
                <w:rFonts w:ascii="Aptos" w:hAnsi="Aptos"/>
                <w:sz w:val="20"/>
                <w:szCs w:val="20"/>
              </w:rPr>
            </w:r>
            <w:r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Fumi di saldatura</w:t>
            </w:r>
          </w:p>
        </w:tc>
        <w:tc>
          <w:tcPr>
            <w:tcW w:w="6800" w:type="dxa"/>
            <w:gridSpan w:val="15"/>
            <w:vAlign w:val="center"/>
          </w:tcPr>
          <w:p w14:paraId="20834618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5 mg/mc</w:t>
            </w:r>
          </w:p>
        </w:tc>
      </w:tr>
      <w:tr w:rsidR="00F16EBF" w:rsidRPr="008B49ED" w14:paraId="1910A9C5" w14:textId="77777777" w:rsidTr="00F1176C">
        <w:tblPrEx>
          <w:shd w:val="clear" w:color="auto" w:fill="auto"/>
        </w:tblPrEx>
        <w:trPr>
          <w:trHeight w:val="227"/>
        </w:trPr>
        <w:tc>
          <w:tcPr>
            <w:tcW w:w="2994" w:type="dxa"/>
            <w:gridSpan w:val="7"/>
            <w:vAlign w:val="center"/>
          </w:tcPr>
          <w:p w14:paraId="096C264B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B49ED">
              <w:rPr>
                <w:rFonts w:ascii="Aptos" w:hAnsi="Aptos"/>
                <w:sz w:val="20"/>
                <w:szCs w:val="20"/>
              </w:rPr>
            </w:r>
            <w:r w:rsidRPr="008B49E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B49ED">
              <w:rPr>
                <w:rFonts w:ascii="Aptos" w:hAnsi="Aptos"/>
                <w:sz w:val="20"/>
                <w:szCs w:val="20"/>
              </w:rPr>
              <w:fldChar w:fldCharType="end"/>
            </w:r>
            <w:r w:rsidRPr="008B49ED">
              <w:rPr>
                <w:rFonts w:ascii="Aptos" w:hAnsi="Aptos"/>
                <w:sz w:val="20"/>
                <w:szCs w:val="20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>Particelle inalabili</w:t>
            </w:r>
          </w:p>
        </w:tc>
        <w:tc>
          <w:tcPr>
            <w:tcW w:w="6800" w:type="dxa"/>
            <w:gridSpan w:val="15"/>
            <w:vAlign w:val="center"/>
          </w:tcPr>
          <w:p w14:paraId="1505C2D9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t>TLV TWA: 10 mg/mc</w:t>
            </w:r>
          </w:p>
        </w:tc>
      </w:tr>
      <w:tr w:rsidR="00F16EBF" w:rsidRPr="008B49ED" w14:paraId="502AB85D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F4DA11E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7D163B27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11EFB808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3473C221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Si assegna al fumo di saldatura la seguente classificazione:</w:t>
            </w:r>
          </w:p>
          <w:p w14:paraId="57EB40CE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bCs/>
                <w:sz w:val="20"/>
                <w:szCs w:val="20"/>
              </w:rPr>
              <w:t>H332</w:t>
            </w:r>
            <w:r w:rsidRPr="008B49ED">
              <w:rPr>
                <w:rFonts w:ascii="Aptos" w:hAnsi="Aptos"/>
                <w:sz w:val="20"/>
                <w:szCs w:val="20"/>
              </w:rPr>
              <w:t xml:space="preserve">: tossicità acuta in caso di inalazione </w:t>
            </w:r>
          </w:p>
          <w:p w14:paraId="77221059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bCs/>
                <w:sz w:val="20"/>
                <w:szCs w:val="20"/>
              </w:rPr>
              <w:t>H312</w:t>
            </w:r>
            <w:r w:rsidRPr="008B49ED">
              <w:rPr>
                <w:rFonts w:ascii="Aptos" w:hAnsi="Aptos"/>
                <w:sz w:val="20"/>
                <w:szCs w:val="20"/>
              </w:rPr>
              <w:t xml:space="preserve">: tossicità acuta per via cutanea </w:t>
            </w:r>
          </w:p>
          <w:p w14:paraId="70DA2DA6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bCs/>
                <w:sz w:val="20"/>
                <w:szCs w:val="20"/>
              </w:rPr>
              <w:t>H302</w:t>
            </w:r>
            <w:r w:rsidRPr="008B49ED">
              <w:rPr>
                <w:rFonts w:ascii="Aptos" w:hAnsi="Aptos"/>
                <w:sz w:val="20"/>
                <w:szCs w:val="20"/>
              </w:rPr>
              <w:t xml:space="preserve">: tossicità acuta per via orale </w:t>
            </w:r>
          </w:p>
        </w:tc>
      </w:tr>
      <w:tr w:rsidR="00F16EBF" w:rsidRPr="008B49ED" w14:paraId="583D91DE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8E83F21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60CAA77C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10-100 a settimana</w:t>
            </w:r>
          </w:p>
        </w:tc>
        <w:tc>
          <w:tcPr>
            <w:tcW w:w="2472" w:type="dxa"/>
            <w:gridSpan w:val="6"/>
            <w:vAlign w:val="center"/>
          </w:tcPr>
          <w:p w14:paraId="5988195C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5541CC0A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26-50% dell’orario di lavoro</w:t>
            </w:r>
          </w:p>
        </w:tc>
      </w:tr>
      <w:tr w:rsidR="00F16EBF" w:rsidRPr="008B49ED" w14:paraId="4BF30922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4D11E39D" w14:textId="77777777" w:rsidR="00F16EBF" w:rsidRPr="008B49ED" w:rsidRDefault="00F16EBF" w:rsidP="00F1176C">
            <w:pPr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4255E270" w14:textId="77777777" w:rsidR="00F16EBF" w:rsidRPr="008B49ED" w:rsidRDefault="00F16EB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3DCCBCF" w14:textId="77777777" w:rsidR="00F16EBF" w:rsidRPr="008B49ED" w:rsidRDefault="00F16EB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7883BE54" w14:textId="77777777" w:rsidR="00F16EBF" w:rsidRPr="008B49ED" w:rsidRDefault="00F16EB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1299F90" w14:textId="77777777" w:rsidR="00F16EBF" w:rsidRPr="008B49ED" w:rsidRDefault="00F16EB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4DB4BAD" w14:textId="77777777" w:rsidR="00F16EBF" w:rsidRPr="008B49ED" w:rsidRDefault="00F16EBF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F16EBF" w:rsidRPr="008B49ED" w14:paraId="61CDFB08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5B23CA9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35857EA4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24415E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7EC765C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F16EBF" w:rsidRPr="008B49ED" w14:paraId="1872074F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D581D89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74A92CA2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98F22CF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3337597C" w14:textId="77777777" w:rsidR="00F16EBF" w:rsidRPr="008B49ED" w:rsidRDefault="00F16EBF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D70AE4E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DBD263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22D099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F16EBF" w:rsidRPr="008B49ED" w14:paraId="50786D78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92245C1" w14:textId="77777777" w:rsidR="00F16EBF" w:rsidRPr="008B49ED" w:rsidRDefault="00F16EBF" w:rsidP="00F1176C">
            <w:pPr>
              <w:jc w:val="center"/>
              <w:rPr>
                <w:rFonts w:ascii="Aptos" w:hAnsi="Aptos"/>
              </w:rPr>
            </w:pPr>
            <w:r w:rsidRPr="008B49ED">
              <w:rPr>
                <w:rFonts w:ascii="Aptos" w:hAnsi="Aptos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52DABD2D" w14:textId="77777777" w:rsidR="00F16EBF" w:rsidRPr="008B49ED" w:rsidRDefault="00F16EBF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2C984CCD" w14:textId="77777777" w:rsidR="00F16EBF" w:rsidRPr="008B49ED" w:rsidRDefault="00F16EBF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8B49ED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9C72C10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8B49ED">
              <w:rPr>
                <w:rFonts w:ascii="Aptos" w:hAnsi="Aptos"/>
                <w:b/>
                <w:sz w:val="28"/>
                <w:szCs w:val="28"/>
              </w:rPr>
              <w:t>18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8F2489E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b/>
                <w:sz w:val="16"/>
                <w:szCs w:val="16"/>
              </w:rPr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1D890F8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b/>
                <w:sz w:val="16"/>
                <w:szCs w:val="16"/>
              </w:rPr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C3E3D15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b/>
                <w:sz w:val="16"/>
                <w:szCs w:val="16"/>
              </w:rPr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ABA10F1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b/>
                <w:sz w:val="16"/>
                <w:szCs w:val="16"/>
              </w:rPr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F28BDDF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b/>
                <w:sz w:val="16"/>
                <w:szCs w:val="16"/>
              </w:rPr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9096D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ABB6647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24F76CD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D8D7B79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7C6CB76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F16EBF" w:rsidRPr="008B49ED" w14:paraId="74E0F3E1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70C7B3F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0FBB46A4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8F054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D28AE72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B8FC7D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b/>
                <w:sz w:val="16"/>
                <w:szCs w:val="16"/>
              </w:rPr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b/>
                <w:sz w:val="16"/>
                <w:szCs w:val="16"/>
              </w:rPr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F16EBF" w:rsidRPr="008B49ED" w14:paraId="594E4F9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E91C564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75FF011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C4F3708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131D9828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D92791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FCFD4A4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F16EBF" w:rsidRPr="008B49ED" w14:paraId="7EB7725B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716304AE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71BC62D6" w14:textId="77777777" w:rsidTr="00F1176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5EAB0385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b/>
                <w:sz w:val="16"/>
                <w:szCs w:val="16"/>
              </w:rPr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8B49ED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1B2E5E6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B49E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B49E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B49E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B49E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>)</w:t>
            </w:r>
          </w:p>
          <w:p w14:paraId="272A8791" w14:textId="77777777" w:rsidR="00F16EBF" w:rsidRPr="008B49ED" w:rsidRDefault="00F16EB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59F8571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3CF09A1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8B14D90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4F972B0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20B1C0ED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E4308A8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CAFF696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593C55E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10757B3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F16EBF" w:rsidRPr="008B49ED" w14:paraId="2B5EC8D2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328B2C3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74239BEB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4ADBEE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8E429C7" w14:textId="77777777" w:rsidR="00F16EBF" w:rsidRPr="008B49ED" w:rsidRDefault="00F16EBF" w:rsidP="00F1176C">
            <w:pPr>
              <w:rPr>
                <w:rFonts w:ascii="Aptos" w:hAnsi="Aptos"/>
                <w:b/>
              </w:rPr>
            </w:pPr>
            <w:r w:rsidRPr="008B49E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F16EBF" w:rsidRPr="008B49ED" w14:paraId="41E12AD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5218467" w14:textId="77777777" w:rsidR="00F16EBF" w:rsidRPr="008B49ED" w:rsidRDefault="00F16EBF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16EBF" w:rsidRPr="008B49ED" w14:paraId="04BC4204" w14:textId="77777777" w:rsidTr="00F1176C">
        <w:tblPrEx>
          <w:shd w:val="clear" w:color="auto" w:fill="auto"/>
        </w:tblPrEx>
        <w:tc>
          <w:tcPr>
            <w:tcW w:w="2444" w:type="dxa"/>
            <w:gridSpan w:val="6"/>
          </w:tcPr>
          <w:p w14:paraId="7634BE76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102" w:type="dxa"/>
            <w:gridSpan w:val="5"/>
          </w:tcPr>
          <w:p w14:paraId="607B9E97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172" w:type="dxa"/>
            <w:gridSpan w:val="9"/>
          </w:tcPr>
          <w:p w14:paraId="017FEC16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076" w:type="dxa"/>
            <w:gridSpan w:val="2"/>
          </w:tcPr>
          <w:p w14:paraId="2390CAAE" w14:textId="77777777" w:rsidR="00F16EBF" w:rsidRPr="008B49ED" w:rsidRDefault="00F16EBF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8B49E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F16EBF" w:rsidRPr="008B49ED" w14:paraId="0CA78E69" w14:textId="77777777" w:rsidTr="00F1176C">
        <w:tblPrEx>
          <w:shd w:val="clear" w:color="auto" w:fill="auto"/>
        </w:tblPrEx>
        <w:tc>
          <w:tcPr>
            <w:tcW w:w="2444" w:type="dxa"/>
            <w:gridSpan w:val="6"/>
          </w:tcPr>
          <w:p w14:paraId="453D5966" w14:textId="7A513E7B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Occhiali per saldatura </w:t>
            </w:r>
            <w:r w:rsidR="00774AB1" w:rsidRPr="00774AB1">
              <w:rPr>
                <w:rFonts w:ascii="Aptos" w:hAnsi="Aptos"/>
                <w:sz w:val="16"/>
                <w:szCs w:val="16"/>
              </w:rPr>
              <w:t>UNI EN ISO 16321</w:t>
            </w:r>
          </w:p>
        </w:tc>
        <w:tc>
          <w:tcPr>
            <w:tcW w:w="2102" w:type="dxa"/>
            <w:gridSpan w:val="5"/>
          </w:tcPr>
          <w:p w14:paraId="5D9B7A41" w14:textId="77777777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</w:tc>
        <w:tc>
          <w:tcPr>
            <w:tcW w:w="3172" w:type="dxa"/>
            <w:gridSpan w:val="9"/>
          </w:tcPr>
          <w:p w14:paraId="30ADE9D4" w14:textId="06ABFF60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Maschera per saldatura: </w:t>
            </w:r>
            <w:r w:rsidR="00774AB1" w:rsidRPr="00774AB1">
              <w:rPr>
                <w:rFonts w:ascii="Aptos" w:hAnsi="Aptos"/>
                <w:sz w:val="16"/>
                <w:szCs w:val="16"/>
              </w:rPr>
              <w:t>UNI EN ISO 16321</w:t>
            </w:r>
          </w:p>
        </w:tc>
        <w:tc>
          <w:tcPr>
            <w:tcW w:w="2076" w:type="dxa"/>
            <w:gridSpan w:val="2"/>
          </w:tcPr>
          <w:p w14:paraId="1AF0382B" w14:textId="111E3745" w:rsidR="00F16EBF" w:rsidRPr="008B49ED" w:rsidRDefault="00F16EBF" w:rsidP="00F1176C">
            <w:pPr>
              <w:rPr>
                <w:rFonts w:ascii="Aptos" w:hAnsi="Aptos"/>
                <w:sz w:val="16"/>
                <w:szCs w:val="16"/>
              </w:rPr>
            </w:pPr>
            <w:r w:rsidRPr="008B49E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49E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8B49ED">
              <w:rPr>
                <w:rFonts w:ascii="Aptos" w:hAnsi="Aptos"/>
                <w:sz w:val="16"/>
                <w:szCs w:val="16"/>
              </w:rPr>
            </w:r>
            <w:r w:rsidRPr="008B49E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8B49ED">
              <w:rPr>
                <w:rFonts w:ascii="Aptos" w:hAnsi="Aptos"/>
                <w:sz w:val="16"/>
                <w:szCs w:val="16"/>
              </w:rPr>
              <w:fldChar w:fldCharType="end"/>
            </w:r>
            <w:r w:rsidRPr="008B49ED">
              <w:rPr>
                <w:rFonts w:ascii="Aptos" w:hAnsi="Aptos"/>
                <w:sz w:val="16"/>
                <w:szCs w:val="16"/>
              </w:rPr>
              <w:t xml:space="preserve"> Tuta da lavoro</w:t>
            </w:r>
            <w:r w:rsidR="00774AB1">
              <w:rPr>
                <w:rFonts w:ascii="Aptos" w:hAnsi="Aptos"/>
                <w:sz w:val="16"/>
                <w:szCs w:val="16"/>
              </w:rPr>
              <w:t xml:space="preserve"> </w:t>
            </w:r>
            <w:r w:rsidR="00774AB1" w:rsidRPr="00774AB1">
              <w:rPr>
                <w:rFonts w:ascii="Aptos" w:hAnsi="Aptos"/>
                <w:sz w:val="16"/>
                <w:szCs w:val="16"/>
              </w:rPr>
              <w:t>UNI EN ISO 11611</w:t>
            </w:r>
          </w:p>
        </w:tc>
      </w:tr>
    </w:tbl>
    <w:p w14:paraId="2D088913" w14:textId="77777777" w:rsidR="00230D8C" w:rsidRDefault="00230D8C"/>
    <w:sectPr w:rsidR="00230D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BF"/>
    <w:rsid w:val="00230D8C"/>
    <w:rsid w:val="00774AB1"/>
    <w:rsid w:val="008B49ED"/>
    <w:rsid w:val="00A93650"/>
    <w:rsid w:val="00E43E52"/>
    <w:rsid w:val="00F1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1835B"/>
  <w15:chartTrackingRefBased/>
  <w15:docId w15:val="{DBE4D3E0-2203-5343-9F75-1DC1A9EE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16EB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2023-12-06T14:13:00Z</dcterms:created>
  <dcterms:modified xsi:type="dcterms:W3CDTF">2026-10-24T15:03:00Z</dcterms:modified>
</cp:coreProperties>
</file>