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6409DD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6409D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Finasteride Ph. Eur.</w:t>
            </w: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9DD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9DD">
        <w:tblPrEx>
          <w:tblCellMar>
            <w:top w:w="0" w:type="dxa"/>
            <w:bottom w:w="0" w:type="dxa"/>
          </w:tblCellMar>
        </w:tblPrEx>
        <w:tc>
          <w:tcPr>
            <w:tcW w:w="29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409DD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/>
        </w:tc>
        <w:tc>
          <w:tcPr>
            <w:tcW w:w="227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/>
        </w:tc>
        <w:tc>
          <w:tcPr>
            <w:tcW w:w="2832" w:type="dxa"/>
            <w:gridSpan w:val="7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/>
        </w:tc>
        <w:tc>
          <w:tcPr>
            <w:tcW w:w="2566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/>
        </w:tc>
        <w:tc>
          <w:tcPr>
            <w:tcW w:w="227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/>
        </w:tc>
        <w:tc>
          <w:tcPr>
            <w:tcW w:w="2832" w:type="dxa"/>
            <w:gridSpan w:val="7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/>
        </w:tc>
        <w:tc>
          <w:tcPr>
            <w:tcW w:w="2566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Incompatibilità con agenti ossidanti </w:t>
            </w:r>
          </w:p>
        </w:tc>
      </w:tr>
      <w:tr w:rsidR="006409DD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/>
        </w:tc>
        <w:tc>
          <w:tcPr>
            <w:tcW w:w="227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/>
        </w:tc>
        <w:tc>
          <w:tcPr>
            <w:tcW w:w="2832" w:type="dxa"/>
            <w:gridSpan w:val="7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/>
        </w:tc>
        <w:tc>
          <w:tcPr>
            <w:tcW w:w="2566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6409DD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6409D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r>
              <w:rPr>
                <w:rFonts w:ascii="Aptos" w:hAnsi="Aptos"/>
                <w:b/>
                <w:sz w:val="18"/>
                <w:szCs w:val="20"/>
              </w:rPr>
              <w:t>H302</w:t>
            </w:r>
            <w:r>
              <w:rPr>
                <w:rFonts w:ascii="Aptos" w:hAnsi="Aptos"/>
                <w:bCs/>
                <w:sz w:val="18"/>
                <w:szCs w:val="20"/>
              </w:rPr>
              <w:t xml:space="preserve">: nocivo se ingerito </w:t>
            </w:r>
          </w:p>
          <w:p w:rsidR="006409DD" w:rsidRDefault="00C27098">
            <w:r>
              <w:rPr>
                <w:rFonts w:ascii="Aptos" w:hAnsi="Aptos"/>
                <w:b/>
                <w:bCs/>
                <w:sz w:val="18"/>
                <w:szCs w:val="20"/>
              </w:rPr>
              <w:t>H317</w:t>
            </w:r>
            <w:r>
              <w:rPr>
                <w:rFonts w:ascii="Aptos" w:hAnsi="Aptos"/>
                <w:sz w:val="18"/>
                <w:szCs w:val="20"/>
              </w:rPr>
              <w:t>: può provocare una reazione allergica cutanea</w:t>
            </w:r>
          </w:p>
          <w:p w:rsidR="006409DD" w:rsidRDefault="00C27098">
            <w:r>
              <w:rPr>
                <w:rFonts w:ascii="Aptos" w:hAnsi="Aptos"/>
                <w:b/>
                <w:bCs/>
                <w:sz w:val="18"/>
                <w:szCs w:val="20"/>
              </w:rPr>
              <w:t>H334</w:t>
            </w:r>
            <w:r>
              <w:rPr>
                <w:rFonts w:ascii="Aptos" w:hAnsi="Aptos"/>
                <w:sz w:val="18"/>
                <w:szCs w:val="20"/>
              </w:rPr>
              <w:t xml:space="preserve">: può provocare </w:t>
            </w:r>
            <w:r>
              <w:rPr>
                <w:rFonts w:ascii="Aptos" w:hAnsi="Aptos"/>
                <w:sz w:val="18"/>
                <w:szCs w:val="20"/>
              </w:rPr>
              <w:t xml:space="preserve">sintomi allergici o asmatici o difficoltà respiratorie se inalato </w:t>
            </w: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r>
              <w:rPr>
                <w:rFonts w:ascii="Aptos" w:hAnsi="Aptos"/>
                <w:sz w:val="22"/>
                <w:szCs w:val="22"/>
              </w:rPr>
              <w:t>&lt;1 kg</w:t>
            </w:r>
          </w:p>
        </w:tc>
        <w:tc>
          <w:tcPr>
            <w:tcW w:w="24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26-50%</w:t>
            </w: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:rsidR="006409DD" w:rsidRDefault="00C27098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</w:t>
            </w:r>
            <w:r>
              <w:rPr>
                <w:rFonts w:ascii="Aptos" w:hAnsi="Aptos"/>
                <w:sz w:val="16"/>
                <w:szCs w:val="16"/>
              </w:rPr>
              <w:t>65°C)</w:t>
            </w:r>
          </w:p>
        </w:tc>
        <w:tc>
          <w:tcPr>
            <w:tcW w:w="34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:rsidR="006409DD" w:rsidRDefault="00C27098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:rsidR="006409DD" w:rsidRDefault="00C27098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9DD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347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9</w:t>
            </w:r>
          </w:p>
        </w:tc>
        <w:tc>
          <w:tcPr>
            <w:tcW w:w="611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6409DD"/>
          <w:p w:rsidR="006409DD" w:rsidRDefault="006409DD"/>
          <w:p w:rsidR="006409DD" w:rsidRDefault="006409DD"/>
          <w:p w:rsidR="006409DD" w:rsidRDefault="006409DD"/>
          <w:p w:rsidR="006409DD" w:rsidRDefault="006409DD"/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 xml:space="preserve">&lt; 10 </w:t>
            </w:r>
            <w:r>
              <w:rPr>
                <w:rFonts w:ascii="Aptos" w:hAnsi="Aptos"/>
                <w:b/>
                <w:sz w:val="16"/>
                <w:szCs w:val="16"/>
              </w:rPr>
              <w:t>Irrilevante/Basso</w:t>
            </w:r>
          </w:p>
          <w:p w:rsidR="006409DD" w:rsidRDefault="00C27098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:rsidR="006409DD" w:rsidRDefault="00C27098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:rsidR="006409DD" w:rsidRDefault="00C27098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:rsidR="006409DD" w:rsidRDefault="00C27098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9DD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9DD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:rsidR="006409DD" w:rsidRDefault="00C27098">
            <w:r>
              <w:rPr>
                <w:rFonts w:ascii="Aptos" w:hAnsi="Aptos"/>
                <w:sz w:val="16"/>
                <w:szCs w:val="16"/>
              </w:rPr>
              <w:t xml:space="preserve"> Fornitura di </w:t>
            </w:r>
            <w:r>
              <w:rPr>
                <w:rFonts w:ascii="Aptos" w:hAnsi="Aptos"/>
                <w:sz w:val="16"/>
                <w:szCs w:val="16"/>
              </w:rPr>
              <w:t xml:space="preserve">attrezzature per il lavoro specifico </w:t>
            </w:r>
          </w:p>
          <w:p w:rsidR="006409DD" w:rsidRDefault="00C27098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:rsidR="006409DD" w:rsidRDefault="00C27098">
            <w:r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:rsidR="006409DD" w:rsidRDefault="00C27098">
            <w:r>
              <w:rPr>
                <w:rFonts w:ascii="Aptos" w:hAnsi="Aptos"/>
                <w:sz w:val="16"/>
                <w:szCs w:val="16"/>
              </w:rPr>
              <w:t xml:space="preserve"> Attuazione di misure igieniche idonee</w:t>
            </w:r>
          </w:p>
          <w:p w:rsidR="006409DD" w:rsidRDefault="00C27098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:rsidR="006409DD" w:rsidRDefault="00C27098">
            <w:r>
              <w:rPr>
                <w:rFonts w:ascii="Aptos" w:hAnsi="Aptos"/>
                <w:sz w:val="16"/>
                <w:szCs w:val="16"/>
              </w:rPr>
              <w:t xml:space="preserve"> Attuazione di metodi di lavoro appr</w:t>
            </w:r>
            <w:r>
              <w:rPr>
                <w:rFonts w:ascii="Aptos" w:hAnsi="Aptos"/>
                <w:sz w:val="16"/>
                <w:szCs w:val="16"/>
              </w:rPr>
              <w:t>opriati</w:t>
            </w:r>
          </w:p>
        </w:tc>
        <w:tc>
          <w:tcPr>
            <w:tcW w:w="4805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r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:rsidR="006409DD" w:rsidRDefault="00C27098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:rsidR="006409DD" w:rsidRDefault="00C27098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:rsidR="006409DD" w:rsidRDefault="00C27098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 </w:t>
            </w:r>
            <w:r>
              <w:rPr>
                <w:rFonts w:ascii="Aptos" w:hAnsi="Aptos"/>
                <w:sz w:val="16"/>
                <w:szCs w:val="16"/>
              </w:rPr>
              <w:t>allarme in caso di incidenti</w:t>
            </w:r>
          </w:p>
          <w:p w:rsidR="006409DD" w:rsidRDefault="00C27098">
            <w:r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9DD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09DD" w:rsidRDefault="00C27098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409DD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6409D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9DD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409DD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r>
              <w:rPr>
                <w:rFonts w:ascii="Aptos" w:hAnsi="Aptos"/>
                <w:sz w:val="16"/>
                <w:szCs w:val="16"/>
              </w:rPr>
              <w:t xml:space="preserve"> Occhiali a maschera </w:t>
            </w:r>
            <w:r>
              <w:rPr>
                <w:rFonts w:ascii="Aptos" w:hAnsi="Aptos"/>
                <w:i/>
                <w:iCs/>
                <w:sz w:val="16"/>
                <w:szCs w:val="16"/>
              </w:rPr>
              <w:t xml:space="preserve"> UNI EN ISO 16321</w:t>
            </w:r>
          </w:p>
        </w:tc>
        <w:tc>
          <w:tcPr>
            <w:tcW w:w="2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r>
              <w:rPr>
                <w:rFonts w:ascii="Aptos" w:hAnsi="Aptos"/>
                <w:sz w:val="16"/>
                <w:szCs w:val="16"/>
              </w:rPr>
              <w:t xml:space="preserve"> Guanti rischi chimico/biologici (rif. Norma EN </w:t>
            </w:r>
            <w:r>
              <w:rPr>
                <w:rFonts w:ascii="Aptos" w:hAnsi="Aptos"/>
                <w:sz w:val="16"/>
                <w:szCs w:val="16"/>
              </w:rPr>
              <w:t>374)</w:t>
            </w:r>
          </w:p>
        </w:tc>
        <w:tc>
          <w:tcPr>
            <w:tcW w:w="28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r>
              <w:rPr>
                <w:rFonts w:ascii="Aptos" w:hAnsi="Aptos"/>
                <w:sz w:val="16"/>
                <w:szCs w:val="16"/>
              </w:rPr>
              <w:t xml:space="preserve"> Semimaschera facciale (EN 140) 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409DD" w:rsidRDefault="00C27098">
            <w:r>
              <w:rPr>
                <w:rFonts w:ascii="Aptos" w:hAnsi="Aptos"/>
                <w:sz w:val="16"/>
                <w:szCs w:val="16"/>
              </w:rPr>
              <w:t xml:space="preserve"> Indumenti di protezione (EN 13034)</w:t>
            </w:r>
          </w:p>
          <w:p w:rsidR="006409DD" w:rsidRDefault="00C27098">
            <w:r>
              <w:rPr>
                <w:rFonts w:ascii="Aptos" w:hAnsi="Aptos"/>
                <w:sz w:val="16"/>
                <w:szCs w:val="16"/>
              </w:rPr>
              <w:t xml:space="preserve"> Calzature (EN 20345)</w:t>
            </w:r>
          </w:p>
        </w:tc>
      </w:tr>
    </w:tbl>
    <w:p w:rsidR="006409DD" w:rsidRDefault="006409DD"/>
    <w:sectPr w:rsidR="006409DD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C27098">
      <w:r>
        <w:separator/>
      </w:r>
    </w:p>
  </w:endnote>
  <w:endnote w:type="continuationSeparator" w:id="0">
    <w:p w:rsidR="00000000" w:rsidRDefault="00C27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C27098">
      <w:r>
        <w:rPr>
          <w:color w:val="000000"/>
        </w:rPr>
        <w:separator/>
      </w:r>
    </w:p>
  </w:footnote>
  <w:footnote w:type="continuationSeparator" w:id="0">
    <w:p w:rsidR="00000000" w:rsidRDefault="00C270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409DD"/>
    <w:rsid w:val="006409DD"/>
    <w:rsid w:val="00C2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