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D20471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r>
              <w:rPr>
                <w:rFonts w:ascii="Aptos" w:hAnsi="Aptos"/>
                <w:b/>
                <w:bCs/>
                <w:sz w:val="22"/>
                <w:szCs w:val="22"/>
              </w:rPr>
              <w:t>Olio per cambi, differenziali, riduttori Gear Synthetic oil 75W80NF (Wladoil)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acidi e basi forti ed agenti ossidanti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H317: può </w:t>
            </w:r>
            <w:r>
              <w:rPr>
                <w:rFonts w:ascii="Aptos" w:hAnsi="Aptos"/>
                <w:b/>
                <w:sz w:val="18"/>
                <w:szCs w:val="20"/>
              </w:rPr>
              <w:t>provocare reazione allergica cutanea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H331: tossico se inalato 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H302: nocivo se ingerito 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H304: può essere letale in caso di ingestione e di penetrazione nelle vie respiratorie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H373: può provocare danni agli organi in caso di esposizione </w:t>
            </w:r>
            <w:r>
              <w:rPr>
                <w:rFonts w:ascii="Aptos" w:hAnsi="Aptos"/>
                <w:b/>
                <w:sz w:val="18"/>
                <w:szCs w:val="20"/>
              </w:rPr>
              <w:t>prolungata o ripetuta.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H314: provoca gravi ustioni cutanee e gravi lesioni oculari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H319: provoca grave irritazione oculare </w:t>
            </w:r>
          </w:p>
          <w:p w:rsidR="00D20471" w:rsidRDefault="00BA648B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H335: può irritare le vie respiratorie 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D20471" w:rsidRDefault="00BA648B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D20471" w:rsidRDefault="00BA648B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D20471" w:rsidRDefault="00BA648B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VALUTAZIONE DEL RISCHIO PER FATTORI (rischio </w:t>
            </w:r>
            <w:r>
              <w:rPr>
                <w:rFonts w:ascii="Aptos" w:hAnsi="Aptos"/>
                <w:b/>
              </w:rPr>
              <w:t>stimato)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16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D20471"/>
          <w:p w:rsidR="00D20471" w:rsidRDefault="00D20471"/>
          <w:p w:rsidR="00D20471" w:rsidRDefault="00D20471"/>
          <w:p w:rsidR="00D20471" w:rsidRDefault="00D20471"/>
          <w:p w:rsidR="00D20471" w:rsidRDefault="00D20471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D20471" w:rsidRDefault="00BA648B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D20471" w:rsidRDefault="00BA648B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D20471" w:rsidRDefault="00BA648B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D20471" w:rsidRDefault="00BA648B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Riduzione della durata e </w:t>
            </w:r>
            <w:r>
              <w:rPr>
                <w:rFonts w:ascii="Aptos" w:hAnsi="Aptos"/>
                <w:sz w:val="16"/>
                <w:szCs w:val="16"/>
              </w:rPr>
              <w:t>dell’intensità dell’esposizione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</w:t>
            </w:r>
            <w:r>
              <w:rPr>
                <w:rFonts w:ascii="Aptos" w:hAnsi="Aptos"/>
                <w:sz w:val="16"/>
                <w:szCs w:val="16"/>
              </w:rPr>
              <w:t>aspirazione localizzato sulle fonti di emissione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0471" w:rsidRDefault="00BA648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D20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20471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D20471" w:rsidRDefault="00D20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 xml:space="preserve">rif. norma UNI </w:t>
            </w:r>
            <w:r>
              <w:rPr>
                <w:rFonts w:ascii="Aptos" w:hAnsi="Aptos"/>
                <w:i/>
                <w:sz w:val="16"/>
                <w:szCs w:val="16"/>
              </w:rPr>
              <w:t>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D20471" w:rsidRDefault="00BA648B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0471" w:rsidRDefault="00BA648B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</w:t>
            </w:r>
            <w:r>
              <w:rPr>
                <w:rFonts w:ascii="Aptos" w:hAnsi="Aptos"/>
                <w:b/>
                <w:sz w:val="16"/>
                <w:szCs w:val="16"/>
              </w:rPr>
              <w:lastRenderedPageBreak/>
              <w:t xml:space="preserve">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D20471" w:rsidRDefault="00D20471"/>
    <w:sectPr w:rsidR="00D20471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A648B">
      <w:r>
        <w:separator/>
      </w:r>
    </w:p>
  </w:endnote>
  <w:endnote w:type="continuationSeparator" w:id="0">
    <w:p w:rsidR="00000000" w:rsidRDefault="00BA6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A648B">
      <w:r>
        <w:rPr>
          <w:color w:val="000000"/>
        </w:rPr>
        <w:separator/>
      </w:r>
    </w:p>
  </w:footnote>
  <w:footnote w:type="continuationSeparator" w:id="0">
    <w:p w:rsidR="00000000" w:rsidRDefault="00BA64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20471"/>
    <w:rsid w:val="00BA648B"/>
    <w:rsid w:val="00D2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