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C91D6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r>
              <w:rPr>
                <w:rFonts w:ascii="Aptos" w:hAnsi="Aptos"/>
                <w:b/>
                <w:bCs/>
                <w:sz w:val="22"/>
                <w:szCs w:val="22"/>
              </w:rPr>
              <w:t>Olio per differenziali, riduttori Syntehtic Gear 75W90 (Wladoil)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acidi e basi forti ed agenti ossidanti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H317: può provocare reazione </w:t>
            </w:r>
            <w:r>
              <w:rPr>
                <w:rFonts w:ascii="Aptos" w:hAnsi="Aptos"/>
                <w:b/>
                <w:sz w:val="18"/>
                <w:szCs w:val="20"/>
              </w:rPr>
              <w:t xml:space="preserve">allergica </w:t>
            </w:r>
          </w:p>
          <w:p w:rsidR="00C91D6C" w:rsidRDefault="00B27A74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H331: tossico se inalato </w:t>
            </w:r>
          </w:p>
          <w:p w:rsidR="00C91D6C" w:rsidRDefault="00B27A74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H302: nocivo se ingerito </w:t>
            </w:r>
          </w:p>
          <w:p w:rsidR="00C91D6C" w:rsidRDefault="00B27A74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H304: può essere letale in caso di ingestione e di penetrazione nelle vie respiratorie</w:t>
            </w:r>
          </w:p>
          <w:p w:rsidR="00C91D6C" w:rsidRDefault="00B27A74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H373: può provocare danni agli organi in caso di esposizione prolungata o ripetuta.</w:t>
            </w:r>
          </w:p>
          <w:p w:rsidR="00C91D6C" w:rsidRDefault="00B27A74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H314: provoca gravi us</w:t>
            </w:r>
            <w:r>
              <w:rPr>
                <w:rFonts w:ascii="Aptos" w:hAnsi="Aptos"/>
                <w:b/>
                <w:sz w:val="18"/>
                <w:szCs w:val="20"/>
              </w:rPr>
              <w:t>tioni cutanee e gravi lesioni oculari</w:t>
            </w:r>
          </w:p>
          <w:p w:rsidR="00C91D6C" w:rsidRDefault="00B27A74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H319: provoca grave irritazione oculare </w:t>
            </w:r>
          </w:p>
          <w:p w:rsidR="00C91D6C" w:rsidRDefault="00B27A74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H335: può irritare le vie respiratorie 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A–Gas/vapori organici (punto ebollizione &gt; 65°C)</w:t>
            </w:r>
          </w:p>
          <w:p w:rsidR="00C91D6C" w:rsidRDefault="00B27A7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C91D6C" w:rsidRDefault="00B27A7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C91D6C" w:rsidRDefault="00B27A7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16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C91D6C"/>
          <w:p w:rsidR="00C91D6C" w:rsidRDefault="00C91D6C"/>
          <w:p w:rsidR="00C91D6C" w:rsidRDefault="00C91D6C"/>
          <w:p w:rsidR="00C91D6C" w:rsidRDefault="00C91D6C"/>
          <w:p w:rsidR="00C91D6C" w:rsidRDefault="00C91D6C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C91D6C" w:rsidRDefault="00B27A7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C91D6C" w:rsidRDefault="00B27A7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C91D6C" w:rsidRDefault="00B27A7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C91D6C" w:rsidRDefault="00B27A7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MISURE DI PREVENZIONE E </w:t>
            </w:r>
            <w:r>
              <w:rPr>
                <w:rFonts w:ascii="Aptos" w:hAnsi="Aptos"/>
                <w:b/>
              </w:rPr>
              <w:t>PROTEZIONE (artt. 224, 225)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</w:t>
            </w:r>
            <w:r>
              <w:rPr>
                <w:rFonts w:ascii="Aptos" w:hAnsi="Aptos"/>
                <w:sz w:val="16"/>
                <w:szCs w:val="16"/>
              </w:rPr>
              <w:t>emissione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1D6C" w:rsidRDefault="00B27A7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DISPOSITIVI DI PROTEZIONE </w:t>
            </w:r>
            <w:r>
              <w:rPr>
                <w:rFonts w:ascii="Aptos" w:hAnsi="Aptos"/>
                <w:b/>
              </w:rPr>
              <w:t>INDIVIDUALE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C91D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91D6C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C91D6C" w:rsidRDefault="00C91D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C91D6C" w:rsidRDefault="00B27A74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1D6C" w:rsidRDefault="00B27A74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</w:t>
            </w:r>
            <w:r>
              <w:rPr>
                <w:rFonts w:ascii="Aptos" w:hAnsi="Aptos"/>
                <w:b/>
                <w:sz w:val="16"/>
                <w:szCs w:val="16"/>
              </w:rPr>
              <w:lastRenderedPageBreak/>
              <w:t xml:space="preserve">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:rsidR="00C91D6C" w:rsidRDefault="00C91D6C"/>
    <w:sectPr w:rsidR="00C91D6C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27A74">
      <w:r>
        <w:separator/>
      </w:r>
    </w:p>
  </w:endnote>
  <w:endnote w:type="continuationSeparator" w:id="0">
    <w:p w:rsidR="00000000" w:rsidRDefault="00B27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27A74">
      <w:r>
        <w:rPr>
          <w:color w:val="000000"/>
        </w:rPr>
        <w:separator/>
      </w:r>
    </w:p>
  </w:footnote>
  <w:footnote w:type="continuationSeparator" w:id="0">
    <w:p w:rsidR="00000000" w:rsidRDefault="00B27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91D6C"/>
    <w:rsid w:val="00B27A74"/>
    <w:rsid w:val="00C9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