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372D2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372D2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r>
              <w:rPr>
                <w:rFonts w:ascii="Aptos" w:hAnsi="Aptos"/>
                <w:b/>
                <w:bCs/>
                <w:sz w:val="22"/>
                <w:szCs w:val="22"/>
              </w:rPr>
              <w:t>Sigillante Trufalle per impianti A/C plus (Berner)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Contatto con la </w:t>
            </w:r>
            <w:r>
              <w:rPr>
                <w:rFonts w:ascii="Aptos" w:hAnsi="Aptos"/>
                <w:sz w:val="20"/>
                <w:szCs w:val="20"/>
              </w:rPr>
              <w:t>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Incompatibilità 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372D2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372D23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372D2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372D23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r>
              <w:rPr>
                <w:rFonts w:ascii="Aptos" w:hAnsi="Aptos"/>
                <w:b/>
                <w:sz w:val="18"/>
                <w:szCs w:val="20"/>
              </w:rPr>
              <w:t>Questa miscela è classificata come non pericolosa.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372D23" w:rsidRDefault="00676AB7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372D23" w:rsidRDefault="00676AB7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372D23" w:rsidRDefault="00676AB7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372D23"/>
          <w:p w:rsidR="00372D23" w:rsidRDefault="00372D23"/>
          <w:p w:rsidR="00372D23" w:rsidRDefault="00372D23"/>
          <w:p w:rsidR="00372D23" w:rsidRDefault="00372D23"/>
          <w:p w:rsidR="00372D23" w:rsidRDefault="00372D23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:rsidR="00372D23" w:rsidRDefault="00676AB7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372D23" w:rsidRDefault="00676AB7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372D23" w:rsidRDefault="00676AB7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372D23" w:rsidRDefault="00676AB7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VALUTAZIONE DEL </w:t>
            </w:r>
            <w:r>
              <w:rPr>
                <w:rFonts w:ascii="Aptos" w:hAnsi="Aptos"/>
                <w:b/>
              </w:rPr>
              <w:t>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Riduzione della durata e dell’intensità dell’esposizione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Processi lavorativi appropriati: </w:t>
            </w:r>
            <w:r>
              <w:rPr>
                <w:rFonts w:ascii="Aptos" w:hAnsi="Aptos"/>
                <w:sz w:val="16"/>
                <w:szCs w:val="16"/>
              </w:rPr>
              <w:t>installazione di un sistema di aspirazione localizzato sulle fonti di emissione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Attuazione di un piano</w:t>
            </w:r>
            <w:r>
              <w:rPr>
                <w:rFonts w:ascii="Aptos" w:hAnsi="Aptos"/>
                <w:sz w:val="16"/>
                <w:szCs w:val="16"/>
              </w:rPr>
              <w:t xml:space="preserve"> di formazione e informazione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2D23" w:rsidRDefault="00676AB7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372D2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2D23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72D23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372D23" w:rsidRDefault="00372D2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2D23" w:rsidRDefault="00676AB7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:rsidR="00372D23" w:rsidRDefault="00372D23"/>
    <w:sectPr w:rsidR="00372D23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76AB7">
      <w:r>
        <w:separator/>
      </w:r>
    </w:p>
  </w:endnote>
  <w:endnote w:type="continuationSeparator" w:id="0">
    <w:p w:rsidR="00000000" w:rsidRDefault="00676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76AB7">
      <w:r>
        <w:rPr>
          <w:color w:val="000000"/>
        </w:rPr>
        <w:separator/>
      </w:r>
    </w:p>
  </w:footnote>
  <w:footnote w:type="continuationSeparator" w:id="0">
    <w:p w:rsidR="00000000" w:rsidRDefault="00676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72D23"/>
    <w:rsid w:val="00372D23"/>
    <w:rsid w:val="0067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