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High-level test case (Monobank)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75.0" w:type="dxa"/>
        <w:jc w:val="left"/>
        <w:tblInd w:w="-1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5520"/>
        <w:gridCol w:w="2730"/>
        <w:gridCol w:w="2355"/>
        <w:tblGridChange w:id="0">
          <w:tblGrid>
            <w:gridCol w:w="1170"/>
            <w:gridCol w:w="5520"/>
            <w:gridCol w:w="273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Name/Functionality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Samsung Galaxy S21 (Android 14, One UI 6.1)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iPhone 14 (iOS 18.2)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Transfer money feature from the main account in the “Monobank” app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Low-level test case (Monobank)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430"/>
        <w:gridCol w:w="2925"/>
        <w:gridCol w:w="3135"/>
        <w:gridCol w:w="2520"/>
        <w:tblGridChange w:id="0">
          <w:tblGrid>
            <w:gridCol w:w="825"/>
            <w:gridCol w:w="2430"/>
            <w:gridCol w:w="2925"/>
            <w:gridCol w:w="3135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TC-1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Transferring money from the main account (“White” card) to the second account (“Black” card) within one user.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The “Біла” card is created and contains an amount of 300 UAH.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The “Чорна” card is empty, opened, and displayed in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Open the “Monobank”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“Уведіть ПІН-код” section is displayed.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Enter an app’s password in the “Уведіть ПІН-код” section.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data: 1177.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password is accepted. The main section with the “Біла” card is displayed.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Swipe right to display a “Чорна” card and tap on the “+” symbol before an amount.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“Чорна” card is selected. The “Спосіб поповнення” section is displayed.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Select the “З білої карти” feature in the “Мої карти”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“З білої карти” menu is opened. A balance with the 300 UAH sum and a keyboard is displayed.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Set the sum to transfer from the “Біла” card to the “Чорна” one and tap on the “Поповнити” button.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data: 100 UAH.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“Платіж відправлено. 100 ₴ на карту </w:t>
            </w:r>
            <w:r w:rsidDel="00000000" w:rsidR="00000000" w:rsidRPr="00000000">
              <w:rPr>
                <w:b w:val="1"/>
                <w:rtl w:val="0"/>
              </w:rPr>
              <w:t xml:space="preserve">Моя чорна іменна картка</w:t>
            </w:r>
            <w:r w:rsidDel="00000000" w:rsidR="00000000" w:rsidRPr="00000000">
              <w:rPr>
                <w:rtl w:val="0"/>
              </w:rPr>
              <w:t xml:space="preserve">” message is displayed.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Tap on the “Готово” button and take a look at the amount of the “Чорна” card.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transfer is confirmed. The amount is changed to 200 UAH. The 100 UAH is credited to the “Чорна” card.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TC-2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Transferring money from the main account (“White” card) to the outside/another account by adding a cardholder number.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The “Monobank” app is </w:t>
            </w:r>
            <w:r w:rsidDel="00000000" w:rsidR="00000000" w:rsidRPr="00000000">
              <w:rPr>
                <w:rtl w:val="0"/>
              </w:rPr>
              <w:t xml:space="preserve">opened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  <w:t xml:space="preserve">2. The password is entered.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The main section with the “Біла” card is displayed.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“Біла” card is created and contains an amount of 200 UAH.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Tap on the “Переказати на карту”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“Переказати на карту” section is opened.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Tap on the “Уведіть ім’я, номер картки або телефон” field and add the cardholder number.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data: 4444 1234 4567 6789.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carriage icon is blinking and the keyboard is displayed.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“Створити платіж” button is active.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Tap on the “Створити платіж”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transfer menu is opened. A balance with the 200 UAH sum and a keyboard is displayed.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Set the sum to transfer from the “Біла” card to the “</w:t>
            </w:r>
            <w:r w:rsidDel="00000000" w:rsidR="00000000" w:rsidRPr="00000000">
              <w:rPr>
                <w:b w:val="1"/>
                <w:rtl w:val="0"/>
              </w:rPr>
              <w:t xml:space="preserve">4444 1234 4567 6789</w:t>
            </w:r>
            <w:r w:rsidDel="00000000" w:rsidR="00000000" w:rsidRPr="00000000">
              <w:rPr>
                <w:rtl w:val="0"/>
              </w:rPr>
              <w:t xml:space="preserve">” one and tap on the “Надіслати” button.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data: 100 UAH.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“Платіж відправлено. 100 ₴ на карту “</w:t>
            </w:r>
            <w:r w:rsidDel="00000000" w:rsidR="00000000" w:rsidRPr="00000000">
              <w:rPr>
                <w:b w:val="1"/>
                <w:rtl w:val="0"/>
              </w:rPr>
              <w:t xml:space="preserve">4444 1234 4567 6789</w:t>
            </w:r>
            <w:r w:rsidDel="00000000" w:rsidR="00000000" w:rsidRPr="00000000">
              <w:rPr>
                <w:rtl w:val="0"/>
              </w:rPr>
              <w:t xml:space="preserve">” message is displayed.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Tap on the “Готово” button and take a look at the amount of the “Біла” card.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transfer is confirmed. The amount is changed to 100 UAH. The 100 UAH is credited to the “</w:t>
            </w:r>
            <w:r w:rsidDel="00000000" w:rsidR="00000000" w:rsidRPr="00000000">
              <w:rPr>
                <w:b w:val="1"/>
                <w:rtl w:val="0"/>
              </w:rPr>
              <w:t xml:space="preserve">4444 1234 4567 6789</w:t>
            </w:r>
            <w:r w:rsidDel="00000000" w:rsidR="00000000" w:rsidRPr="00000000">
              <w:rPr>
                <w:rtl w:val="0"/>
              </w:rPr>
              <w:t xml:space="preserve">” card.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TC-3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Transferring money from the main account (“White” card) to the outside/another account via IBAN.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“Monobank” app is </w:t>
            </w:r>
            <w:r w:rsidDel="00000000" w:rsidR="00000000" w:rsidRPr="00000000">
              <w:rPr>
                <w:rtl w:val="0"/>
              </w:rPr>
              <w:t xml:space="preserve">opened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  <w:t xml:space="preserve">2. The password is entered.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The main section with the “Біла” card is displayed.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“Біла” card is created and contains an amount of 100 UAH.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Tap on the “Платіж за IBAN”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“Платіж за IBAN” section is opened.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Tap on the “Уведіть IBAN, ім’я або назву компанії” field and add the IBAN.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data: UA012345678901234567890123456.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carriage icon is blinking and the keyboard is displayed.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“Створити платіж” button is active.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Tap on the “Створити платіж”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transfer menu is opened. A balance with the 100 UAH sum and a keyboard is displayed.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Set the sum to transfer from the “Біла” card to the “Рога &amp; Копыта. UA012345678901234567890123456” one, fill in the purpose of the payment field, and tap on the “Надіслати” button.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data: 100 UAH; Purpose of payment: Education.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“Платіж відправлено. 100 ₴ на карту “</w:t>
            </w:r>
            <w:r w:rsidDel="00000000" w:rsidR="00000000" w:rsidRPr="00000000">
              <w:rPr>
                <w:b w:val="1"/>
                <w:rtl w:val="0"/>
              </w:rPr>
              <w:t xml:space="preserve">Рога &amp; Копыта. UA012345678901234567890123456</w:t>
            </w:r>
            <w:r w:rsidDel="00000000" w:rsidR="00000000" w:rsidRPr="00000000">
              <w:rPr>
                <w:rtl w:val="0"/>
              </w:rPr>
              <w:t xml:space="preserve">” message is displayed.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Tap on the “Готово” button and take a look at the amount of the “Біла” card.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transfer is confirmed. The amount is changed to 0 UAH. The 100 UAH is credited to the “</w:t>
            </w:r>
            <w:r w:rsidDel="00000000" w:rsidR="00000000" w:rsidRPr="00000000">
              <w:rPr>
                <w:b w:val="1"/>
                <w:rtl w:val="0"/>
              </w:rPr>
              <w:t xml:space="preserve">Рога &amp; Копыта. UA012345678901234567890123456</w:t>
            </w:r>
            <w:r w:rsidDel="00000000" w:rsidR="00000000" w:rsidRPr="00000000">
              <w:rPr>
                <w:rtl w:val="0"/>
              </w:rPr>
              <w:t xml:space="preserve">” account.</w:t>
            </w:r>
          </w:p>
        </w:tc>
      </w:tr>
    </w:tbl>
    <w:p w:rsidR="00000000" w:rsidDel="00000000" w:rsidP="00000000" w:rsidRDefault="00000000" w:rsidRPr="00000000" w14:paraId="0000007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Sprout</w:t>
      </w:r>
    </w:p>
    <w:p w:rsidR="00000000" w:rsidDel="00000000" w:rsidP="00000000" w:rsidRDefault="00000000" w:rsidRPr="00000000" w14:paraId="0000007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b w:val="1"/>
          <w:rtl w:val="0"/>
        </w:rPr>
        <w:t xml:space="preserve">Work Breakdown Structure (WBS)</w:t>
      </w:r>
      <w:r w:rsidDel="00000000" w:rsidR="00000000" w:rsidRPr="00000000">
        <w:rPr>
          <w:rtl w:val="0"/>
        </w:rPr>
        <w:t xml:space="preserve"> подход можно применить для оценки высокоуровневого “Transfer money feature from the main account in the “Monobank” app” тест кейса методом декомпозиции сложного функционала на более мелкие (ТС-1, ТС-2, ТС-3), чтобы более точно оценить время, которое потребуется тестировщику для проверки данного функционала. Исходя из декомпозиции и опыта на предыдущих проектах для теста потребуется </w:t>
      </w:r>
      <w:r w:rsidDel="00000000" w:rsidR="00000000" w:rsidRPr="00000000">
        <w:rPr>
          <w:b w:val="1"/>
          <w:rtl w:val="0"/>
        </w:rPr>
        <w:t xml:space="preserve">1 тестировщик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60 минут</w:t>
      </w:r>
      <w:r w:rsidDel="00000000" w:rsidR="00000000" w:rsidRPr="00000000">
        <w:rPr>
          <w:rtl w:val="0"/>
        </w:rPr>
        <w:t xml:space="preserve"> времени (</w:t>
      </w:r>
      <w:r w:rsidDel="00000000" w:rsidR="00000000" w:rsidRPr="00000000">
        <w:rPr>
          <w:b w:val="1"/>
          <w:rtl w:val="0"/>
        </w:rPr>
        <w:t xml:space="preserve">50 минут</w:t>
      </w:r>
      <w:r w:rsidDel="00000000" w:rsidR="00000000" w:rsidRPr="00000000">
        <w:rPr>
          <w:rtl w:val="0"/>
        </w:rPr>
        <w:t xml:space="preserve"> основного времени + 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 риски заложенные на форс-мажорные обстоятельства), чтобы покрыть данные тестовые случаи.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b w:val="1"/>
          <w:rtl w:val="0"/>
        </w:rPr>
        <w:t xml:space="preserve">Three-Point estimation (метод 3-х точек) </w:t>
      </w:r>
      <w:r w:rsidDel="00000000" w:rsidR="00000000" w:rsidRPr="00000000">
        <w:rPr>
          <w:rtl w:val="0"/>
        </w:rPr>
        <w:t xml:space="preserve">подход позволит нам оценить данный функционал с точки зрения всех (оптимального, реального и негативного) сценария. По сути, техника основана на рисках и учитывает различные вариации развития событий. Вычисляется по формуле: </w:t>
      </w:r>
      <w:r w:rsidDel="00000000" w:rsidR="00000000" w:rsidRPr="00000000">
        <w:rPr>
          <w:b w:val="1"/>
          <w:rtl w:val="0"/>
        </w:rPr>
        <w:t xml:space="preserve">E = (a + m + b) / 3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Е</w:t>
      </w:r>
      <w:r w:rsidDel="00000000" w:rsidR="00000000" w:rsidRPr="00000000">
        <w:rPr>
          <w:rtl w:val="0"/>
        </w:rPr>
        <w:t xml:space="preserve"> – оценка времени, 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– оптимистичное значение (в нашем случае в минутах),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– реальное значение (в минутах),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– пессимистическое значение (в минутах).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b w:val="1"/>
          <w:rtl w:val="0"/>
        </w:rPr>
        <w:t xml:space="preserve">TC-1:</w:t>
      </w:r>
      <w:r w:rsidDel="00000000" w:rsidR="00000000" w:rsidRPr="00000000">
        <w:rPr>
          <w:rtl w:val="0"/>
        </w:rPr>
        <w:t xml:space="preserve"> (7+13+16)/3 = </w:t>
      </w:r>
      <w:r w:rsidDel="00000000" w:rsidR="00000000" w:rsidRPr="00000000">
        <w:rPr>
          <w:b w:val="1"/>
          <w:rtl w:val="0"/>
        </w:rPr>
        <w:t xml:space="preserve">12 минут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b w:val="1"/>
          <w:rtl w:val="0"/>
        </w:rPr>
        <w:t xml:space="preserve">ТС-2:</w:t>
      </w:r>
      <w:r w:rsidDel="00000000" w:rsidR="00000000" w:rsidRPr="00000000">
        <w:rPr>
          <w:rtl w:val="0"/>
        </w:rPr>
        <w:t xml:space="preserve"> (9+15+18)/3 = </w:t>
      </w:r>
      <w:r w:rsidDel="00000000" w:rsidR="00000000" w:rsidRPr="00000000">
        <w:rPr>
          <w:b w:val="1"/>
          <w:rtl w:val="0"/>
        </w:rPr>
        <w:t xml:space="preserve">14 минут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b w:val="1"/>
          <w:rtl w:val="0"/>
        </w:rPr>
        <w:t xml:space="preserve">ТС-3:</w:t>
      </w:r>
      <w:r w:rsidDel="00000000" w:rsidR="00000000" w:rsidRPr="00000000">
        <w:rPr>
          <w:rtl w:val="0"/>
        </w:rPr>
        <w:t xml:space="preserve"> (11+19+25)/3 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highlight w:val="white"/>
          <w:rtl w:val="0"/>
        </w:rPr>
        <w:t xml:space="preserve">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18 минут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Отсюда следует вывод, что для проверки высокоуровневого “Transfer money feature from the main account in the “Monobank” app” тест-кейса потребуется около </w:t>
      </w:r>
      <w:r w:rsidDel="00000000" w:rsidR="00000000" w:rsidRPr="00000000">
        <w:rPr>
          <w:b w:val="1"/>
          <w:rtl w:val="0"/>
        </w:rPr>
        <w:t xml:space="preserve">54 минут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