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D3194" w:rsidR="003D3194" w:rsidP="003D3194" w:rsidRDefault="003D3194" w14:paraId="346E375B" w14:textId="77777777">
      <w:pPr>
        <w:jc w:val="center"/>
      </w:pPr>
    </w:p>
    <w:p w:rsidRPr="003D3194" w:rsidR="003D3194" w:rsidP="003D3194" w:rsidRDefault="003D3194" w14:paraId="034E5D4D" w14:textId="77777777">
      <w:pPr>
        <w:pStyle w:val="DecHCase"/>
      </w:pPr>
      <w:r w:rsidRPr="003D3194">
        <w:t>FIRST SECTION</w:t>
      </w:r>
    </w:p>
    <w:p w:rsidRPr="003D3194" w:rsidR="003D3194" w:rsidP="003D3194" w:rsidRDefault="003D3194" w14:paraId="705E1222" w14:textId="77777777">
      <w:pPr>
        <w:pStyle w:val="JuTitle"/>
        <w:spacing w:before="1080"/>
      </w:pPr>
      <w:bookmarkStart w:name="To" w:id="0"/>
      <w:r w:rsidRPr="003D3194">
        <w:rPr>
          <w:color w:val="000000" w:themeColor="text1"/>
        </w:rPr>
        <w:t xml:space="preserve">CASE OF </w:t>
      </w:r>
      <w:bookmarkEnd w:id="0"/>
      <w:r w:rsidRPr="003D3194">
        <w:t>BIANCARDI v. ITALY</w:t>
      </w:r>
    </w:p>
    <w:p w:rsidRPr="003D3194" w:rsidR="003D3194" w:rsidP="003D3194" w:rsidRDefault="003D3194" w14:paraId="63EAA746" w14:textId="77777777">
      <w:pPr>
        <w:pStyle w:val="ECHRCoverTitle4"/>
      </w:pPr>
      <w:r w:rsidRPr="003D3194">
        <w:t>(Application no. 77419/16)</w:t>
      </w:r>
    </w:p>
    <w:p w:rsidRPr="003D3194" w:rsidR="003D3194" w:rsidP="003D3194" w:rsidRDefault="003D3194" w14:paraId="3C202230" w14:textId="77777777">
      <w:pPr>
        <w:pStyle w:val="DecHCase"/>
      </w:pPr>
    </w:p>
    <w:p w:rsidRPr="003D3194" w:rsidR="003D3194" w:rsidP="003D3194" w:rsidRDefault="003D3194" w14:paraId="37CC6BA5" w14:textId="77777777">
      <w:pPr>
        <w:pStyle w:val="DecHCase"/>
      </w:pPr>
    </w:p>
    <w:p w:rsidRPr="003D3194" w:rsidR="003D3194" w:rsidP="003D3194" w:rsidRDefault="003D3194" w14:paraId="384A7B79" w14:textId="77777777">
      <w:pPr>
        <w:pStyle w:val="DecHCase"/>
        <w:spacing w:after="240"/>
      </w:pPr>
      <w:r w:rsidRPr="003D3194">
        <w:t>JUDGMENT</w:t>
      </w:r>
      <w:r w:rsidRPr="003D3194">
        <w:br/>
      </w:r>
    </w:p>
    <w:p w:rsidRPr="003D3194" w:rsidR="003D3194" w:rsidP="003D3194" w:rsidRDefault="003D3194" w14:paraId="1C6FA554" w14:textId="77777777">
      <w:pPr>
        <w:pStyle w:val="JuPara"/>
        <w:pBdr>
          <w:top w:val="single" w:color="auto" w:sz="4" w:space="1"/>
          <w:left w:val="single" w:color="auto" w:sz="4" w:space="4"/>
          <w:bottom w:val="single" w:color="auto" w:sz="4" w:space="1"/>
          <w:right w:val="single" w:color="auto" w:sz="4" w:space="4"/>
        </w:pBdr>
        <w:ind w:firstLine="0"/>
      </w:pPr>
      <w:r w:rsidRPr="003D3194">
        <w:t xml:space="preserve">Art 10 • Freedom of expression • Civil judgment against newspaper </w:t>
      </w:r>
      <w:r w:rsidRPr="003D3194">
        <w:rPr>
          <w:bCs/>
        </w:rPr>
        <w:t xml:space="preserve">editor </w:t>
      </w:r>
      <w:r w:rsidRPr="003D3194">
        <w:t>for refusal over long period to de-index article</w:t>
      </w:r>
      <w:r w:rsidRPr="003D3194">
        <w:rPr>
          <w:bCs/>
        </w:rPr>
        <w:t xml:space="preserve"> </w:t>
      </w:r>
      <w:r w:rsidRPr="003D3194">
        <w:t xml:space="preserve">on criminal case against private individuals, easily accessible by typing names into Internet search engine • Obligation to de-index material applicable not only to Internet search engine providers but also to administrators of newspaper or journalistic archives accessible via Internet • Information on sensitive data </w:t>
      </w:r>
      <w:r w:rsidRPr="003D3194">
        <w:rPr>
          <w:bCs/>
        </w:rPr>
        <w:t xml:space="preserve">easily accessible online for </w:t>
      </w:r>
      <w:r w:rsidRPr="003D3194">
        <w:t>eight months after formal request to remove it by persons concerned • Sanction not excessive • No requirement to permanently remove article from Internet or to anonymise it</w:t>
      </w:r>
    </w:p>
    <w:p w:rsidRPr="003D3194" w:rsidR="003D3194" w:rsidP="003D3194" w:rsidRDefault="003D3194" w14:paraId="02264F3A" w14:textId="77777777">
      <w:pPr>
        <w:pStyle w:val="JuPara"/>
        <w:spacing w:after="120"/>
      </w:pPr>
    </w:p>
    <w:p w:rsidRPr="003D3194" w:rsidR="003D3194" w:rsidP="003D3194" w:rsidRDefault="003D3194" w14:paraId="12BA1108" w14:textId="77777777">
      <w:pPr>
        <w:pStyle w:val="DecHCase"/>
      </w:pPr>
      <w:r w:rsidRPr="003D3194">
        <w:t>STRASBOURG</w:t>
      </w:r>
    </w:p>
    <w:p w:rsidRPr="003D3194" w:rsidR="003D3194" w:rsidP="003D3194" w:rsidRDefault="003D3194" w14:paraId="072C12CA" w14:textId="77777777">
      <w:pPr>
        <w:pStyle w:val="DecHCase"/>
      </w:pPr>
      <w:r w:rsidRPr="003D3194">
        <w:rPr>
          <w:rFonts w:ascii="Times New Roman" w:hAnsi="Times New Roman" w:cs="Times New Roman"/>
        </w:rPr>
        <w:t>25 November 2021</w:t>
      </w:r>
    </w:p>
    <w:p w:rsidRPr="003D3194" w:rsidR="003D3194" w:rsidP="003D3194" w:rsidRDefault="003D3194" w14:paraId="40D98050" w14:textId="77777777">
      <w:pPr>
        <w:pStyle w:val="JuPara"/>
      </w:pPr>
    </w:p>
    <w:p w:rsidRPr="003D3194" w:rsidR="003D3194" w:rsidP="003D3194" w:rsidRDefault="003D3194" w14:paraId="731C47FD" w14:textId="77777777">
      <w:pPr>
        <w:pStyle w:val="jucase0"/>
        <w:ind w:firstLine="0"/>
        <w:jc w:val="center"/>
        <w:rPr>
          <w:color w:val="FF0000"/>
          <w:sz w:val="28"/>
          <w:szCs w:val="28"/>
          <w:u w:val="single"/>
        </w:rPr>
      </w:pPr>
      <w:r w:rsidRPr="003D3194">
        <w:rPr>
          <w:color w:val="FF0000"/>
          <w:sz w:val="28"/>
          <w:szCs w:val="28"/>
          <w:u w:val="single"/>
        </w:rPr>
        <w:t>FINAL</w:t>
      </w:r>
    </w:p>
    <w:p w:rsidRPr="003D3194" w:rsidR="003D3194" w:rsidP="003D3194" w:rsidRDefault="003D3194" w14:paraId="1F02A754" w14:textId="77777777">
      <w:pPr>
        <w:pStyle w:val="jucase0"/>
        <w:ind w:firstLine="0"/>
        <w:jc w:val="center"/>
        <w:rPr>
          <w:b w:val="0"/>
          <w:bCs w:val="0"/>
          <w:color w:val="FF0000"/>
          <w:u w:val="single"/>
        </w:rPr>
      </w:pPr>
    </w:p>
    <w:p w:rsidRPr="003D3194" w:rsidR="003D3194" w:rsidP="003D3194" w:rsidRDefault="003D3194" w14:paraId="43DA0314" w14:textId="77777777">
      <w:pPr>
        <w:pStyle w:val="jucase0"/>
        <w:ind w:firstLine="0"/>
        <w:jc w:val="center"/>
        <w:rPr>
          <w:b w:val="0"/>
          <w:color w:val="FF0000"/>
          <w:sz w:val="28"/>
          <w:szCs w:val="28"/>
        </w:rPr>
      </w:pPr>
      <w:r w:rsidRPr="003D3194">
        <w:rPr>
          <w:b w:val="0"/>
          <w:color w:val="FF0000"/>
          <w:sz w:val="28"/>
          <w:szCs w:val="28"/>
        </w:rPr>
        <w:t>25/02/2022</w:t>
      </w:r>
    </w:p>
    <w:p w:rsidRPr="003D3194" w:rsidR="003D3194" w:rsidP="003D3194" w:rsidRDefault="003D3194" w14:paraId="1DB4EDA2" w14:textId="77777777">
      <w:pPr>
        <w:pStyle w:val="jupara0"/>
        <w:spacing w:after="240"/>
        <w:ind w:firstLine="0"/>
        <w:jc w:val="center"/>
      </w:pPr>
    </w:p>
    <w:p w:rsidRPr="003D3194" w:rsidR="003D3194" w:rsidP="003D3194" w:rsidRDefault="003D3194" w14:paraId="410D31C0" w14:textId="77777777">
      <w:pPr>
        <w:jc w:val="center"/>
      </w:pPr>
      <w:r w:rsidRPr="003D3194">
        <w:rPr>
          <w:i/>
          <w:iCs/>
          <w:sz w:val="22"/>
          <w:szCs w:val="22"/>
        </w:rPr>
        <w:t>This judgment has become final under Article 44 § 2 of the Convention. It may be subject to editorial revision.</w:t>
      </w:r>
    </w:p>
    <w:p w:rsidRPr="003D3194" w:rsidR="003D3194" w:rsidP="003D3194" w:rsidRDefault="003D3194" w14:paraId="323A5AAF" w14:textId="77777777">
      <w:pPr>
        <w:sectPr w:rsidRPr="003D3194" w:rsidR="003D3194" w:rsidSect="00D66471">
          <w:headerReference w:type="even" r:id="rId8"/>
          <w:headerReference w:type="default" r:id="rId9"/>
          <w:footerReference w:type="even" r:id="rId10"/>
          <w:footerReference w:type="default" r:id="rId11"/>
          <w:headerReference w:type="first" r:id="rId12"/>
          <w:footerReference w:type="first" r:id="rId13"/>
          <w:footnotePr>
            <w:numRestart w:val="eachSect"/>
          </w:footnotePr>
          <w:endnotePr>
            <w:numFmt w:val="decimal"/>
          </w:endnotePr>
          <w:pgSz w:w="11906" w:h="16838" w:code="9"/>
          <w:pgMar w:top="2274" w:right="2274" w:bottom="2274" w:left="2274" w:header="1701" w:footer="720" w:gutter="0"/>
          <w:pgNumType w:start="1"/>
          <w:cols w:space="720"/>
          <w:noEndnote/>
          <w:titlePg/>
        </w:sectPr>
      </w:pPr>
    </w:p>
    <w:p w:rsidRPr="003D3194" w:rsidR="003D3194" w:rsidP="003D3194" w:rsidRDefault="003D3194" w14:paraId="03B5AD71" w14:textId="77777777">
      <w:pPr>
        <w:pStyle w:val="JuCase"/>
      </w:pPr>
      <w:r w:rsidRPr="003D3194">
        <w:t xml:space="preserve">In the case of </w:t>
      </w:r>
      <w:proofErr w:type="spellStart"/>
      <w:r w:rsidRPr="003D3194">
        <w:t>Biancardi</w:t>
      </w:r>
      <w:proofErr w:type="spellEnd"/>
      <w:r w:rsidRPr="003D3194">
        <w:t xml:space="preserve"> v. Italy,</w:t>
      </w:r>
    </w:p>
    <w:p w:rsidRPr="003D3194" w:rsidR="003D3194" w:rsidP="003D3194" w:rsidRDefault="003D3194" w14:paraId="6BCB6E90" w14:textId="77777777">
      <w:pPr>
        <w:pStyle w:val="JuPara"/>
      </w:pPr>
      <w:r w:rsidRPr="003D3194">
        <w:t>The European Court of Human Rights (First Section), sitting as a Chamber composed of:</w:t>
      </w:r>
    </w:p>
    <w:p w:rsidRPr="003D3194" w:rsidR="003D3194" w:rsidP="003D3194" w:rsidRDefault="003D3194" w14:paraId="765D7216" w14:textId="77777777">
      <w:pPr>
        <w:pStyle w:val="JuJudges"/>
      </w:pPr>
      <w:r w:rsidRPr="003D3194">
        <w:tab/>
      </w:r>
      <w:proofErr w:type="spellStart"/>
      <w:r w:rsidRPr="003D3194">
        <w:t>Ksenija</w:t>
      </w:r>
      <w:proofErr w:type="spellEnd"/>
      <w:r w:rsidRPr="003D3194">
        <w:t xml:space="preserve"> </w:t>
      </w:r>
      <w:proofErr w:type="spellStart"/>
      <w:r w:rsidRPr="003D3194">
        <w:t>Turković</w:t>
      </w:r>
      <w:proofErr w:type="spellEnd"/>
      <w:r w:rsidRPr="003D3194">
        <w:t>,</w:t>
      </w:r>
      <w:r w:rsidRPr="003D3194">
        <w:rPr>
          <w:i/>
        </w:rPr>
        <w:t xml:space="preserve"> President</w:t>
      </w:r>
      <w:r w:rsidRPr="003D3194">
        <w:rPr>
          <w:iCs/>
        </w:rPr>
        <w:t>,</w:t>
      </w:r>
      <w:r w:rsidRPr="003D3194">
        <w:rPr>
          <w:i/>
        </w:rPr>
        <w:br/>
      </w:r>
      <w:r w:rsidRPr="003D3194">
        <w:tab/>
      </w:r>
      <w:proofErr w:type="spellStart"/>
      <w:r w:rsidRPr="003D3194">
        <w:t>Péter</w:t>
      </w:r>
      <w:proofErr w:type="spellEnd"/>
      <w:r w:rsidRPr="003D3194">
        <w:t xml:space="preserve"> </w:t>
      </w:r>
      <w:proofErr w:type="spellStart"/>
      <w:r w:rsidRPr="003D3194">
        <w:t>Paczolay</w:t>
      </w:r>
      <w:proofErr w:type="spellEnd"/>
      <w:r w:rsidRPr="003D3194">
        <w:t>,</w:t>
      </w:r>
      <w:r w:rsidRPr="003D3194">
        <w:rPr>
          <w:i/>
        </w:rPr>
        <w:br/>
      </w:r>
      <w:r w:rsidRPr="003D3194">
        <w:tab/>
        <w:t>Krzysztof Wojtyczek,</w:t>
      </w:r>
      <w:r w:rsidRPr="003D3194">
        <w:rPr>
          <w:i/>
        </w:rPr>
        <w:br/>
      </w:r>
      <w:r w:rsidRPr="003D3194">
        <w:tab/>
        <w:t xml:space="preserve">Alena </w:t>
      </w:r>
      <w:proofErr w:type="spellStart"/>
      <w:r w:rsidRPr="003D3194">
        <w:t>Poláčková</w:t>
      </w:r>
      <w:proofErr w:type="spellEnd"/>
      <w:r w:rsidRPr="003D3194">
        <w:t>,</w:t>
      </w:r>
      <w:r w:rsidRPr="003D3194">
        <w:rPr>
          <w:i/>
        </w:rPr>
        <w:br/>
      </w:r>
      <w:r w:rsidRPr="003D3194">
        <w:tab/>
        <w:t xml:space="preserve">Gilberto </w:t>
      </w:r>
      <w:proofErr w:type="spellStart"/>
      <w:r w:rsidRPr="003D3194">
        <w:t>Felici</w:t>
      </w:r>
      <w:proofErr w:type="spellEnd"/>
      <w:r w:rsidRPr="003D3194">
        <w:t>,</w:t>
      </w:r>
      <w:r w:rsidRPr="003D3194">
        <w:rPr>
          <w:i/>
        </w:rPr>
        <w:br/>
      </w:r>
      <w:r w:rsidRPr="003D3194">
        <w:tab/>
        <w:t xml:space="preserve">Erik </w:t>
      </w:r>
      <w:proofErr w:type="spellStart"/>
      <w:r w:rsidRPr="003D3194">
        <w:t>Wennerström</w:t>
      </w:r>
      <w:proofErr w:type="spellEnd"/>
      <w:r w:rsidRPr="003D3194">
        <w:t>,</w:t>
      </w:r>
      <w:r w:rsidRPr="003D3194">
        <w:rPr>
          <w:i/>
        </w:rPr>
        <w:br/>
      </w:r>
      <w:r w:rsidRPr="003D3194">
        <w:tab/>
        <w:t>Raffaele Sabato,</w:t>
      </w:r>
      <w:r w:rsidRPr="003D3194">
        <w:rPr>
          <w:i/>
        </w:rPr>
        <w:t xml:space="preserve"> judges</w:t>
      </w:r>
      <w:r w:rsidRPr="003D3194">
        <w:rPr>
          <w:iCs/>
        </w:rPr>
        <w:t>,</w:t>
      </w:r>
      <w:r w:rsidRPr="003D3194">
        <w:br/>
        <w:t xml:space="preserve">and Renata Degener, </w:t>
      </w:r>
      <w:r w:rsidRPr="003D3194">
        <w:rPr>
          <w:i/>
        </w:rPr>
        <w:t xml:space="preserve">Section </w:t>
      </w:r>
      <w:r w:rsidRPr="003D3194">
        <w:rPr>
          <w:i/>
          <w:iCs/>
        </w:rPr>
        <w:t>Registrar</w:t>
      </w:r>
      <w:r w:rsidRPr="003D3194">
        <w:rPr>
          <w:iCs/>
        </w:rPr>
        <w:t>,</w:t>
      </w:r>
    </w:p>
    <w:p w:rsidRPr="003D3194" w:rsidR="003D3194" w:rsidP="003D3194" w:rsidRDefault="003D3194" w14:paraId="79EEA5DB" w14:textId="77777777">
      <w:pPr>
        <w:pStyle w:val="JuPara"/>
      </w:pPr>
      <w:r w:rsidRPr="003D3194">
        <w:t>Having regard to:</w:t>
      </w:r>
    </w:p>
    <w:p w:rsidRPr="003D3194" w:rsidR="003D3194" w:rsidP="003D3194" w:rsidRDefault="003D3194" w14:paraId="535DCA1A" w14:textId="77777777">
      <w:pPr>
        <w:pStyle w:val="JuPara"/>
      </w:pPr>
      <w:r w:rsidRPr="003D3194">
        <w:t xml:space="preserve">the application (no. 77419/16) against the Italian Republic lodged with the Court under Article 34 of the Convention for the Protection of Human Rights and Fundamental Freedoms (“the Convention”) by an Italian national, Mr Alessandro </w:t>
      </w:r>
      <w:proofErr w:type="spellStart"/>
      <w:r w:rsidRPr="003D3194">
        <w:t>Biancardi</w:t>
      </w:r>
      <w:proofErr w:type="spellEnd"/>
      <w:r w:rsidRPr="003D3194">
        <w:t xml:space="preserve"> (“the applicant”), on 7 December </w:t>
      </w:r>
      <w:proofErr w:type="gramStart"/>
      <w:r w:rsidRPr="003D3194">
        <w:t>2016;</w:t>
      </w:r>
      <w:proofErr w:type="gramEnd"/>
    </w:p>
    <w:p w:rsidRPr="003D3194" w:rsidR="003D3194" w:rsidP="003D3194" w:rsidRDefault="003D3194" w14:paraId="501F37E9" w14:textId="77777777">
      <w:pPr>
        <w:pStyle w:val="JuPara"/>
      </w:pPr>
      <w:r w:rsidRPr="003D3194">
        <w:t xml:space="preserve">the decision to give notice to the Italian Government (“the Government”) of the complaint concerning Article 10 of the </w:t>
      </w:r>
      <w:proofErr w:type="gramStart"/>
      <w:r w:rsidRPr="003D3194">
        <w:t>Convention;</w:t>
      </w:r>
      <w:proofErr w:type="gramEnd"/>
    </w:p>
    <w:p w:rsidRPr="003D3194" w:rsidR="003D3194" w:rsidP="003D3194" w:rsidRDefault="003D3194" w14:paraId="58B0D822" w14:textId="77777777">
      <w:pPr>
        <w:pStyle w:val="JuPara"/>
      </w:pPr>
      <w:r w:rsidRPr="003D3194">
        <w:t xml:space="preserve">the observations submitted by the respondent Government and the observations in reply submitted by the </w:t>
      </w:r>
      <w:proofErr w:type="gramStart"/>
      <w:r w:rsidRPr="003D3194">
        <w:t>applicant;</w:t>
      </w:r>
      <w:proofErr w:type="gramEnd"/>
    </w:p>
    <w:p w:rsidRPr="003D3194" w:rsidR="003D3194" w:rsidP="003D3194" w:rsidRDefault="003D3194" w14:paraId="13607F2C" w14:textId="5DAEC3AC">
      <w:pPr>
        <w:pStyle w:val="JuPara"/>
      </w:pPr>
      <w:r w:rsidRPr="003D3194">
        <w:t xml:space="preserve">the comments submitted by the Reporters Committee for Freedom of the Press, the UN Special Rapporteur on the Promotion and Protection of the Right to Freedom of Opinion and Expression and the Special Rapporteur for Freedom of Expression of the Inter-American Commission on Human Rights, the Media </w:t>
      </w:r>
      <w:r w:rsidRPr="003D3194">
        <w:rPr>
          <w:color w:val="000000" w:themeColor="text1"/>
        </w:rPr>
        <w:t xml:space="preserve">Lawyers </w:t>
      </w:r>
      <w:r w:rsidRPr="003D3194">
        <w:t>Association and the Media Legal Defence</w:t>
      </w:r>
      <w:r w:rsidR="009966C7">
        <w:t xml:space="preserve"> Initiative</w:t>
      </w:r>
      <w:r w:rsidRPr="003D3194">
        <w:t xml:space="preserve">, who were granted leave to intervene by the President of the </w:t>
      </w:r>
      <w:proofErr w:type="gramStart"/>
      <w:r w:rsidRPr="003D3194">
        <w:t>Section;</w:t>
      </w:r>
      <w:proofErr w:type="gramEnd"/>
    </w:p>
    <w:p w:rsidRPr="003D3194" w:rsidR="003D3194" w:rsidP="003D3194" w:rsidRDefault="003D3194" w14:paraId="77FB8742" w14:textId="77777777">
      <w:pPr>
        <w:pStyle w:val="JuPara"/>
      </w:pPr>
      <w:r w:rsidRPr="003D3194">
        <w:t>Having deliberated in private on 2 November 2021,</w:t>
      </w:r>
    </w:p>
    <w:p w:rsidRPr="003D3194" w:rsidR="003D3194" w:rsidP="003D3194" w:rsidRDefault="003D3194" w14:paraId="0780EBBC" w14:textId="77777777">
      <w:pPr>
        <w:pStyle w:val="JuPara"/>
      </w:pPr>
      <w:r w:rsidRPr="003D3194">
        <w:t>Delivers the following judgment, which was adopted on that date:</w:t>
      </w:r>
    </w:p>
    <w:p w:rsidRPr="003D3194" w:rsidR="003D3194" w:rsidP="003D3194" w:rsidRDefault="003D3194" w14:paraId="77E04F67" w14:textId="77777777">
      <w:pPr>
        <w:pStyle w:val="JuHHead"/>
        <w:numPr>
          <w:ilvl w:val="0"/>
          <w:numId w:val="0"/>
        </w:numPr>
      </w:pPr>
      <w:r w:rsidRPr="003D3194">
        <w:t>INTRODUCTION</w:t>
      </w:r>
    </w:p>
    <w:p w:rsidRPr="003D3194" w:rsidR="003D3194" w:rsidP="003D3194" w:rsidRDefault="003D3194" w14:paraId="735326E3" w14:textId="482E4844">
      <w:pPr>
        <w:pStyle w:val="JuPara"/>
      </w:pPr>
      <w:r w:rsidRPr="003D3194">
        <w:fldChar w:fldCharType="begin"/>
      </w:r>
      <w:r w:rsidRPr="003D3194">
        <w:instrText xml:space="preserve"> SEQ level0 \*arabic </w:instrText>
      </w:r>
      <w:r w:rsidRPr="003D3194">
        <w:fldChar w:fldCharType="separate"/>
      </w:r>
      <w:r w:rsidRPr="003D3194">
        <w:rPr>
          <w:noProof/>
        </w:rPr>
        <w:t>1</w:t>
      </w:r>
      <w:r w:rsidRPr="003D3194">
        <w:fldChar w:fldCharType="end"/>
      </w:r>
      <w:r w:rsidRPr="003D3194">
        <w:t>.  The applicant, the editor-in-chief of an online newspaper, was held liable under civil law for having kept on his newspaper’s website and not having de-indexed an article reporting the facts of a criminal case instituted against private individuals. The applicant alleged the violation of his freedom of expression under Article 10 of the Convention.</w:t>
      </w:r>
    </w:p>
    <w:p w:rsidRPr="003D3194" w:rsidR="003D3194" w:rsidP="003D3194" w:rsidRDefault="003D3194" w14:paraId="5807D810" w14:textId="77777777">
      <w:pPr>
        <w:pStyle w:val="JuHHead"/>
      </w:pPr>
      <w:r w:rsidRPr="003D3194">
        <w:t>THE FACTS</w:t>
      </w:r>
    </w:p>
    <w:p w:rsidRPr="003D3194" w:rsidR="003D3194" w:rsidP="003D3194" w:rsidRDefault="003D3194" w14:paraId="3FF8B28F" w14:textId="11D2C037">
      <w:pPr>
        <w:pStyle w:val="JuPara"/>
        <w:keepNext/>
        <w:keepLines/>
      </w:pPr>
      <w:r w:rsidRPr="003D3194">
        <w:fldChar w:fldCharType="begin"/>
      </w:r>
      <w:r w:rsidRPr="003D3194">
        <w:instrText xml:space="preserve"> SEQ level0 \*arabic </w:instrText>
      </w:r>
      <w:r w:rsidRPr="003D3194">
        <w:fldChar w:fldCharType="separate"/>
      </w:r>
      <w:r w:rsidRPr="003D3194">
        <w:rPr>
          <w:noProof/>
        </w:rPr>
        <w:t>2</w:t>
      </w:r>
      <w:r w:rsidRPr="003D3194">
        <w:fldChar w:fldCharType="end"/>
      </w:r>
      <w:r w:rsidRPr="003D3194">
        <w:t xml:space="preserve">.  The applicant was born in 1972 and lives in Pescara. He was represented by Mr M. </w:t>
      </w:r>
      <w:proofErr w:type="spellStart"/>
      <w:r w:rsidRPr="003D3194">
        <w:t>Franceschelli</w:t>
      </w:r>
      <w:proofErr w:type="spellEnd"/>
      <w:r w:rsidRPr="003D3194">
        <w:t>, a lawyer practising in Pescara.</w:t>
      </w:r>
    </w:p>
    <w:p w:rsidRPr="003D3194" w:rsidR="003D3194" w:rsidP="003D3194" w:rsidRDefault="003D3194" w14:paraId="42E6DC22" w14:textId="6BA9251E">
      <w:pPr>
        <w:pStyle w:val="JuPara"/>
        <w:keepNext/>
        <w:keepLines/>
      </w:pPr>
      <w:r w:rsidRPr="003D3194">
        <w:fldChar w:fldCharType="begin"/>
      </w:r>
      <w:r w:rsidRPr="003D3194">
        <w:instrText xml:space="preserve"> SEQ level0 \*arabic </w:instrText>
      </w:r>
      <w:r w:rsidRPr="003D3194">
        <w:fldChar w:fldCharType="separate"/>
      </w:r>
      <w:r w:rsidRPr="003D3194">
        <w:rPr>
          <w:noProof/>
        </w:rPr>
        <w:t>3</w:t>
      </w:r>
      <w:r w:rsidRPr="003D3194">
        <w:fldChar w:fldCharType="end"/>
      </w:r>
      <w:r w:rsidRPr="003D3194">
        <w:t xml:space="preserve">.  The Government were represented by their Agent, Mr Lorenzo </w:t>
      </w:r>
      <w:proofErr w:type="spellStart"/>
      <w:r w:rsidRPr="003D3194">
        <w:t>D’Ascia</w:t>
      </w:r>
      <w:proofErr w:type="spellEnd"/>
      <w:r w:rsidRPr="003D3194">
        <w:t>.</w:t>
      </w:r>
    </w:p>
    <w:p w:rsidRPr="003D3194" w:rsidR="003D3194" w:rsidP="003D3194" w:rsidRDefault="003D3194" w14:paraId="2D97E96E" w14:textId="1E36552B">
      <w:pPr>
        <w:pStyle w:val="JuPara"/>
      </w:pPr>
      <w:r w:rsidRPr="003D3194">
        <w:fldChar w:fldCharType="begin"/>
      </w:r>
      <w:r w:rsidRPr="003D3194">
        <w:instrText xml:space="preserve"> SEQ level0 \*arabic </w:instrText>
      </w:r>
      <w:r w:rsidRPr="003D3194">
        <w:fldChar w:fldCharType="separate"/>
      </w:r>
      <w:r w:rsidRPr="003D3194">
        <w:rPr>
          <w:noProof/>
        </w:rPr>
        <w:t>4</w:t>
      </w:r>
      <w:r w:rsidRPr="003D3194">
        <w:fldChar w:fldCharType="end"/>
      </w:r>
      <w:r w:rsidRPr="003D3194">
        <w:t>.  The facts of the case, as submitted by the parties, may be summarised as follows.</w:t>
      </w:r>
    </w:p>
    <w:p w:rsidRPr="003D3194" w:rsidR="003D3194" w:rsidP="003D3194" w:rsidRDefault="003D3194" w14:paraId="37E2FC13" w14:textId="4542EAFE">
      <w:pPr>
        <w:pStyle w:val="JuPara"/>
      </w:pPr>
      <w:r w:rsidRPr="003D3194">
        <w:fldChar w:fldCharType="begin"/>
      </w:r>
      <w:r w:rsidRPr="003D3194">
        <w:instrText xml:space="preserve"> SEQ level0 \*arabic </w:instrText>
      </w:r>
      <w:r w:rsidRPr="003D3194">
        <w:fldChar w:fldCharType="separate"/>
      </w:r>
      <w:r w:rsidRPr="003D3194">
        <w:rPr>
          <w:noProof/>
        </w:rPr>
        <w:t>5</w:t>
      </w:r>
      <w:r w:rsidRPr="003D3194">
        <w:fldChar w:fldCharType="end"/>
      </w:r>
      <w:r w:rsidRPr="003D3194">
        <w:t>.  The applicant was the editor-in-chief of an online newspaper. On 29 March 2008 he published an article concerning a fight, followed by a stabbing, which had taken place in a restaurant.</w:t>
      </w:r>
    </w:p>
    <w:bookmarkStart w:name="titles" w:id="1"/>
    <w:p w:rsidRPr="003D3194" w:rsidR="003D3194" w:rsidP="003D3194" w:rsidRDefault="003D3194" w14:paraId="19ED39F3" w14:textId="2A33C026">
      <w:pPr>
        <w:pStyle w:val="JuPara"/>
      </w:pPr>
      <w:r w:rsidRPr="003D3194">
        <w:fldChar w:fldCharType="begin"/>
      </w:r>
      <w:r w:rsidRPr="003D3194">
        <w:instrText xml:space="preserve"> SEQ level0 \*arabic </w:instrText>
      </w:r>
      <w:r w:rsidRPr="003D3194">
        <w:fldChar w:fldCharType="separate"/>
      </w:r>
      <w:r w:rsidRPr="003D3194">
        <w:rPr>
          <w:noProof/>
        </w:rPr>
        <w:t>6</w:t>
      </w:r>
      <w:r w:rsidRPr="003D3194">
        <w:fldChar w:fldCharType="end"/>
      </w:r>
      <w:bookmarkEnd w:id="1"/>
      <w:r w:rsidRPr="003D3194">
        <w:t>.  The article was headlined “Fight in the restaurant – the head of the police authority closes the W and Z restaurants [which belonged to the persons involved in the fight]”. The “standfirst paragraph” under the headline read as follows: “Pescara – Reputational damage and financial repercussions sustained by the W and Z restaurants belonging to the X family”.</w:t>
      </w:r>
    </w:p>
    <w:p w:rsidRPr="003D3194" w:rsidR="003D3194" w:rsidP="003D3194" w:rsidRDefault="003D3194" w14:paraId="3CD4D8F9" w14:textId="08E40F8C">
      <w:pPr>
        <w:pStyle w:val="JuPara"/>
      </w:pPr>
      <w:r w:rsidRPr="003D3194">
        <w:fldChar w:fldCharType="begin"/>
      </w:r>
      <w:r w:rsidRPr="003D3194">
        <w:instrText xml:space="preserve"> SEQ level0 \*arabic </w:instrText>
      </w:r>
      <w:r w:rsidRPr="003D3194">
        <w:fldChar w:fldCharType="separate"/>
      </w:r>
      <w:r w:rsidRPr="003D3194">
        <w:rPr>
          <w:noProof/>
        </w:rPr>
        <w:t>7</w:t>
      </w:r>
      <w:r w:rsidRPr="003D3194">
        <w:fldChar w:fldCharType="end"/>
      </w:r>
      <w:r w:rsidRPr="003D3194">
        <w:t>.  The article noted the head of the police authority’s decision to close the restaurants for twenty days. It mentioned the names of the persons involved (two brothers, V.X. and U.X., and their respective sons, A.X and B.X.), as well as the possible motive for the fight, which probably related to a financial quarrel about the ownership of a building. The article reported on the line taken during part of the police questioning of V.X., U.X., A.X and B.X., and noted that U.X. and A.X. had been placed under house arrest, that B.X. had been taken to a detention facility and that a house arrest order issued in respect of V.X. had been lifted.</w:t>
      </w:r>
    </w:p>
    <w:p w:rsidRPr="003D3194" w:rsidR="003D3194" w:rsidP="003D3194" w:rsidRDefault="003D3194" w14:paraId="4C949D0D" w14:textId="321FC52C">
      <w:pPr>
        <w:pStyle w:val="JuPara"/>
      </w:pPr>
      <w:r w:rsidRPr="003D3194">
        <w:fldChar w:fldCharType="begin"/>
      </w:r>
      <w:r w:rsidRPr="003D3194">
        <w:instrText xml:space="preserve"> SEQ level0 \*arabic </w:instrText>
      </w:r>
      <w:r w:rsidRPr="003D3194">
        <w:fldChar w:fldCharType="separate"/>
      </w:r>
      <w:r w:rsidRPr="003D3194">
        <w:rPr>
          <w:noProof/>
        </w:rPr>
        <w:t>8</w:t>
      </w:r>
      <w:r w:rsidRPr="003D3194">
        <w:fldChar w:fldCharType="end"/>
      </w:r>
      <w:r w:rsidRPr="003D3194">
        <w:t>.  On 6 September 2010, V.X. and the W restaurant sent a formal notice (</w:t>
      </w:r>
      <w:proofErr w:type="spellStart"/>
      <w:r w:rsidRPr="003D3194">
        <w:rPr>
          <w:i/>
          <w:iCs/>
        </w:rPr>
        <w:t>diffida</w:t>
      </w:r>
      <w:proofErr w:type="spellEnd"/>
      <w:r w:rsidRPr="003D3194">
        <w:rPr>
          <w:i/>
          <w:iCs/>
        </w:rPr>
        <w:t xml:space="preserve"> </w:t>
      </w:r>
      <w:proofErr w:type="spellStart"/>
      <w:r w:rsidRPr="003D3194">
        <w:rPr>
          <w:i/>
          <w:iCs/>
        </w:rPr>
        <w:t>stragiudiziale</w:t>
      </w:r>
      <w:proofErr w:type="spellEnd"/>
      <w:r w:rsidRPr="003D3194">
        <w:t>) to the applicant asking that the article be removed from the Internet, but to no avail.</w:t>
      </w:r>
    </w:p>
    <w:p w:rsidRPr="003D3194" w:rsidR="003D3194" w:rsidP="003D3194" w:rsidRDefault="00B66B2C" w14:paraId="7C59D855" w14:textId="45F6E3C4">
      <w:pPr>
        <w:pStyle w:val="JuPara"/>
      </w:pPr>
      <w:r>
        <w:rPr>
          <w:noProof/>
        </w:rPr>
        <w:fldChar w:fldCharType="begin"/>
      </w:r>
      <w:r>
        <w:rPr>
          <w:noProof/>
        </w:rPr>
        <w:instrText xml:space="preserve"> SEQ level0 \*arabic \* MERGEFORMAT </w:instrText>
      </w:r>
      <w:r>
        <w:rPr>
          <w:noProof/>
        </w:rPr>
        <w:fldChar w:fldCharType="separate"/>
      </w:r>
      <w:r w:rsidRPr="003D3194" w:rsidR="003D3194">
        <w:rPr>
          <w:noProof/>
        </w:rPr>
        <w:t>9</w:t>
      </w:r>
      <w:r>
        <w:rPr>
          <w:noProof/>
        </w:rPr>
        <w:fldChar w:fldCharType="end"/>
      </w:r>
      <w:r w:rsidRPr="003D3194" w:rsidR="003D3194">
        <w:t xml:space="preserve">.  On 26 October 2010, V.X. and W lodged two claims with the District Court of Chieti against, respectively, Google Italy </w:t>
      </w:r>
      <w:proofErr w:type="spellStart"/>
      <w:r w:rsidRPr="003D3194" w:rsidR="003D3194">
        <w:t>S.r.l</w:t>
      </w:r>
      <w:proofErr w:type="spellEnd"/>
      <w:r w:rsidRPr="003D3194" w:rsidR="003D3194">
        <w:t xml:space="preserve">. and the applicant, pursuant to Article 152 of Legislative Decree no. 196 of 30 June 2003 (hereinafter “the Personal Data Protection Code” – see paragraphs </w:t>
      </w:r>
      <w:r w:rsidRPr="003D3194" w:rsidR="003D3194">
        <w:fldChar w:fldCharType="begin"/>
      </w:r>
      <w:r w:rsidRPr="003D3194" w:rsidR="003D3194">
        <w:instrText xml:space="preserve"> REF code_personal_data \h  \* MERGEFORMAT </w:instrText>
      </w:r>
      <w:r w:rsidRPr="003D3194" w:rsidR="003D3194">
        <w:fldChar w:fldCharType="separate"/>
      </w:r>
      <w:r w:rsidRPr="003D3194" w:rsidR="003D3194">
        <w:t>15</w:t>
      </w:r>
      <w:r w:rsidRPr="003D3194" w:rsidR="003D3194">
        <w:fldChar w:fldCharType="end"/>
      </w:r>
      <w:r w:rsidRPr="003D3194" w:rsidR="003D3194">
        <w:t xml:space="preserve"> et seq. below) and Article 702 </w:t>
      </w:r>
      <w:r w:rsidRPr="003D3194" w:rsidR="003D3194">
        <w:rPr>
          <w:i/>
          <w:iCs/>
        </w:rPr>
        <w:t>bis</w:t>
      </w:r>
      <w:r w:rsidRPr="003D3194" w:rsidR="003D3194">
        <w:t xml:space="preserve"> of the Code of Civil Procedure (Formal requirements regarding the bringing of proceedings before a court and the parties thereto).</w:t>
      </w:r>
    </w:p>
    <w:p w:rsidRPr="003D3194" w:rsidR="003D3194" w:rsidP="003D3194" w:rsidRDefault="003D3194" w14:paraId="1DCD2234" w14:textId="7F7DE6BB">
      <w:pPr>
        <w:pStyle w:val="JuPara"/>
      </w:pPr>
      <w:r w:rsidRPr="003D3194">
        <w:fldChar w:fldCharType="begin"/>
      </w:r>
      <w:r w:rsidRPr="003D3194">
        <w:instrText xml:space="preserve"> SEQ level0 \*arabic </w:instrText>
      </w:r>
      <w:r w:rsidRPr="003D3194">
        <w:fldChar w:fldCharType="separate"/>
      </w:r>
      <w:bookmarkStart w:name="may" w:id="2"/>
      <w:r w:rsidRPr="003D3194">
        <w:rPr>
          <w:noProof/>
        </w:rPr>
        <w:t>10</w:t>
      </w:r>
      <w:bookmarkEnd w:id="2"/>
      <w:r w:rsidRPr="003D3194">
        <w:fldChar w:fldCharType="end"/>
      </w:r>
      <w:r w:rsidRPr="003D3194">
        <w:t>.  At the hearing of 23 May 2011, the applicant indicated that he had de-indexed the article in question, with a view to settling the case</w:t>
      </w:r>
      <w:r w:rsidRPr="003D3194">
        <w:rPr>
          <w:rStyle w:val="FootnoteReference"/>
        </w:rPr>
        <w:footnoteReference w:id="1"/>
      </w:r>
      <w:r w:rsidRPr="003D3194">
        <w:t xml:space="preserve">. By a decision of 28 March 2012, the court excluded Google Italy </w:t>
      </w:r>
      <w:proofErr w:type="spellStart"/>
      <w:r w:rsidRPr="003D3194">
        <w:t>S.r.l</w:t>
      </w:r>
      <w:proofErr w:type="spellEnd"/>
      <w:r w:rsidRPr="003D3194">
        <w:t>. from the proceedings following V.X.’s withdrawal of his claim against this party.</w:t>
      </w:r>
    </w:p>
    <w:p w:rsidRPr="003D3194" w:rsidR="003D3194" w:rsidP="003D3194" w:rsidRDefault="003D3194" w14:paraId="61A5D8F7" w14:textId="3825A1A3">
      <w:pPr>
        <w:pStyle w:val="JuPara"/>
      </w:pPr>
      <w:r w:rsidRPr="003D3194">
        <w:fldChar w:fldCharType="begin"/>
      </w:r>
      <w:r w:rsidRPr="003D3194">
        <w:instrText xml:space="preserve"> SEQ level0 \*arabic </w:instrText>
      </w:r>
      <w:r w:rsidRPr="003D3194">
        <w:fldChar w:fldCharType="separate"/>
      </w:r>
      <w:r w:rsidRPr="003D3194">
        <w:rPr>
          <w:noProof/>
        </w:rPr>
        <w:t>11</w:t>
      </w:r>
      <w:r w:rsidRPr="003D3194">
        <w:fldChar w:fldCharType="end"/>
      </w:r>
      <w:r w:rsidRPr="003D3194">
        <w:t>.  By a decision of 16 January 2013, the District Court of Chieti observed at the outset that, in the light of the information that the applicant had supplied on 23 May 2011, there was no need to examine the part of V.X.’s complaint regarding the request for the article to be removed from the Internet.</w:t>
      </w:r>
    </w:p>
    <w:p w:rsidRPr="003D3194" w:rsidR="003D3194" w:rsidP="003D3194" w:rsidRDefault="003D3194" w14:paraId="32815EC9" w14:textId="792AE5AF">
      <w:pPr>
        <w:pStyle w:val="JuPara"/>
      </w:pPr>
      <w:r w:rsidRPr="003D3194">
        <w:fldChar w:fldCharType="begin"/>
      </w:r>
      <w:r w:rsidRPr="003D3194">
        <w:instrText xml:space="preserve"> SEQ level0 \*arabic </w:instrText>
      </w:r>
      <w:r w:rsidRPr="003D3194">
        <w:fldChar w:fldCharType="separate"/>
      </w:r>
      <w:r w:rsidRPr="003D3194">
        <w:rPr>
          <w:noProof/>
        </w:rPr>
        <w:t>12</w:t>
      </w:r>
      <w:r w:rsidRPr="003D3194">
        <w:fldChar w:fldCharType="end"/>
      </w:r>
      <w:r w:rsidRPr="003D3194">
        <w:t>.  As for the remainder of the complaint, concerning the breach of the claimants’ right to respect for their reputation, the court awarded to each claimant 5,000 euros (EUR) in compensation for non-pecuniary damage and EUR 2,310 for costs and expenses.</w:t>
      </w:r>
    </w:p>
    <w:p w:rsidRPr="003D3194" w:rsidR="003D3194" w:rsidP="003D3194" w:rsidRDefault="003D3194" w14:paraId="281E23CE" w14:textId="04760EB1">
      <w:pPr>
        <w:pStyle w:val="JuPara"/>
      </w:pPr>
      <w:r w:rsidRPr="003D3194">
        <w:fldChar w:fldCharType="begin"/>
      </w:r>
      <w:r w:rsidRPr="003D3194">
        <w:instrText xml:space="preserve"> SEQ level0 \*arabic </w:instrText>
      </w:r>
      <w:r w:rsidRPr="003D3194">
        <w:fldChar w:fldCharType="separate"/>
      </w:r>
      <w:r w:rsidRPr="003D3194">
        <w:rPr>
          <w:noProof/>
        </w:rPr>
        <w:t>13</w:t>
      </w:r>
      <w:r w:rsidRPr="003D3194">
        <w:fldChar w:fldCharType="end"/>
      </w:r>
      <w:r w:rsidRPr="003D3194">
        <w:t xml:space="preserve">.  The court referred to the applicable legislation on the matter – namely, Articles 7, 11, 15 and 25 of the Personal Data Protection Code. It noted </w:t>
      </w:r>
      <w:proofErr w:type="gramStart"/>
      <w:r w:rsidRPr="003D3194">
        <w:t>in particular that</w:t>
      </w:r>
      <w:proofErr w:type="gramEnd"/>
      <w:r w:rsidRPr="003D3194">
        <w:t xml:space="preserve"> the information concerning the claimants had been published on 29 March 2008 and had remained accessible on the Internet until 23 May 2011, notwithstanding V.X.’s formal notice to the applicant asking that the article in question be removed from the Internet (see paragraph 8 above). In the court’s view, the public interest in the right to provide information had then been satisfied and, at least from the date of V.X. sending the above-mentioned formal notice, the processing of his personal data had not </w:t>
      </w:r>
      <w:proofErr w:type="gramStart"/>
      <w:r w:rsidRPr="003D3194">
        <w:t>been in compliance with</w:t>
      </w:r>
      <w:proofErr w:type="gramEnd"/>
      <w:r w:rsidRPr="003D3194">
        <w:t xml:space="preserve"> Articles 11 and 15 of the Personal Data Protection Code. The court then concluded that there had been a breach of the claimants’ reputation and right to respect for their private life. The court also noted that the information at issue was easily accessible (much more than any information published in print newspapers, </w:t>
      </w:r>
      <w:proofErr w:type="gramStart"/>
      <w:r w:rsidRPr="003D3194">
        <w:t>taking into account</w:t>
      </w:r>
      <w:proofErr w:type="gramEnd"/>
      <w:r w:rsidRPr="003D3194">
        <w:t xml:space="preserve"> the large local dissemination of the online newspaper at issue) by simply inserting the claimants’ names into the search engine, and that the nature of the relevant data, as regards judicial proceedings, was sensitive.</w:t>
      </w:r>
    </w:p>
    <w:bookmarkStart w:name="cassation" w:id="3"/>
    <w:p w:rsidRPr="003D3194" w:rsidR="003D3194" w:rsidP="003D3194" w:rsidRDefault="003D3194" w14:paraId="2750670F" w14:textId="3EEF504B">
      <w:pPr>
        <w:pStyle w:val="JuPara"/>
      </w:pPr>
      <w:r w:rsidRPr="003D3194">
        <w:fldChar w:fldCharType="begin"/>
      </w:r>
      <w:r w:rsidRPr="003D3194">
        <w:instrText xml:space="preserve"> SEQ level0 \*arabic </w:instrText>
      </w:r>
      <w:r w:rsidRPr="003D3194">
        <w:fldChar w:fldCharType="separate"/>
      </w:r>
      <w:r w:rsidRPr="003D3194">
        <w:rPr>
          <w:noProof/>
        </w:rPr>
        <w:t>14</w:t>
      </w:r>
      <w:r w:rsidRPr="003D3194">
        <w:fldChar w:fldCharType="end"/>
      </w:r>
      <w:bookmarkEnd w:id="3"/>
      <w:r w:rsidRPr="003D3194">
        <w:t xml:space="preserve">.  The applicant lodged an appeal on points of law; by a judgment of 24 June 2016, the Supreme Court upheld the first-instance decision on all grounds and dismissed the applicant’s appeal. The Supreme Court noted that the processing of the plaintiffs’ personal data had been unlawful </w:t>
      </w:r>
      <w:proofErr w:type="gramStart"/>
      <w:r w:rsidRPr="003D3194">
        <w:t>inasmuch as</w:t>
      </w:r>
      <w:proofErr w:type="gramEnd"/>
      <w:r w:rsidRPr="003D3194">
        <w:t xml:space="preserve"> the article, published on 29 March 2008, had remained accessible on the Internet, despite the above-mentioned formal notice sent (to the applicant asking that the article in question be removed from the Internet) by V.X. on 6 September 2010, and that the possibility to access the article had been easy and direct. The Supreme Court excluded the possibility that in this case the unlawfulness of the way in which the personal data had been processed had been linked either to the content of the said article, to its online publication and dissemination, or to its conservation and digital archiving.</w:t>
      </w:r>
    </w:p>
    <w:p w:rsidRPr="003D3194" w:rsidR="003D3194" w:rsidP="003D3194" w:rsidRDefault="003D3194" w14:paraId="528E8064" w14:textId="77777777">
      <w:pPr>
        <w:pStyle w:val="JuHHead"/>
      </w:pPr>
      <w:r w:rsidRPr="003D3194">
        <w:t>RELEVANT LEGAL FRAMEWORK AND PRACTICE</w:t>
      </w:r>
    </w:p>
    <w:p w:rsidRPr="003D3194" w:rsidR="003D3194" w:rsidP="003D3194" w:rsidRDefault="003D3194" w14:paraId="3FE06348" w14:textId="77777777">
      <w:pPr>
        <w:pStyle w:val="JuHIRoman"/>
      </w:pPr>
      <w:r w:rsidRPr="003D3194">
        <w:t>relevant domestic law</w:t>
      </w:r>
    </w:p>
    <w:p w:rsidRPr="003D3194" w:rsidR="003D3194" w:rsidP="003D3194" w:rsidRDefault="003D3194" w14:paraId="1E4D8AAA" w14:textId="77777777">
      <w:pPr>
        <w:pStyle w:val="JuHA"/>
        <w:numPr>
          <w:ilvl w:val="0"/>
          <w:numId w:val="0"/>
        </w:numPr>
        <w:ind w:left="510"/>
      </w:pPr>
      <w:r w:rsidRPr="003D3194">
        <w:t>Legislative Decree no. 196 of 30 June 2003 (Personal Data Protection Code)</w:t>
      </w:r>
    </w:p>
    <w:bookmarkStart w:name="code_personal_data" w:id="4"/>
    <w:p w:rsidRPr="003D3194" w:rsidR="003D3194" w:rsidP="003D3194" w:rsidRDefault="003D3194" w14:paraId="1FCD5681" w14:textId="78AE7393">
      <w:pPr>
        <w:pStyle w:val="JuParaLast"/>
      </w:pPr>
      <w:r w:rsidRPr="003D3194">
        <w:fldChar w:fldCharType="begin"/>
      </w:r>
      <w:r w:rsidRPr="003D3194">
        <w:instrText xml:space="preserve"> SEQ level0 \*arabic </w:instrText>
      </w:r>
      <w:r w:rsidRPr="003D3194">
        <w:fldChar w:fldCharType="separate"/>
      </w:r>
      <w:r w:rsidRPr="003D3194">
        <w:rPr>
          <w:noProof/>
        </w:rPr>
        <w:t>15</w:t>
      </w:r>
      <w:r w:rsidRPr="003D3194">
        <w:fldChar w:fldCharType="end"/>
      </w:r>
      <w:bookmarkEnd w:id="4"/>
      <w:r w:rsidRPr="003D3194">
        <w:t>.  The relevant provisions of the Personal Data Protection Code read as follows:</w:t>
      </w:r>
    </w:p>
    <w:p w:rsidRPr="003D3194" w:rsidR="003D3194" w:rsidP="003D3194" w:rsidRDefault="003D3194" w14:paraId="237C55ED" w14:textId="77777777">
      <w:pPr>
        <w:pStyle w:val="JuHArticle"/>
      </w:pPr>
      <w:r w:rsidRPr="003D3194">
        <w:t>Article 7: Right to access personal data, and other rights</w:t>
      </w:r>
    </w:p>
    <w:p w:rsidRPr="003D3194" w:rsidR="003D3194" w:rsidP="003D3194" w:rsidRDefault="003D3194" w14:paraId="73F92E60" w14:textId="77777777">
      <w:pPr>
        <w:pStyle w:val="JuQuot"/>
      </w:pPr>
      <w:r w:rsidRPr="003D3194">
        <w:t>“...</w:t>
      </w:r>
    </w:p>
    <w:p w:rsidRPr="003D3194" w:rsidR="003D3194" w:rsidP="003D3194" w:rsidRDefault="003D3194" w14:paraId="39750B71" w14:textId="77777777">
      <w:pPr>
        <w:pStyle w:val="JuQuot"/>
      </w:pPr>
      <w:r w:rsidRPr="003D3194">
        <w:t>3. (</w:t>
      </w:r>
      <w:proofErr w:type="gramStart"/>
      <w:r w:rsidRPr="003D3194">
        <w:t>a)  The</w:t>
      </w:r>
      <w:proofErr w:type="gramEnd"/>
      <w:r w:rsidRPr="003D3194">
        <w:t xml:space="preserve"> data subject has the right to obtain the removal, the anonymisation or the interruption of the processing of data that are being used illegally. ...</w:t>
      </w:r>
    </w:p>
    <w:p w:rsidRPr="003D3194" w:rsidR="003D3194" w:rsidP="003D3194" w:rsidRDefault="003D3194" w14:paraId="5A44BD8C" w14:textId="77777777">
      <w:pPr>
        <w:pStyle w:val="JuHArticle"/>
      </w:pPr>
      <w:r w:rsidRPr="003D3194">
        <w:t>Article 11: Arrangements for the processing and categorisation of data</w:t>
      </w:r>
    </w:p>
    <w:p w:rsidRPr="003D3194" w:rsidR="003D3194" w:rsidP="003D3194" w:rsidRDefault="003D3194" w14:paraId="1A289959" w14:textId="77777777">
      <w:pPr>
        <w:pStyle w:val="JuQuot"/>
      </w:pPr>
      <w:r w:rsidRPr="003D3194">
        <w:t>“1.  Personal data undergoing processing are:</w:t>
      </w:r>
    </w:p>
    <w:p w:rsidRPr="003D3194" w:rsidR="003D3194" w:rsidP="003D3194" w:rsidRDefault="003D3194" w14:paraId="228FBDFB" w14:textId="77777777">
      <w:pPr>
        <w:pStyle w:val="JuQuot"/>
      </w:pPr>
      <w:r w:rsidRPr="003D3194">
        <w:t>...</w:t>
      </w:r>
    </w:p>
    <w:p w:rsidRPr="003D3194" w:rsidR="003D3194" w:rsidP="003D3194" w:rsidRDefault="003D3194" w14:paraId="7F780711" w14:textId="77777777">
      <w:pPr>
        <w:pStyle w:val="JuQuot"/>
      </w:pPr>
      <w:r w:rsidRPr="003D3194">
        <w:t>(e)  kept, in a form that allows the identification of the person concerned, for a period not exceeding the time necessary to achieve the objectives for which the data have been collected and subsequently processed. ...”</w:t>
      </w:r>
    </w:p>
    <w:p w:rsidRPr="003D3194" w:rsidR="003D3194" w:rsidP="003D3194" w:rsidRDefault="003D3194" w14:paraId="3AB422EB" w14:textId="77777777">
      <w:pPr>
        <w:pStyle w:val="JuHArticle"/>
      </w:pPr>
      <w:r w:rsidRPr="003D3194">
        <w:t>Article 15: Damage arising from data processing</w:t>
      </w:r>
    </w:p>
    <w:p w:rsidRPr="003D3194" w:rsidR="003D3194" w:rsidP="003D3194" w:rsidRDefault="003D3194" w14:paraId="2BAC6212" w14:textId="77777777">
      <w:pPr>
        <w:pStyle w:val="JuQuot"/>
      </w:pPr>
      <w:r w:rsidRPr="003D3194">
        <w:t xml:space="preserve">“A person causing damage to a third person </w:t>
      </w:r>
      <w:proofErr w:type="gramStart"/>
      <w:r w:rsidRPr="003D3194">
        <w:t>as a consequence of</w:t>
      </w:r>
      <w:proofErr w:type="gramEnd"/>
      <w:r w:rsidRPr="003D3194">
        <w:t xml:space="preserve"> the processing of his or her personal data must compensate the person concerned under Article 2050 of the Civil Code. The person concerned is also entitled to obtain compensation for non-pecuniary damage resulting from the breach of Article 11.”</w:t>
      </w:r>
    </w:p>
    <w:p w:rsidRPr="003D3194" w:rsidR="003D3194" w:rsidP="003D3194" w:rsidRDefault="003D3194" w14:paraId="0F3B1812" w14:textId="77777777">
      <w:pPr>
        <w:pStyle w:val="JuHArticle"/>
      </w:pPr>
      <w:r w:rsidRPr="003D3194">
        <w:t>Article 25: Prohibition of communication and dissemination</w:t>
      </w:r>
    </w:p>
    <w:p w:rsidRPr="003D3194" w:rsidR="003D3194" w:rsidP="003D3194" w:rsidRDefault="003D3194" w14:paraId="6917219C" w14:textId="77777777">
      <w:pPr>
        <w:pStyle w:val="JuQuot"/>
      </w:pPr>
      <w:r w:rsidRPr="003D3194">
        <w:t>“Communication and dissemination are prohibited in respect of ...:</w:t>
      </w:r>
    </w:p>
    <w:p w:rsidRPr="003D3194" w:rsidR="003D3194" w:rsidP="003D3194" w:rsidRDefault="003D3194" w14:paraId="37714AEB" w14:textId="77777777">
      <w:pPr>
        <w:pStyle w:val="JuQuot"/>
      </w:pPr>
      <w:r w:rsidRPr="003D3194">
        <w:t xml:space="preserve">(a)  personal data whose removal has been ordered, after the </w:t>
      </w:r>
      <w:proofErr w:type="gramStart"/>
      <w:r w:rsidRPr="003D3194">
        <w:t>period of time</w:t>
      </w:r>
      <w:proofErr w:type="gramEnd"/>
      <w:r w:rsidRPr="003D3194">
        <w:t xml:space="preserve"> indicated in Article 11 § (1) (e) has elapsed ...”</w:t>
      </w:r>
    </w:p>
    <w:p w:rsidRPr="003D3194" w:rsidR="003D3194" w:rsidP="003D3194" w:rsidRDefault="003D3194" w14:paraId="1053ECC5" w14:textId="77777777">
      <w:pPr>
        <w:pStyle w:val="JuHArticle"/>
      </w:pPr>
      <w:r w:rsidRPr="003D3194">
        <w:t>Article 99: Compatibility of the objectives and the length of processing</w:t>
      </w:r>
    </w:p>
    <w:p w:rsidRPr="003D3194" w:rsidR="003D3194" w:rsidP="003D3194" w:rsidRDefault="003D3194" w14:paraId="7EAEFB68" w14:textId="2405BD2E">
      <w:pPr>
        <w:pStyle w:val="JuQuot"/>
      </w:pPr>
      <w:r w:rsidRPr="003D3194">
        <w:t xml:space="preserve">“1.  The processing of personal data for historical, </w:t>
      </w:r>
      <w:proofErr w:type="gramStart"/>
      <w:r w:rsidRPr="003D3194">
        <w:t>scientific</w:t>
      </w:r>
      <w:proofErr w:type="gramEnd"/>
      <w:r w:rsidRPr="003D3194">
        <w:t xml:space="preserve"> or statistical </w:t>
      </w:r>
      <w:r w:rsidR="009966C7">
        <w:t xml:space="preserve">research </w:t>
      </w:r>
      <w:r w:rsidRPr="003D3194">
        <w:t>purposes is considered to be compatible with the different objectives for which the data was initially collected or processed.</w:t>
      </w:r>
    </w:p>
    <w:p w:rsidRPr="003D3194" w:rsidR="003D3194" w:rsidP="003D3194" w:rsidRDefault="003D3194" w14:paraId="19EFCDAE" w14:textId="3753EDE4">
      <w:pPr>
        <w:pStyle w:val="JuQuot"/>
      </w:pPr>
      <w:r w:rsidRPr="003D3194">
        <w:t xml:space="preserve">2.  The processing of personal data for historical, </w:t>
      </w:r>
      <w:proofErr w:type="gramStart"/>
      <w:r w:rsidRPr="003D3194">
        <w:t>scientific</w:t>
      </w:r>
      <w:proofErr w:type="gramEnd"/>
      <w:r w:rsidRPr="003D3194">
        <w:t xml:space="preserve"> or statistical </w:t>
      </w:r>
      <w:r w:rsidR="009966C7">
        <w:t xml:space="preserve">research </w:t>
      </w:r>
      <w:r w:rsidRPr="003D3194">
        <w:t>purposes may be carried out also upon the expiry of the period that is necessary for achieving the different purposes for which the data was initially collected and processed. ...”</w:t>
      </w:r>
    </w:p>
    <w:p w:rsidRPr="003D3194" w:rsidR="003D3194" w:rsidP="003D3194" w:rsidRDefault="003D3194" w14:paraId="1FB23A4B" w14:textId="77777777">
      <w:pPr>
        <w:pStyle w:val="JuHArticle"/>
      </w:pPr>
      <w:r w:rsidRPr="003D3194">
        <w:t>Article 136: Journalistic purposes ...</w:t>
      </w:r>
    </w:p>
    <w:p w:rsidRPr="003D3194" w:rsidR="003D3194" w:rsidP="003D3194" w:rsidRDefault="003D3194" w14:paraId="13731DED" w14:textId="77777777">
      <w:pPr>
        <w:pStyle w:val="JuQuot"/>
      </w:pPr>
      <w:r w:rsidRPr="003D3194">
        <w:t>“1.  The provision contained in this paragraph [Journalism and Literary and Artistic Expression] are applicable to the processing of data:</w:t>
      </w:r>
    </w:p>
    <w:p w:rsidRPr="003D3194" w:rsidR="003D3194" w:rsidP="003D3194" w:rsidRDefault="003D3194" w14:paraId="424FB5EF" w14:textId="77777777">
      <w:pPr>
        <w:pStyle w:val="JuQuot"/>
      </w:pPr>
      <w:r w:rsidRPr="003D3194">
        <w:t>(a)  carried out in the exercise of journalistic activities and for the exclusive pursuit of the inherent objectives. ...”</w:t>
      </w:r>
    </w:p>
    <w:p w:rsidRPr="003D3194" w:rsidR="003D3194" w:rsidP="003D3194" w:rsidRDefault="003D3194" w14:paraId="07036B71" w14:textId="77777777">
      <w:pPr>
        <w:pStyle w:val="JuHArticle"/>
      </w:pPr>
      <w:r w:rsidRPr="003D3194">
        <w:t>Article 139: Code of ethics concerning journalistic activities</w:t>
      </w:r>
    </w:p>
    <w:p w:rsidRPr="003D3194" w:rsidR="003D3194" w:rsidP="003D3194" w:rsidRDefault="003D3194" w14:paraId="293D8AD2" w14:textId="4EFC5F7B">
      <w:pPr>
        <w:pStyle w:val="JuQuot"/>
        <w:keepNext/>
        <w:keepLines/>
      </w:pPr>
      <w:r w:rsidRPr="003D3194">
        <w:t>“The Data Protection Authority encourages the adoption by the National Council of Journalists of a code of ethics in respect of the processing of the [type of] data referred to in Article 136, which [would provide] protective measures ... in respect of ...</w:t>
      </w:r>
      <w:proofErr w:type="gramStart"/>
      <w:r w:rsidRPr="003D3194">
        <w:t>, in particular, data</w:t>
      </w:r>
      <w:proofErr w:type="gramEnd"/>
      <w:r w:rsidRPr="003D3194">
        <w:t xml:space="preserve"> that could reveal information regarding [a person’s] state of health or sexual life. ...”</w:t>
      </w:r>
    </w:p>
    <w:p w:rsidRPr="003D3194" w:rsidR="003D3194" w:rsidP="003D3194" w:rsidRDefault="003D3194" w14:paraId="390359AE" w14:textId="77777777">
      <w:pPr>
        <w:pStyle w:val="JuHArticle"/>
      </w:pPr>
      <w:r w:rsidRPr="003D3194">
        <w:t>Article 152: Ordinary judicial authorities</w:t>
      </w:r>
    </w:p>
    <w:p w:rsidRPr="003D3194" w:rsidR="003D3194" w:rsidP="003D3194" w:rsidRDefault="003D3194" w14:paraId="50943550" w14:textId="77777777">
      <w:pPr>
        <w:pStyle w:val="JuQuot"/>
      </w:pPr>
      <w:r w:rsidRPr="003D3194">
        <w:t>“1.  An ordinary judicial authority [</w:t>
      </w:r>
      <w:proofErr w:type="spellStart"/>
      <w:r w:rsidRPr="003D3194">
        <w:rPr>
          <w:i/>
          <w:iCs/>
        </w:rPr>
        <w:t>autorità</w:t>
      </w:r>
      <w:proofErr w:type="spellEnd"/>
      <w:r w:rsidRPr="003D3194">
        <w:rPr>
          <w:i/>
          <w:iCs/>
        </w:rPr>
        <w:t xml:space="preserve"> </w:t>
      </w:r>
      <w:proofErr w:type="spellStart"/>
      <w:r w:rsidRPr="003D3194">
        <w:rPr>
          <w:i/>
          <w:iCs/>
        </w:rPr>
        <w:t>giudiziaria</w:t>
      </w:r>
      <w:proofErr w:type="spellEnd"/>
      <w:r w:rsidRPr="003D3194">
        <w:rPr>
          <w:i/>
          <w:iCs/>
        </w:rPr>
        <w:t xml:space="preserve"> </w:t>
      </w:r>
      <w:proofErr w:type="spellStart"/>
      <w:r w:rsidRPr="003D3194">
        <w:rPr>
          <w:i/>
          <w:iCs/>
        </w:rPr>
        <w:t>ordinaria</w:t>
      </w:r>
      <w:proofErr w:type="spellEnd"/>
      <w:r w:rsidRPr="003D3194">
        <w:t>] has jurisdiction to settle all disputes concerning the application of the provisions contained in the present code ...</w:t>
      </w:r>
    </w:p>
    <w:p w:rsidRPr="003D3194" w:rsidR="003D3194" w:rsidP="003D3194" w:rsidRDefault="003D3194" w14:paraId="60CE1461" w14:textId="77777777">
      <w:pPr>
        <w:pStyle w:val="JuQuot"/>
      </w:pPr>
      <w:r w:rsidRPr="003D3194">
        <w:t>2.  In order to institute proceedings concerning all disputes mentioned in paragraph 1 above, an appeal shall be lodged with the registry of the court serving the place of residence of the person whose (personal data) are being processed.</w:t>
      </w:r>
    </w:p>
    <w:p w:rsidRPr="003D3194" w:rsidR="003D3194" w:rsidP="003D3194" w:rsidRDefault="003D3194" w14:paraId="5CF0B0AB" w14:textId="77777777">
      <w:pPr>
        <w:pStyle w:val="JuQuot"/>
      </w:pPr>
      <w:r w:rsidRPr="003D3194">
        <w:t>3.  The court will decide [a case] sitting in a single-judge formation.</w:t>
      </w:r>
    </w:p>
    <w:p w:rsidRPr="003D3194" w:rsidR="003D3194" w:rsidP="003D3194" w:rsidRDefault="003D3194" w14:paraId="18B66B63" w14:textId="77777777">
      <w:pPr>
        <w:pStyle w:val="JuQuot"/>
      </w:pPr>
      <w:r w:rsidRPr="003D3194">
        <w:t>...</w:t>
      </w:r>
    </w:p>
    <w:p w:rsidRPr="003D3194" w:rsidR="003D3194" w:rsidP="003D3194" w:rsidRDefault="003D3194" w14:paraId="29427195" w14:textId="77777777">
      <w:pPr>
        <w:pStyle w:val="JuQuot"/>
      </w:pPr>
      <w:r w:rsidRPr="003D3194">
        <w:t>13.  A judgment may not be subject to an appeal on the merits before a second-instance court; however, it may be subject to an appeal on points of law before the Court of Cassation. ...”</w:t>
      </w:r>
    </w:p>
    <w:p w:rsidRPr="003D3194" w:rsidR="003D3194" w:rsidP="003D3194" w:rsidRDefault="003D3194" w14:paraId="750C38F1" w14:textId="77777777">
      <w:pPr>
        <w:pStyle w:val="JuHIRoman"/>
      </w:pPr>
      <w:r w:rsidRPr="003D3194">
        <w:t>International LAW MATERIAL</w:t>
      </w:r>
    </w:p>
    <w:p w:rsidRPr="003D3194" w:rsidR="003D3194" w:rsidP="003D3194" w:rsidRDefault="003D3194" w14:paraId="70F17141" w14:textId="538E4D4C">
      <w:pPr>
        <w:pStyle w:val="JuHA"/>
      </w:pPr>
      <w:r w:rsidRPr="003D3194">
        <w:t>Recommendation CM/</w:t>
      </w:r>
      <w:proofErr w:type="gramStart"/>
      <w:r w:rsidRPr="003D3194">
        <w:t>Rec(</w:t>
      </w:r>
      <w:proofErr w:type="gramEnd"/>
      <w:r w:rsidRPr="003D3194">
        <w:t>2012)3 of the Council of Europe’s Committee of Ministers to member States on the protection of human rights with regard to search engines</w:t>
      </w:r>
    </w:p>
    <w:bookmarkStart w:name="recommendation" w:id="5"/>
    <w:p w:rsidRPr="003D3194" w:rsidR="003D3194" w:rsidP="003D3194" w:rsidRDefault="003D3194" w14:paraId="7992C69E" w14:textId="53CF2C08">
      <w:pPr>
        <w:pStyle w:val="ECHRParaSpaced"/>
        <w:rPr>
          <w:lang w:val="en-GB"/>
        </w:rPr>
      </w:pPr>
      <w:r w:rsidRPr="003D3194">
        <w:rPr>
          <w:rStyle w:val="JuParaChar"/>
        </w:rPr>
        <w:fldChar w:fldCharType="begin"/>
      </w:r>
      <w:r w:rsidRPr="003D3194">
        <w:rPr>
          <w:rStyle w:val="JuParaChar"/>
        </w:rPr>
        <w:instrText xml:space="preserve"> SEQ level0 \*arabic </w:instrText>
      </w:r>
      <w:r w:rsidRPr="003D3194">
        <w:rPr>
          <w:rStyle w:val="JuParaChar"/>
        </w:rPr>
        <w:fldChar w:fldCharType="separate"/>
      </w:r>
      <w:r w:rsidRPr="003D3194">
        <w:rPr>
          <w:rStyle w:val="JuParaChar"/>
          <w:noProof/>
        </w:rPr>
        <w:t>16</w:t>
      </w:r>
      <w:r w:rsidRPr="003D3194">
        <w:rPr>
          <w:rStyle w:val="JuParaChar"/>
        </w:rPr>
        <w:fldChar w:fldCharType="end"/>
      </w:r>
      <w:bookmarkEnd w:id="5"/>
      <w:r w:rsidRPr="003D3194">
        <w:rPr>
          <w:rStyle w:val="JuParaChar"/>
        </w:rPr>
        <w:t xml:space="preserve">.  In its relevant parts, </w:t>
      </w:r>
      <w:r w:rsidRPr="003D3194">
        <w:rPr>
          <w:rFonts w:ascii="Times New Roman" w:hAnsi="Times New Roman" w:cs="Times New Roman"/>
          <w:sz w:val="24"/>
          <w:szCs w:val="24"/>
          <w:lang w:val="en-GB"/>
        </w:rPr>
        <w:t>Recommendation CM/</w:t>
      </w:r>
      <w:proofErr w:type="gramStart"/>
      <w:r w:rsidRPr="003D3194">
        <w:rPr>
          <w:rFonts w:ascii="Times New Roman" w:hAnsi="Times New Roman" w:cs="Times New Roman"/>
          <w:sz w:val="24"/>
          <w:szCs w:val="24"/>
          <w:lang w:val="en-GB"/>
        </w:rPr>
        <w:t>Rec(</w:t>
      </w:r>
      <w:proofErr w:type="gramEnd"/>
      <w:r w:rsidRPr="003D3194">
        <w:rPr>
          <w:rFonts w:ascii="Times New Roman" w:hAnsi="Times New Roman" w:cs="Times New Roman"/>
          <w:sz w:val="24"/>
          <w:szCs w:val="24"/>
          <w:lang w:val="en-GB"/>
        </w:rPr>
        <w:t>2012)3 of the Council of Europe’s Committee of Ministers to member States on the protection of human rights with regard to search engines</w:t>
      </w:r>
      <w:r w:rsidRPr="003D3194">
        <w:rPr>
          <w:rStyle w:val="JuParaChar"/>
        </w:rPr>
        <w:t>, adopted by the Committee of Ministers on 4 April 2012, reads</w:t>
      </w:r>
      <w:r w:rsidRPr="003D3194">
        <w:rPr>
          <w:lang w:val="en-GB"/>
        </w:rPr>
        <w:t xml:space="preserve"> as follows:</w:t>
      </w:r>
    </w:p>
    <w:p w:rsidRPr="003D3194" w:rsidR="003D3194" w:rsidP="003D3194" w:rsidRDefault="003D3194" w14:paraId="0EDA8CEB" w14:textId="5CFEC907">
      <w:pPr>
        <w:pStyle w:val="JuQuot"/>
      </w:pPr>
      <w:r w:rsidRPr="003D3194">
        <w:t>“7.  The Committee of Ministers ..., under the terms of Article 15.</w:t>
      </w:r>
      <w:r w:rsidRPr="003D3194">
        <w:rPr>
          <w:rStyle w:val="Emphasis"/>
          <w:b w:val="0"/>
          <w:bCs w:val="0"/>
        </w:rPr>
        <w:t>b</w:t>
      </w:r>
      <w:r w:rsidRPr="003D3194">
        <w:t xml:space="preserve"> of the Statute of the Council of Europe, recommends that member States, in consultation with private sector actors and civil society, develop and promote coherent strategies to protect freedom of expression, access to information and other human rights and fundamental freedoms in relation to search engines in line with the Convention for the Protection of Human Rights and Fundamental Freedoms (ETS No. 5, hereinafter referred to as the ‘Convention’), especially Article 8 (Right to respect for private and family life) and Article 10 (Freedom of expression) and with the Convention for the Protection of Individuals with regard to Automatic Processing of Personal Data (ETS No. 108, hereafter referred to as ‘Convention No. 108’), in particular by engaging with search engine providers to carry out the following actions:</w:t>
      </w:r>
    </w:p>
    <w:p w:rsidRPr="003D3194" w:rsidR="003D3194" w:rsidP="003D3194" w:rsidRDefault="003D3194" w14:paraId="715CCE0A" w14:textId="77777777">
      <w:pPr>
        <w:pStyle w:val="JuQuot"/>
      </w:pPr>
      <w:r w:rsidRPr="003D3194">
        <w:t xml:space="preserve">–  enhance transparency regarding the way in which access to information is provided, in order to ensure access to, and pluralism and diversity of, information and services, in particular the criteria according to which search results are selected, ranked or </w:t>
      </w:r>
      <w:proofErr w:type="gramStart"/>
      <w:r w:rsidRPr="003D3194">
        <w:t>removed;</w:t>
      </w:r>
      <w:proofErr w:type="gramEnd"/>
    </w:p>
    <w:p w:rsidRPr="003D3194" w:rsidR="003D3194" w:rsidP="003D3194" w:rsidRDefault="003D3194" w14:paraId="10593818" w14:textId="77777777">
      <w:pPr>
        <w:pStyle w:val="JuQuot"/>
      </w:pPr>
      <w:r w:rsidRPr="003D3194">
        <w:t xml:space="preserve">–  review search ranking and indexing of content which, although in the public space, is not intended for mass communication (or for mass communication in aggregate). This could include listing content sufficiently low in search results </w:t>
      </w:r>
      <w:proofErr w:type="gramStart"/>
      <w:r w:rsidRPr="003D3194">
        <w:t>so as to</w:t>
      </w:r>
      <w:proofErr w:type="gramEnd"/>
      <w:r w:rsidRPr="003D3194">
        <w:t xml:space="preserve"> strike a balance between the accessibility of the content in question and the intentions or wishes of its producer (for example having different accessibility levels to content which is published seeking broad dissemination as compared to content which is merely available in a public space). Default settings should be conceived taking account of this </w:t>
      </w:r>
      <w:proofErr w:type="gramStart"/>
      <w:r w:rsidRPr="003D3194">
        <w:t>objective;</w:t>
      </w:r>
      <w:proofErr w:type="gramEnd"/>
    </w:p>
    <w:p w:rsidRPr="003D3194" w:rsidR="003D3194" w:rsidP="003D3194" w:rsidRDefault="003D3194" w14:paraId="49C997E8" w14:textId="77777777">
      <w:pPr>
        <w:pStyle w:val="JuQuot"/>
      </w:pPr>
      <w:r w:rsidRPr="003D3194">
        <w:t>...</w:t>
      </w:r>
    </w:p>
    <w:p w:rsidRPr="003D3194" w:rsidR="003D3194" w:rsidP="003D3194" w:rsidRDefault="003D3194" w14:paraId="55D5790B" w14:textId="77777777">
      <w:pPr>
        <w:pStyle w:val="JuPara"/>
        <w:ind w:firstLine="567"/>
        <w:rPr>
          <w:sz w:val="20"/>
          <w:szCs w:val="20"/>
        </w:rPr>
      </w:pPr>
      <w:r w:rsidRPr="003D3194">
        <w:rPr>
          <w:sz w:val="20"/>
          <w:szCs w:val="20"/>
        </w:rPr>
        <w:t>III.  Filtering and de-indexing</w:t>
      </w:r>
    </w:p>
    <w:p w:rsidRPr="003D3194" w:rsidR="003D3194" w:rsidP="003D3194" w:rsidRDefault="003D3194" w14:paraId="79918C0F" w14:textId="77777777">
      <w:pPr>
        <w:pStyle w:val="JuQuot"/>
        <w:jc w:val="center"/>
      </w:pPr>
      <w:r w:rsidRPr="003D3194">
        <w:t>Context and challenges</w:t>
      </w:r>
    </w:p>
    <w:p w:rsidRPr="003D3194" w:rsidR="003D3194" w:rsidP="003D3194" w:rsidRDefault="003D3194" w14:paraId="5FB71F52" w14:textId="77777777">
      <w:pPr>
        <w:pStyle w:val="JuQuot"/>
      </w:pPr>
      <w:r w:rsidRPr="003D3194">
        <w:t xml:space="preserve">12.  A prerequisite for the existence of effective search engines is the freedom to crawl and index the information available on the Internet. The filtering and blocking of Internet content by search engine providers </w:t>
      </w:r>
      <w:proofErr w:type="gramStart"/>
      <w:r w:rsidRPr="003D3194">
        <w:t>entails</w:t>
      </w:r>
      <w:proofErr w:type="gramEnd"/>
      <w:r w:rsidRPr="003D3194">
        <w:t xml:space="preserve"> the risk of violation of freedom of expression guaranteed by Article 10 of the Convention in respect to the rights of providers and users to distribute and access information.</w:t>
      </w:r>
    </w:p>
    <w:p w:rsidRPr="003D3194" w:rsidR="003D3194" w:rsidP="003D3194" w:rsidRDefault="003D3194" w14:paraId="0F398102" w14:textId="77777777">
      <w:pPr>
        <w:pStyle w:val="JuQuot"/>
      </w:pPr>
      <w:r w:rsidRPr="003D3194">
        <w:t xml:space="preserve">13.  Search engine providers should not be obliged to monitor their networks and services proactively in order to detect possibly illegal content, nor should they conduct any </w:t>
      </w:r>
      <w:proofErr w:type="gramStart"/>
      <w:r w:rsidRPr="003D3194">
        <w:rPr>
          <w:i/>
          <w:iCs/>
        </w:rPr>
        <w:t>ex ante</w:t>
      </w:r>
      <w:proofErr w:type="gramEnd"/>
      <w:r w:rsidRPr="003D3194">
        <w:t xml:space="preserve"> filtering or blocking activity, unless mandated by court order or by a competent authority. However, there may be legitimate requests to remove specific sources from their index, for example in cases where other rights outweigh the right to freedom of expression and information; the right to information cannot be understood as extending the access to content beyond the intention of the person who exercises her or his freedom of expression.</w:t>
      </w:r>
    </w:p>
    <w:p w:rsidRPr="003D3194" w:rsidR="003D3194" w:rsidP="003D3194" w:rsidRDefault="003D3194" w14:paraId="2C16D2A4" w14:textId="77777777">
      <w:pPr>
        <w:pStyle w:val="JuQuot"/>
      </w:pPr>
      <w:r w:rsidRPr="003D3194">
        <w:t xml:space="preserve">14.  In many countries, search engine providers de-index or filter specific websites at the request of public authorities or private parties </w:t>
      </w:r>
      <w:proofErr w:type="gramStart"/>
      <w:r w:rsidRPr="003D3194">
        <w:t>in order to</w:t>
      </w:r>
      <w:proofErr w:type="gramEnd"/>
      <w:r w:rsidRPr="003D3194">
        <w:t xml:space="preserve"> comply with legal obligations or at their own initiative (for example in cases not related to the content of websites, but to technical dangers such as malware). Any such de-indexing or filtering should be transparent, narrowly tailored and reviewed regularly subject to compliance with due process requirements.</w:t>
      </w:r>
    </w:p>
    <w:p w:rsidRPr="003D3194" w:rsidR="003D3194" w:rsidP="003D3194" w:rsidRDefault="003D3194" w14:paraId="029B97CD" w14:textId="77777777">
      <w:pPr>
        <w:pStyle w:val="JuQuot"/>
        <w:jc w:val="center"/>
      </w:pPr>
      <w:r w:rsidRPr="003D3194">
        <w:t>Action</w:t>
      </w:r>
    </w:p>
    <w:p w:rsidRPr="003D3194" w:rsidR="003D3194" w:rsidP="003D3194" w:rsidRDefault="003D3194" w14:paraId="261B4C1F" w14:textId="77777777">
      <w:pPr>
        <w:pStyle w:val="JuQuot"/>
      </w:pPr>
      <w:r w:rsidRPr="003D3194">
        <w:t>15.  Member States should:</w:t>
      </w:r>
    </w:p>
    <w:p w:rsidRPr="003D3194" w:rsidR="003D3194" w:rsidP="003D3194" w:rsidRDefault="003D3194" w14:paraId="00440108" w14:textId="77777777">
      <w:pPr>
        <w:pStyle w:val="JuQuot"/>
      </w:pPr>
      <w:r w:rsidRPr="003D3194">
        <w:t>–  ensure that any law, policy or individual request on de-indexing or filtering is enacted with full respect for relevant legal provisions, the right to freedom of expression and the right to seek, receive and impart information. The principles of due process and access to independent and accountable redress mechanisms should also be respected in this context.</w:t>
      </w:r>
    </w:p>
    <w:p w:rsidRPr="003D3194" w:rsidR="003D3194" w:rsidP="003D3194" w:rsidRDefault="003D3194" w14:paraId="4BE84A20" w14:textId="77777777">
      <w:pPr>
        <w:pStyle w:val="JuQuot"/>
      </w:pPr>
      <w:r w:rsidRPr="003D3194">
        <w:t>16.  In addition, member States should work with search engine providers so that they:</w:t>
      </w:r>
    </w:p>
    <w:p w:rsidRPr="003D3194" w:rsidR="003D3194" w:rsidP="003D3194" w:rsidRDefault="003D3194" w14:paraId="29708CA3" w14:textId="77777777">
      <w:pPr>
        <w:pStyle w:val="JuQuot"/>
      </w:pPr>
      <w:r w:rsidRPr="003D3194">
        <w:t>...</w:t>
      </w:r>
    </w:p>
    <w:p w:rsidRPr="003D3194" w:rsidR="003D3194" w:rsidP="003D3194" w:rsidRDefault="003D3194" w14:paraId="5DD0175D" w14:textId="77777777">
      <w:pPr>
        <w:pStyle w:val="JuQuot"/>
      </w:pPr>
      <w:r w:rsidRPr="003D3194">
        <w:t>–  explore the possibility of allowing de-indexation of content which, while in the public domain, was not intended for mass communication (or mass communication in aggregate). ...”</w:t>
      </w:r>
    </w:p>
    <w:p w:rsidRPr="003D3194" w:rsidR="003D3194" w:rsidP="003D3194" w:rsidRDefault="003D3194" w14:paraId="131D35F0" w14:textId="77777777">
      <w:pPr>
        <w:pStyle w:val="JuHA"/>
        <w:rPr>
          <w:rFonts w:eastAsiaTheme="minorHAnsi"/>
        </w:rPr>
      </w:pPr>
      <w:r w:rsidRPr="003D3194">
        <w:t>Council</w:t>
      </w:r>
      <w:r w:rsidRPr="003D3194">
        <w:rPr>
          <w:rFonts w:eastAsiaTheme="minorHAnsi"/>
        </w:rPr>
        <w:t xml:space="preserve"> of Europe Convention for the Protection of Individuals </w:t>
      </w:r>
      <w:proofErr w:type="gramStart"/>
      <w:r w:rsidRPr="003D3194">
        <w:rPr>
          <w:rFonts w:eastAsiaTheme="minorHAnsi"/>
        </w:rPr>
        <w:t>with Regard to</w:t>
      </w:r>
      <w:proofErr w:type="gramEnd"/>
      <w:r w:rsidRPr="003D3194">
        <w:rPr>
          <w:rFonts w:eastAsiaTheme="minorHAnsi"/>
        </w:rPr>
        <w:t xml:space="preserve"> the Processing of Personal Data of 18 May 2018</w:t>
      </w:r>
    </w:p>
    <w:bookmarkStart w:name="modernised" w:id="6"/>
    <w:p w:rsidRPr="003D3194" w:rsidR="003D3194" w:rsidP="003D3194" w:rsidRDefault="003D3194" w14:paraId="62AAE1EC" w14:textId="1FCF40A2">
      <w:pPr>
        <w:pStyle w:val="JuPara"/>
        <w:keepNext/>
        <w:keepLines/>
      </w:pPr>
      <w:r w:rsidRPr="003D3194">
        <w:fldChar w:fldCharType="begin"/>
      </w:r>
      <w:r w:rsidRPr="003D3194">
        <w:instrText xml:space="preserve"> SEQ level0 \*arabic </w:instrText>
      </w:r>
      <w:r w:rsidRPr="003D3194">
        <w:fldChar w:fldCharType="separate"/>
      </w:r>
      <w:r w:rsidRPr="003D3194">
        <w:rPr>
          <w:noProof/>
        </w:rPr>
        <w:t>17</w:t>
      </w:r>
      <w:r w:rsidRPr="003D3194">
        <w:fldChar w:fldCharType="end"/>
      </w:r>
      <w:bookmarkEnd w:id="6"/>
      <w:r w:rsidRPr="003D3194">
        <w:t xml:space="preserve">.  The relevant provisions of the Convention of 18 May 2018 – updating the previous Convention for the Protection of Individuals </w:t>
      </w:r>
      <w:proofErr w:type="gramStart"/>
      <w:r w:rsidRPr="003D3194">
        <w:t>with regard to</w:t>
      </w:r>
      <w:proofErr w:type="gramEnd"/>
      <w:r w:rsidRPr="003D3194">
        <w:t xml:space="preserve"> Automatic Processing of Personal Data, which was opened for signature on 28 January 1981 and came into force on 1 October 1985, ETS 108 – read as follows:</w:t>
      </w:r>
    </w:p>
    <w:p w:rsidRPr="003D3194" w:rsidR="003D3194" w:rsidP="003D3194" w:rsidRDefault="003D3194" w14:paraId="50A9FB3E" w14:textId="77777777">
      <w:pPr>
        <w:pStyle w:val="JuHArticle"/>
      </w:pPr>
      <w:r w:rsidRPr="003D3194">
        <w:t>Article 5: Legitimacy of data processing and quality of data</w:t>
      </w:r>
    </w:p>
    <w:p w:rsidRPr="003D3194" w:rsidR="003D3194" w:rsidP="003D3194" w:rsidRDefault="003D3194" w14:paraId="24185191" w14:textId="77777777">
      <w:pPr>
        <w:pStyle w:val="JuQuot"/>
      </w:pPr>
      <w:r w:rsidRPr="003D3194">
        <w:t>“1.  Data processing shall be proportionate in relation to the legitimate purpose pursued and reflect at all stages of the processing a fair balance between all interests concerned, whether public or private, and the rights and freedoms at stake.</w:t>
      </w:r>
    </w:p>
    <w:p w:rsidRPr="003D3194" w:rsidR="003D3194" w:rsidP="003D3194" w:rsidRDefault="003D3194" w14:paraId="53FDEB8F" w14:textId="77777777">
      <w:pPr>
        <w:pStyle w:val="JuQuot"/>
      </w:pPr>
      <w:r w:rsidRPr="003D3194">
        <w:t>2.  ...</w:t>
      </w:r>
    </w:p>
    <w:p w:rsidRPr="003D3194" w:rsidR="003D3194" w:rsidP="003D3194" w:rsidRDefault="003D3194" w14:paraId="4F42BC84" w14:textId="77777777">
      <w:pPr>
        <w:pStyle w:val="JuQuot"/>
      </w:pPr>
      <w:r w:rsidRPr="003D3194">
        <w:t>3.  Personal data undergoing processing shall be processed lawfully.</w:t>
      </w:r>
    </w:p>
    <w:p w:rsidRPr="003D3194" w:rsidR="003D3194" w:rsidP="003D3194" w:rsidRDefault="003D3194" w14:paraId="4E46FF8D" w14:textId="77777777">
      <w:pPr>
        <w:pStyle w:val="JuQuot"/>
      </w:pPr>
      <w:r w:rsidRPr="003D3194">
        <w:t>4.  Personal data undergoing processing shall be:</w:t>
      </w:r>
    </w:p>
    <w:p w:rsidRPr="003D3194" w:rsidR="003D3194" w:rsidP="003D3194" w:rsidRDefault="003D3194" w14:paraId="14C697C5" w14:textId="77777777">
      <w:pPr>
        <w:pStyle w:val="JuQuot"/>
      </w:pPr>
      <w:r w:rsidRPr="003D3194">
        <w:t>...</w:t>
      </w:r>
    </w:p>
    <w:p w:rsidRPr="003D3194" w:rsidR="003D3194" w:rsidP="003D3194" w:rsidRDefault="003D3194" w14:paraId="21B9285A" w14:textId="77777777">
      <w:pPr>
        <w:pStyle w:val="JuQuot"/>
      </w:pPr>
      <w:r w:rsidRPr="003D3194">
        <w:t xml:space="preserve">b.  collected for explicit, specified and legitimate purposes and not processed in a way incompatible with those purposes; further processing for archiving purposes in the public interest, scientific or historical research purposes or statistical purposes is, subject to appropriate safeguards, compatible with those </w:t>
      </w:r>
      <w:proofErr w:type="gramStart"/>
      <w:r w:rsidRPr="003D3194">
        <w:t>purposes;</w:t>
      </w:r>
      <w:proofErr w:type="gramEnd"/>
    </w:p>
    <w:p w:rsidRPr="003D3194" w:rsidR="003D3194" w:rsidP="003D3194" w:rsidRDefault="003D3194" w14:paraId="574DB89F" w14:textId="77777777">
      <w:pPr>
        <w:pStyle w:val="JuQuot"/>
      </w:pPr>
      <w:r w:rsidRPr="003D3194">
        <w:t xml:space="preserve">c.  adequate, relevant and not excessive in relation to the purposes for which they are </w:t>
      </w:r>
      <w:proofErr w:type="gramStart"/>
      <w:r w:rsidRPr="003D3194">
        <w:t>processed;</w:t>
      </w:r>
      <w:proofErr w:type="gramEnd"/>
    </w:p>
    <w:p w:rsidRPr="003D3194" w:rsidR="003D3194" w:rsidP="003D3194" w:rsidRDefault="003D3194" w14:paraId="5BB080E1" w14:textId="77777777">
      <w:pPr>
        <w:pStyle w:val="JuQuot"/>
      </w:pPr>
      <w:r w:rsidRPr="003D3194">
        <w:t xml:space="preserve">d.  accurate and, where necessary, kept up to </w:t>
      </w:r>
      <w:proofErr w:type="gramStart"/>
      <w:r w:rsidRPr="003D3194">
        <w:t>date;</w:t>
      </w:r>
      <w:proofErr w:type="gramEnd"/>
    </w:p>
    <w:p w:rsidRPr="003D3194" w:rsidR="003D3194" w:rsidP="003D3194" w:rsidRDefault="003D3194" w14:paraId="1D4D1EC4" w14:textId="77777777">
      <w:pPr>
        <w:pStyle w:val="JuQuot"/>
      </w:pPr>
      <w:r w:rsidRPr="003D3194">
        <w:t>e.  preserved in a form which permits identification of data subjects for no longer than is necessary for the purposes for which those data are processed.”</w:t>
      </w:r>
    </w:p>
    <w:p w:rsidRPr="003D3194" w:rsidR="003D3194" w:rsidP="003D3194" w:rsidRDefault="003D3194" w14:paraId="32A215AD" w14:textId="77777777">
      <w:pPr>
        <w:pStyle w:val="JuHArticle"/>
      </w:pPr>
      <w:r w:rsidRPr="003D3194">
        <w:t>Article 6: Special categories of data</w:t>
      </w:r>
    </w:p>
    <w:p w:rsidRPr="003D3194" w:rsidR="003D3194" w:rsidP="003D3194" w:rsidRDefault="003D3194" w14:paraId="0F266AD6" w14:textId="77777777">
      <w:pPr>
        <w:pStyle w:val="JuQuot"/>
      </w:pPr>
      <w:r w:rsidRPr="003D3194">
        <w:t>“1.  The processing of:</w:t>
      </w:r>
    </w:p>
    <w:p w:rsidRPr="003D3194" w:rsidR="003D3194" w:rsidP="003D3194" w:rsidRDefault="003D3194" w14:paraId="4FDD572D" w14:textId="77777777">
      <w:pPr>
        <w:pStyle w:val="JuQuot"/>
      </w:pPr>
      <w:r w:rsidRPr="003D3194">
        <w:t>...</w:t>
      </w:r>
    </w:p>
    <w:p w:rsidRPr="003D3194" w:rsidR="003D3194" w:rsidP="003D3194" w:rsidRDefault="003D3194" w14:paraId="79664577" w14:textId="77777777">
      <w:pPr>
        <w:pStyle w:val="JuQuot"/>
      </w:pPr>
      <w:r w:rsidRPr="003D3194">
        <w:t xml:space="preserve">–  personal data relating to offences, criminal proceedings and convictions, and related security </w:t>
      </w:r>
      <w:proofErr w:type="gramStart"/>
      <w:r w:rsidRPr="003D3194">
        <w:t>measures;</w:t>
      </w:r>
      <w:proofErr w:type="gramEnd"/>
    </w:p>
    <w:p w:rsidRPr="003D3194" w:rsidR="003D3194" w:rsidP="003D3194" w:rsidRDefault="003D3194" w14:paraId="6383EA8D" w14:textId="77777777">
      <w:pPr>
        <w:pStyle w:val="JuQuot"/>
      </w:pPr>
      <w:r w:rsidRPr="003D3194">
        <w:t>...</w:t>
      </w:r>
    </w:p>
    <w:p w:rsidRPr="003D3194" w:rsidR="003D3194" w:rsidP="003D3194" w:rsidRDefault="003D3194" w14:paraId="56CA1B08" w14:textId="77777777">
      <w:pPr>
        <w:pStyle w:val="JuQuot"/>
      </w:pPr>
      <w:r w:rsidRPr="003D3194">
        <w:t>shall only be allowed where appropriate safeguards are enshrined in law, complementing those of this Convention.</w:t>
      </w:r>
    </w:p>
    <w:p w:rsidRPr="003D3194" w:rsidR="003D3194" w:rsidP="003D3194" w:rsidRDefault="003D3194" w14:paraId="227BECC2" w14:textId="77777777">
      <w:pPr>
        <w:pStyle w:val="JuQuot"/>
      </w:pPr>
      <w:r w:rsidRPr="003D3194">
        <w:t>2.  Such safeguards shall guard against the risks that the processing of sensitive data may present for the interests, rights and fundamental freedoms of the data subject, notably a risk of discrimination.”</w:t>
      </w:r>
    </w:p>
    <w:p w:rsidRPr="003D3194" w:rsidR="003D3194" w:rsidP="003D3194" w:rsidRDefault="003D3194" w14:paraId="073682B5" w14:textId="77777777">
      <w:pPr>
        <w:pStyle w:val="JuHArticle"/>
      </w:pPr>
      <w:r w:rsidRPr="003D3194">
        <w:t>Article 9: Rights of the data subject</w:t>
      </w:r>
    </w:p>
    <w:p w:rsidRPr="003D3194" w:rsidR="003D3194" w:rsidP="003D3194" w:rsidRDefault="003D3194" w14:paraId="5140FE05" w14:textId="77777777">
      <w:pPr>
        <w:pStyle w:val="JuQuot"/>
      </w:pPr>
      <w:r w:rsidRPr="003D3194">
        <w:t>“1.  Every individual shall have a right:</w:t>
      </w:r>
    </w:p>
    <w:p w:rsidRPr="003D3194" w:rsidR="003D3194" w:rsidP="003D3194" w:rsidRDefault="003D3194" w14:paraId="455DDC5C" w14:textId="77777777">
      <w:pPr>
        <w:pStyle w:val="JuQuot"/>
      </w:pPr>
      <w:r w:rsidRPr="003D3194">
        <w:t>...</w:t>
      </w:r>
    </w:p>
    <w:p w:rsidRPr="003D3194" w:rsidR="003D3194" w:rsidP="003D3194" w:rsidRDefault="003D3194" w14:paraId="3CDB8765" w14:textId="77777777">
      <w:pPr>
        <w:pStyle w:val="JuQuot"/>
      </w:pPr>
      <w:r w:rsidRPr="003D3194">
        <w:t xml:space="preserve">e.  to obtain, on request, free of charge and without excessive delay, </w:t>
      </w:r>
      <w:proofErr w:type="gramStart"/>
      <w:r w:rsidRPr="003D3194">
        <w:t>rectification</w:t>
      </w:r>
      <w:proofErr w:type="gramEnd"/>
      <w:r w:rsidRPr="003D3194">
        <w:t xml:space="preserve"> or erasure, as the case may be, of such data if these are being, or have been, processed contrary to the provisions of this Convention; ...”</w:t>
      </w:r>
    </w:p>
    <w:p w:rsidRPr="003D3194" w:rsidR="003D3194" w:rsidP="003D3194" w:rsidRDefault="003D3194" w14:paraId="4CE5FC97" w14:textId="77777777">
      <w:pPr>
        <w:pStyle w:val="JuHArticle"/>
      </w:pPr>
      <w:r w:rsidRPr="003D3194">
        <w:t>Article 11: Exceptions and restrictions</w:t>
      </w:r>
    </w:p>
    <w:p w:rsidRPr="003D3194" w:rsidR="003D3194" w:rsidP="003D3194" w:rsidRDefault="003D3194" w14:paraId="2E1810F6" w14:textId="77777777">
      <w:pPr>
        <w:pStyle w:val="JuQuot"/>
      </w:pPr>
      <w:r w:rsidRPr="003D3194">
        <w:t>“1.  No exception to the provisions set out in this Chapter shall be allowed except to the provisions of Article 5 paragraph 4, Article 7 paragraph 2, Article 8 paragraph 1 and Article 9, when such an exception is provided for by law, respects the essence of the fundamental rights and freedoms and constitutes a necessary and proportionate measure in a democratic society for:</w:t>
      </w:r>
    </w:p>
    <w:p w:rsidRPr="003D3194" w:rsidR="003D3194" w:rsidP="003D3194" w:rsidRDefault="003D3194" w14:paraId="6C4F7A9E" w14:textId="77777777">
      <w:pPr>
        <w:pStyle w:val="JuQuot"/>
      </w:pPr>
      <w:r w:rsidRPr="003D3194">
        <w:t>...</w:t>
      </w:r>
    </w:p>
    <w:p w:rsidRPr="003D3194" w:rsidR="003D3194" w:rsidP="003D3194" w:rsidRDefault="003D3194" w14:paraId="401FE3A7" w14:textId="77777777">
      <w:pPr>
        <w:pStyle w:val="JuQuot"/>
      </w:pPr>
      <w:r w:rsidRPr="003D3194">
        <w:t>b.  the protection of the data subject or the rights and fundamental freedoms of others, notably freedom of expression.”</w:t>
      </w:r>
    </w:p>
    <w:p w:rsidRPr="003D3194" w:rsidR="003D3194" w:rsidP="003D3194" w:rsidRDefault="003D3194" w14:paraId="226D5902" w14:textId="77777777">
      <w:pPr>
        <w:pStyle w:val="JuHIRoman"/>
      </w:pPr>
      <w:r w:rsidRPr="003D3194">
        <w:t>European Union law material</w:t>
      </w:r>
    </w:p>
    <w:p w:rsidRPr="003D3194" w:rsidR="003D3194" w:rsidP="003D3194" w:rsidRDefault="003D3194" w14:paraId="57FC6550" w14:textId="77777777">
      <w:pPr>
        <w:pStyle w:val="JuHA"/>
        <w:rPr>
          <w:rFonts w:eastAsiaTheme="minorHAnsi"/>
        </w:rPr>
      </w:pPr>
      <w:r w:rsidRPr="003D3194">
        <w:rPr>
          <w:rFonts w:eastAsiaTheme="minorHAnsi"/>
        </w:rPr>
        <w:t>Directive 95/46/EC of the European Parliament and of the Council of 24 </w:t>
      </w:r>
      <w:r w:rsidRPr="003D3194">
        <w:t>October</w:t>
      </w:r>
      <w:r w:rsidRPr="003D3194">
        <w:rPr>
          <w:rFonts w:eastAsiaTheme="minorHAnsi"/>
        </w:rPr>
        <w:t xml:space="preserve"> 1995</w:t>
      </w:r>
    </w:p>
    <w:p w:rsidRPr="003D3194" w:rsidR="003D3194" w:rsidP="003D3194" w:rsidRDefault="003D3194" w14:paraId="08C781C3" w14:textId="180FB9FF">
      <w:pPr>
        <w:pStyle w:val="JuParaLast"/>
      </w:pPr>
      <w:r w:rsidRPr="003D3194">
        <w:fldChar w:fldCharType="begin"/>
      </w:r>
      <w:r w:rsidRPr="003D3194">
        <w:instrText xml:space="preserve"> SEQ level0 \*arabic </w:instrText>
      </w:r>
      <w:r w:rsidRPr="003D3194">
        <w:fldChar w:fldCharType="separate"/>
      </w:r>
      <w:r w:rsidRPr="003D3194">
        <w:rPr>
          <w:noProof/>
        </w:rPr>
        <w:t>18</w:t>
      </w:r>
      <w:r w:rsidRPr="003D3194">
        <w:fldChar w:fldCharType="end"/>
      </w:r>
      <w:r w:rsidRPr="003D3194">
        <w:t>.  Directive 95/46/EC of the European Parliament and of the Council of 24 October 1995 on the protection of individuals with regard to the processing of personal data and on the free movement of such data, OJ 1995 L 281, p. 31 (“Directive 95/46/EC”) was designed to protect individuals’ fundamental rights and freedoms (including their right to privacy) in the processing of personal data, while at the same time removing obstacles to the free flow of such data. The relevant Articles read as follows.</w:t>
      </w:r>
    </w:p>
    <w:p w:rsidRPr="003D3194" w:rsidR="003D3194" w:rsidP="003D3194" w:rsidRDefault="003D3194" w14:paraId="68C9C531" w14:textId="77777777">
      <w:pPr>
        <w:pStyle w:val="JuHArticle"/>
      </w:pPr>
      <w:r w:rsidRPr="003D3194">
        <w:t>Article 8: The processing of special categories of data</w:t>
      </w:r>
    </w:p>
    <w:p w:rsidRPr="003D3194" w:rsidR="003D3194" w:rsidP="003D3194" w:rsidRDefault="003D3194" w14:paraId="1F9EE136" w14:textId="77777777">
      <w:pPr>
        <w:pStyle w:val="JuQuot"/>
        <w:keepNext/>
        <w:keepLines/>
      </w:pPr>
      <w:r w:rsidRPr="003D3194">
        <w:t>“...</w:t>
      </w:r>
    </w:p>
    <w:p w:rsidRPr="003D3194" w:rsidR="003D3194" w:rsidP="003D3194" w:rsidRDefault="003D3194" w14:paraId="2D32AA7D" w14:textId="77777777">
      <w:pPr>
        <w:pStyle w:val="JuQuot"/>
      </w:pPr>
      <w:r w:rsidRPr="003D3194">
        <w:t>5.  Processing of data relating to offences, criminal convictions or security measures may be carried out only under the control of official authority, or if suitable specific safeguards are provided under national law, subject to derogations which may be granted by the Member State under national provisions providing suitable specific safeguards. However, a complete register of criminal convictions may be kept only under the control of official authority.</w:t>
      </w:r>
    </w:p>
    <w:p w:rsidRPr="003D3194" w:rsidR="003D3194" w:rsidP="003D3194" w:rsidRDefault="003D3194" w14:paraId="0BC33709" w14:textId="77777777">
      <w:pPr>
        <w:pStyle w:val="JuQuot"/>
      </w:pPr>
      <w:r w:rsidRPr="003D3194">
        <w:t>Member States may provide that data relating to administrative sanctions or judgements in civil cases shall also be processed under the control of official authority.”</w:t>
      </w:r>
    </w:p>
    <w:p w:rsidRPr="003D3194" w:rsidR="003D3194" w:rsidP="003D3194" w:rsidRDefault="003D3194" w14:paraId="5B22FB88" w14:textId="77777777">
      <w:pPr>
        <w:pStyle w:val="JuHArticle"/>
      </w:pPr>
      <w:r w:rsidRPr="003D3194">
        <w:t>Article 9: Processing of personal data and freedom of expression</w:t>
      </w:r>
    </w:p>
    <w:p w:rsidRPr="003D3194" w:rsidR="003D3194" w:rsidP="003D3194" w:rsidRDefault="003D3194" w14:paraId="68187123" w14:textId="77777777">
      <w:pPr>
        <w:pStyle w:val="JuQuot"/>
      </w:pPr>
      <w:r w:rsidRPr="003D3194">
        <w:t>“Member States shall provide for exemptions or derogations from the provisions of this Chapter, Chapter IV and Chapter VI for the processing of personal data carried out solely for journalistic purposes or the purpose of artistic or literary expression only if they are necessary to reconcile the right to privacy with the rules governing freedom of expression.”</w:t>
      </w:r>
    </w:p>
    <w:p w:rsidRPr="003D3194" w:rsidR="003D3194" w:rsidP="003D3194" w:rsidRDefault="003D3194" w14:paraId="0CB938AA" w14:textId="77777777">
      <w:pPr>
        <w:pStyle w:val="JuHArticle"/>
        <w:rPr>
          <w:rFonts w:eastAsia="Times New Roman"/>
          <w:lang w:eastAsia="fr-FR"/>
        </w:rPr>
      </w:pPr>
      <w:r w:rsidRPr="003D3194">
        <w:rPr>
          <w:rFonts w:eastAsia="Times New Roman"/>
          <w:lang w:eastAsia="fr-FR"/>
        </w:rPr>
        <w:t>Article 12: Right of access</w:t>
      </w:r>
    </w:p>
    <w:p w:rsidRPr="003D3194" w:rsidR="003D3194" w:rsidP="003D3194" w:rsidRDefault="003D3194" w14:paraId="38BF8948" w14:textId="77777777">
      <w:pPr>
        <w:pStyle w:val="JuQuot"/>
        <w:rPr>
          <w:rFonts w:eastAsia="Times New Roman"/>
          <w:lang w:eastAsia="fr-FR"/>
        </w:rPr>
      </w:pPr>
      <w:r w:rsidRPr="003D3194">
        <w:rPr>
          <w:rFonts w:eastAsia="Times New Roman"/>
          <w:lang w:eastAsia="fr-FR"/>
        </w:rPr>
        <w:t>“Member States shall guarantee every data subject the right to obtain from the controller:</w:t>
      </w:r>
    </w:p>
    <w:p w:rsidRPr="003D3194" w:rsidR="003D3194" w:rsidP="003D3194" w:rsidRDefault="003D3194" w14:paraId="2702597D" w14:textId="77777777">
      <w:pPr>
        <w:pStyle w:val="JuQuot"/>
        <w:rPr>
          <w:rFonts w:eastAsia="Times New Roman"/>
          <w:lang w:eastAsia="fr-FR"/>
        </w:rPr>
      </w:pPr>
      <w:r w:rsidRPr="003D3194">
        <w:rPr>
          <w:rFonts w:eastAsia="Times New Roman"/>
          <w:lang w:eastAsia="fr-FR"/>
        </w:rPr>
        <w:t>...</w:t>
      </w:r>
    </w:p>
    <w:p w:rsidRPr="003D3194" w:rsidR="003D3194" w:rsidP="003D3194" w:rsidRDefault="003D3194" w14:paraId="202FCB15" w14:textId="77777777">
      <w:pPr>
        <w:pStyle w:val="JuQuot"/>
        <w:rPr>
          <w:rFonts w:eastAsia="Times New Roman"/>
          <w:lang w:eastAsia="fr-FR"/>
        </w:rPr>
      </w:pPr>
      <w:r w:rsidRPr="003D3194">
        <w:rPr>
          <w:rFonts w:eastAsia="Times New Roman"/>
          <w:lang w:eastAsia="fr-FR"/>
        </w:rPr>
        <w:t xml:space="preserve">(b)  as appropriate the rectification, erasure or blocking of data the processing of which does not comply with the provisions of this Directive, in particular because of the incomplete or inaccurate nature of the </w:t>
      </w:r>
      <w:proofErr w:type="gramStart"/>
      <w:r w:rsidRPr="003D3194">
        <w:rPr>
          <w:rFonts w:eastAsia="Times New Roman"/>
          <w:lang w:eastAsia="fr-FR"/>
        </w:rPr>
        <w:t>data;</w:t>
      </w:r>
      <w:proofErr w:type="gramEnd"/>
    </w:p>
    <w:p w:rsidRPr="003D3194" w:rsidR="003D3194" w:rsidP="003D3194" w:rsidRDefault="003D3194" w14:paraId="648EA0B8" w14:textId="77777777">
      <w:pPr>
        <w:pStyle w:val="JuQuot"/>
        <w:rPr>
          <w:rFonts w:eastAsia="Times New Roman"/>
          <w:lang w:eastAsia="fr-FR"/>
        </w:rPr>
      </w:pPr>
      <w:r w:rsidRPr="003D3194">
        <w:rPr>
          <w:rFonts w:eastAsia="Times New Roman"/>
          <w:lang w:eastAsia="fr-FR"/>
        </w:rPr>
        <w:t>...”</w:t>
      </w:r>
    </w:p>
    <w:p w:rsidRPr="003D3194" w:rsidR="003D3194" w:rsidP="003D3194" w:rsidRDefault="003D3194" w14:paraId="4EB8A69B" w14:textId="2A03A4D2">
      <w:pPr>
        <w:pStyle w:val="JuHArticle"/>
        <w:rPr>
          <w:rFonts w:eastAsia="Times New Roman"/>
          <w:lang w:eastAsia="fr-FR"/>
        </w:rPr>
      </w:pPr>
      <w:r w:rsidRPr="003D3194">
        <w:rPr>
          <w:rFonts w:eastAsia="Times New Roman"/>
          <w:lang w:eastAsia="fr-FR"/>
        </w:rPr>
        <w:t>Article 14: The data subject’s right to object</w:t>
      </w:r>
    </w:p>
    <w:p w:rsidRPr="003D3194" w:rsidR="003D3194" w:rsidP="003D3194" w:rsidRDefault="003D3194" w14:paraId="1CDC7A80" w14:textId="77777777">
      <w:pPr>
        <w:pStyle w:val="JuQuot"/>
        <w:rPr>
          <w:rFonts w:eastAsia="Times New Roman"/>
          <w:lang w:eastAsia="fr-FR"/>
        </w:rPr>
      </w:pPr>
      <w:r w:rsidRPr="003D3194">
        <w:rPr>
          <w:rFonts w:eastAsia="Times New Roman"/>
          <w:lang w:eastAsia="fr-FR"/>
        </w:rPr>
        <w:t>“Member States shall grant the data subject the right:</w:t>
      </w:r>
    </w:p>
    <w:p w:rsidRPr="003D3194" w:rsidR="003D3194" w:rsidP="003D3194" w:rsidRDefault="003D3194" w14:paraId="51545372" w14:textId="77777777">
      <w:pPr>
        <w:pStyle w:val="JuQuot"/>
        <w:rPr>
          <w:rFonts w:eastAsia="Times New Roman"/>
          <w:lang w:eastAsia="fr-FR"/>
        </w:rPr>
      </w:pPr>
      <w:r w:rsidRPr="003D3194">
        <w:rPr>
          <w:rFonts w:eastAsia="Times New Roman"/>
          <w:lang w:eastAsia="fr-FR"/>
        </w:rPr>
        <w:t xml:space="preserve">(a)  at least in the cases referred to in Article 7 (e) and (f), to object at any time on compelling legitimate grounds relating to his </w:t>
      </w:r>
      <w:proofErr w:type="gramStart"/>
      <w:r w:rsidRPr="003D3194">
        <w:rPr>
          <w:rFonts w:eastAsia="Times New Roman"/>
          <w:lang w:eastAsia="fr-FR"/>
        </w:rPr>
        <w:t>particular situation</w:t>
      </w:r>
      <w:proofErr w:type="gramEnd"/>
      <w:r w:rsidRPr="003D3194">
        <w:rPr>
          <w:rFonts w:eastAsia="Times New Roman"/>
          <w:lang w:eastAsia="fr-FR"/>
        </w:rPr>
        <w:t xml:space="preserve"> to the processing of data relating to him, save where otherwise provided by national legislation. Where there is a justified objection, the processing instigated by the controller may no longer involve those </w:t>
      </w:r>
      <w:proofErr w:type="gramStart"/>
      <w:r w:rsidRPr="003D3194">
        <w:rPr>
          <w:rFonts w:eastAsia="Times New Roman"/>
          <w:lang w:eastAsia="fr-FR"/>
        </w:rPr>
        <w:t>data;</w:t>
      </w:r>
      <w:proofErr w:type="gramEnd"/>
    </w:p>
    <w:p w:rsidRPr="003D3194" w:rsidR="003D3194" w:rsidP="003D3194" w:rsidRDefault="003D3194" w14:paraId="2B12192D" w14:textId="77777777">
      <w:pPr>
        <w:pStyle w:val="JuQuot"/>
        <w:rPr>
          <w:rFonts w:eastAsia="Times New Roman"/>
          <w:lang w:eastAsia="fr-FR"/>
        </w:rPr>
      </w:pPr>
      <w:r w:rsidRPr="003D3194">
        <w:rPr>
          <w:rFonts w:eastAsia="Times New Roman"/>
          <w:lang w:eastAsia="fr-FR"/>
        </w:rPr>
        <w:t>...”</w:t>
      </w:r>
    </w:p>
    <w:p w:rsidRPr="003D3194" w:rsidR="003D3194" w:rsidP="003D3194" w:rsidRDefault="003D3194" w14:paraId="705CA83D" w14:textId="77777777">
      <w:pPr>
        <w:pStyle w:val="JuHA"/>
      </w:pPr>
      <w:r w:rsidRPr="003D3194">
        <w:rPr>
          <w:rFonts w:eastAsiaTheme="minorHAnsi"/>
        </w:rPr>
        <w:t xml:space="preserve">Relevant case-law of the Court of Justice of the European Union </w:t>
      </w:r>
      <w:r w:rsidRPr="003D3194">
        <w:t>relating to Directive 95/46/EC</w:t>
      </w:r>
    </w:p>
    <w:p w:rsidRPr="003D3194" w:rsidR="003D3194" w:rsidP="003D3194" w:rsidRDefault="003D3194" w14:paraId="2DAF24A5" w14:textId="77777777">
      <w:pPr>
        <w:pStyle w:val="JuH1"/>
      </w:pPr>
      <w:r w:rsidRPr="003D3194">
        <w:rPr>
          <w:i w:val="0"/>
          <w:iCs w:val="0"/>
        </w:rPr>
        <w:t>Google Spain and Google</w:t>
      </w:r>
      <w:r w:rsidRPr="003D3194">
        <w:t xml:space="preserve"> (Case C-131/12)</w:t>
      </w:r>
    </w:p>
    <w:bookmarkStart w:name="GoogleSpain" w:id="7"/>
    <w:p w:rsidRPr="003D3194" w:rsidR="003D3194" w:rsidP="003D3194" w:rsidRDefault="003D3194" w14:paraId="331DAAC7" w14:textId="151F6A7E">
      <w:pPr>
        <w:pStyle w:val="JuPara"/>
        <w:rPr>
          <w:rFonts w:asciiTheme="majorHAnsi" w:hAnsiTheme="majorHAnsi" w:eastAsiaTheme="majorEastAsia" w:cstheme="majorBidi"/>
          <w:bCs/>
          <w:i/>
          <w:iCs/>
          <w:szCs w:val="22"/>
        </w:rPr>
      </w:pPr>
      <w:r w:rsidRPr="003D3194">
        <w:fldChar w:fldCharType="begin"/>
      </w:r>
      <w:r w:rsidRPr="003D3194">
        <w:instrText xml:space="preserve"> SEQ level0 \*arabic </w:instrText>
      </w:r>
      <w:r w:rsidRPr="003D3194">
        <w:fldChar w:fldCharType="separate"/>
      </w:r>
      <w:r w:rsidRPr="003D3194">
        <w:rPr>
          <w:noProof/>
        </w:rPr>
        <w:t>19</w:t>
      </w:r>
      <w:r w:rsidRPr="003D3194">
        <w:fldChar w:fldCharType="end"/>
      </w:r>
      <w:bookmarkEnd w:id="7"/>
      <w:r w:rsidRPr="003D3194">
        <w:t>.  In its Grand Chamber judgment of 13 May 2014 in</w:t>
      </w:r>
      <w:r w:rsidRPr="003D3194">
        <w:rPr>
          <w:i/>
          <w:iCs/>
        </w:rPr>
        <w:t xml:space="preserve"> Google Spain and Google</w:t>
      </w:r>
      <w:r w:rsidRPr="003D3194">
        <w:t>, C-131/12, EU:C:2014:317, the Court of Justice of the European Union (CJEU) was called upon to interpret Directive 95/46/EC. It found that the “activity” of an Internet search engine was to be classified as the “processing of personal data” within the meaning of Directive 95/46/EC, and held that such processing of personal data by the operator of a search engine was liable to affect significantly the fundamental rights to privacy and to the protection of personal data (as guaranteed under Articles 7 and 8 of the Charter of Fundamental Rights of the European Union, OJ 2007/C 303/01) when a search by means of that engine was carried out on the basis of an individual’s name, since such processing enabled any Internet user to obtain (through the list of search results thus attained) a structured overview of the information relating to that individual that could be found on the Internet and thereby to establish a more or less detailed profile of him or her.</w:t>
      </w:r>
    </w:p>
    <w:p w:rsidRPr="003D3194" w:rsidR="003D3194" w:rsidP="003D3194" w:rsidRDefault="003D3194" w14:paraId="142D7028" w14:textId="5BA4BF71">
      <w:pPr>
        <w:pStyle w:val="JuPara"/>
      </w:pPr>
      <w:r w:rsidRPr="003D3194">
        <w:fldChar w:fldCharType="begin"/>
      </w:r>
      <w:r w:rsidRPr="003D3194">
        <w:instrText xml:space="preserve"> SEQ level0 \*arabic </w:instrText>
      </w:r>
      <w:r w:rsidRPr="003D3194">
        <w:fldChar w:fldCharType="separate"/>
      </w:r>
      <w:r w:rsidRPr="003D3194">
        <w:rPr>
          <w:noProof/>
        </w:rPr>
        <w:t>20</w:t>
      </w:r>
      <w:r w:rsidRPr="003D3194">
        <w:fldChar w:fldCharType="end"/>
      </w:r>
      <w:r w:rsidRPr="003D3194">
        <w:t>.  Furthermore, the effect of such interference on the rights of a data subject would be heightened on account of the important role played by the Internet and search engines in modern society, which rendered the information contained in such a list of results ubiquitous. In the light of the potential seriousness of that interference, it could not be justified merely by the economic interest of the operator.</w:t>
      </w:r>
    </w:p>
    <w:bookmarkStart w:name="googlespain23" w:id="8"/>
    <w:p w:rsidRPr="003D3194" w:rsidR="003D3194" w:rsidP="003D3194" w:rsidRDefault="003D3194" w14:paraId="2E347C88" w14:textId="52538BE0">
      <w:pPr>
        <w:pStyle w:val="JuPara"/>
      </w:pPr>
      <w:r w:rsidRPr="003D3194">
        <w:fldChar w:fldCharType="begin"/>
      </w:r>
      <w:r w:rsidRPr="003D3194">
        <w:instrText xml:space="preserve"> SEQ level0 \*arabic </w:instrText>
      </w:r>
      <w:r w:rsidRPr="003D3194">
        <w:fldChar w:fldCharType="separate"/>
      </w:r>
      <w:r w:rsidRPr="003D3194">
        <w:rPr>
          <w:noProof/>
        </w:rPr>
        <w:t>21</w:t>
      </w:r>
      <w:r w:rsidRPr="003D3194">
        <w:fldChar w:fldCharType="end"/>
      </w:r>
      <w:bookmarkEnd w:id="8"/>
      <w:r w:rsidRPr="003D3194">
        <w:t xml:space="preserve">.  The CJEU held that a fair balance had to be sought between the legitimate interest of Internet users in having access to such information and the data subject’s fundamental rights. It deemed that a data subject’s fundamental rights, </w:t>
      </w:r>
      <w:proofErr w:type="gramStart"/>
      <w:r w:rsidRPr="003D3194">
        <w:t>as a general rule</w:t>
      </w:r>
      <w:proofErr w:type="gramEnd"/>
      <w:r w:rsidRPr="003D3194">
        <w:t>, overrode the interests of Internet users, but that that balance might, however, depend on (</w:t>
      </w:r>
      <w:proofErr w:type="spellStart"/>
      <w:r w:rsidRPr="003D3194">
        <w:t>i</w:t>
      </w:r>
      <w:proofErr w:type="spellEnd"/>
      <w:r w:rsidRPr="003D3194">
        <w:t>) the nature of the information in question and its sensitivity as regards the data subject’s private life and (ii) the interest of the public in having that information.</w:t>
      </w:r>
    </w:p>
    <w:bookmarkStart w:name="definition" w:id="9"/>
    <w:p w:rsidRPr="003D3194" w:rsidR="003D3194" w:rsidP="003D3194" w:rsidRDefault="003D3194" w14:paraId="2E9A4A9E" w14:textId="6801EF82">
      <w:pPr>
        <w:pStyle w:val="JuPara"/>
      </w:pPr>
      <w:r w:rsidRPr="003D3194">
        <w:fldChar w:fldCharType="begin"/>
      </w:r>
      <w:r w:rsidRPr="003D3194">
        <w:instrText xml:space="preserve"> SEQ level0 \*arabic </w:instrText>
      </w:r>
      <w:r w:rsidRPr="003D3194">
        <w:fldChar w:fldCharType="separate"/>
      </w:r>
      <w:r w:rsidRPr="003D3194">
        <w:rPr>
          <w:noProof/>
        </w:rPr>
        <w:t>22</w:t>
      </w:r>
      <w:r w:rsidRPr="003D3194">
        <w:fldChar w:fldCharType="end"/>
      </w:r>
      <w:bookmarkEnd w:id="9"/>
      <w:r w:rsidRPr="003D3194">
        <w:t xml:space="preserve">.  The CJEU held that in certain cases the operator of a search engine was obliged to remove from the list of results displayed (following a search made </w:t>
      </w:r>
      <w:proofErr w:type="gramStart"/>
      <w:r w:rsidRPr="003D3194">
        <w:t>on the basis of</w:t>
      </w:r>
      <w:proofErr w:type="gramEnd"/>
      <w:r w:rsidRPr="003D3194">
        <w:t xml:space="preserve"> a person’s name) any and all links to Internet pages published by third parties and containing information relating to that person, even when the publication of that information on the Internet pages in question was in itself lawful. That was so in particular where the data in question appeared to be inadequate, </w:t>
      </w:r>
      <w:proofErr w:type="gramStart"/>
      <w:r w:rsidRPr="003D3194">
        <w:t>irrelevant</w:t>
      </w:r>
      <w:proofErr w:type="gramEnd"/>
      <w:r w:rsidRPr="003D3194">
        <w:t xml:space="preserve"> or no longer relevant, or excessive, given the purposes for which they had been processed and in the light of the time that had elapsed since the date of the processing in question (see </w:t>
      </w:r>
      <w:proofErr w:type="spellStart"/>
      <w:r w:rsidRPr="003D3194">
        <w:rPr>
          <w:i/>
        </w:rPr>
        <w:t>Delfi</w:t>
      </w:r>
      <w:proofErr w:type="spellEnd"/>
      <w:r w:rsidRPr="003D3194">
        <w:rPr>
          <w:i/>
        </w:rPr>
        <w:t xml:space="preserve"> AS</w:t>
      </w:r>
      <w:r w:rsidRPr="003D3194">
        <w:t xml:space="preserve"> </w:t>
      </w:r>
      <w:r w:rsidRPr="003D3194">
        <w:rPr>
          <w:i/>
        </w:rPr>
        <w:t>v. Estonia</w:t>
      </w:r>
      <w:r w:rsidRPr="003D3194">
        <w:t xml:space="preserve"> [GC], no. 64569/09, § 56, ECHR 2015).</w:t>
      </w:r>
    </w:p>
    <w:p w:rsidRPr="003D3194" w:rsidR="003D3194" w:rsidP="003D3194" w:rsidRDefault="003D3194" w14:paraId="702D67BC" w14:textId="77777777">
      <w:pPr>
        <w:pStyle w:val="JuH1"/>
      </w:pPr>
      <w:r w:rsidRPr="003D3194">
        <w:rPr>
          <w:i w:val="0"/>
          <w:iCs w:val="0"/>
        </w:rPr>
        <w:t>GC and Others (De-referencing of sensitive data)</w:t>
      </w:r>
      <w:r w:rsidRPr="003D3194">
        <w:t xml:space="preserve"> (Case C-136/17)</w:t>
      </w:r>
    </w:p>
    <w:p w:rsidRPr="003D3194" w:rsidR="003D3194" w:rsidP="003D3194" w:rsidRDefault="003D3194" w14:paraId="18F19D6C" w14:textId="2E017C35">
      <w:pPr>
        <w:pStyle w:val="JuPara"/>
      </w:pPr>
      <w:r w:rsidRPr="003D3194">
        <w:fldChar w:fldCharType="begin"/>
      </w:r>
      <w:r w:rsidRPr="003D3194">
        <w:instrText xml:space="preserve"> SEQ level0 \*arabic </w:instrText>
      </w:r>
      <w:r w:rsidRPr="003D3194">
        <w:fldChar w:fldCharType="separate"/>
      </w:r>
      <w:bookmarkStart w:name="paragraph00023" w:id="10"/>
      <w:r w:rsidRPr="003D3194">
        <w:rPr>
          <w:noProof/>
        </w:rPr>
        <w:t>23</w:t>
      </w:r>
      <w:bookmarkEnd w:id="10"/>
      <w:r w:rsidRPr="003D3194">
        <w:fldChar w:fldCharType="end"/>
      </w:r>
      <w:r w:rsidRPr="003D3194">
        <w:t xml:space="preserve">.  In a judgment of 24 September 2019 in </w:t>
      </w:r>
      <w:r w:rsidRPr="003D3194">
        <w:rPr>
          <w:i/>
          <w:iCs/>
        </w:rPr>
        <w:t>GC and Others</w:t>
      </w:r>
      <w:r w:rsidRPr="003D3194">
        <w:t xml:space="preserve"> </w:t>
      </w:r>
      <w:r w:rsidRPr="003D3194">
        <w:rPr>
          <w:i/>
          <w:iCs/>
        </w:rPr>
        <w:t>(De-referencing of sensitive data)</w:t>
      </w:r>
      <w:r w:rsidRPr="003D3194">
        <w:t>, C-136/17, EU:C:2019:773, the CJEU was called upon to interpret Directive 95/46/EC following a request for a preliminary ruling concerning four decisions delivered by the National Commission on Data Processing and Civil Liberties (</w:t>
      </w:r>
      <w:r w:rsidRPr="003D3194">
        <w:rPr>
          <w:i/>
          <w:iCs/>
        </w:rPr>
        <w:t xml:space="preserve">Commission </w:t>
      </w:r>
      <w:proofErr w:type="spellStart"/>
      <w:r w:rsidRPr="003D3194">
        <w:rPr>
          <w:i/>
          <w:iCs/>
        </w:rPr>
        <w:t>nationale</w:t>
      </w:r>
      <w:proofErr w:type="spellEnd"/>
      <w:r w:rsidRPr="003D3194">
        <w:rPr>
          <w:i/>
          <w:iCs/>
        </w:rPr>
        <w:t xml:space="preserve"> de </w:t>
      </w:r>
      <w:proofErr w:type="spellStart"/>
      <w:r w:rsidRPr="003D3194">
        <w:rPr>
          <w:i/>
          <w:iCs/>
        </w:rPr>
        <w:t>l’informatique</w:t>
      </w:r>
      <w:proofErr w:type="spellEnd"/>
      <w:r w:rsidRPr="003D3194">
        <w:rPr>
          <w:i/>
          <w:iCs/>
        </w:rPr>
        <w:t xml:space="preserve"> et des </w:t>
      </w:r>
      <w:proofErr w:type="spellStart"/>
      <w:r w:rsidRPr="003D3194">
        <w:rPr>
          <w:i/>
          <w:iCs/>
        </w:rPr>
        <w:t>libertés</w:t>
      </w:r>
      <w:proofErr w:type="spellEnd"/>
      <w:r w:rsidRPr="003D3194">
        <w:t xml:space="preserve"> – CNIL) refusing to serve formal notices on Google requiring it to de-reference various links appearing in the lists of results displayed following searches of their names and leading to Internet pages published by third parties.</w:t>
      </w:r>
    </w:p>
    <w:bookmarkStart w:name="CNIL" w:id="11"/>
    <w:bookmarkStart w:name="dereferencing" w:id="12"/>
    <w:p w:rsidRPr="003D3194" w:rsidR="003D3194" w:rsidP="003D3194" w:rsidRDefault="003D3194" w14:paraId="0830F11C" w14:textId="7411D0EA">
      <w:pPr>
        <w:pStyle w:val="JuPara"/>
      </w:pPr>
      <w:r w:rsidRPr="003D3194">
        <w:fldChar w:fldCharType="begin"/>
      </w:r>
      <w:r w:rsidRPr="003D3194">
        <w:instrText xml:space="preserve"> SEQ level0 \*arabic </w:instrText>
      </w:r>
      <w:r w:rsidRPr="003D3194">
        <w:fldChar w:fldCharType="separate"/>
      </w:r>
      <w:r w:rsidRPr="003D3194">
        <w:rPr>
          <w:noProof/>
        </w:rPr>
        <w:t>24</w:t>
      </w:r>
      <w:r w:rsidRPr="003D3194">
        <w:fldChar w:fldCharType="end"/>
      </w:r>
      <w:bookmarkEnd w:id="11"/>
      <w:bookmarkEnd w:id="12"/>
      <w:r w:rsidRPr="003D3194">
        <w:t xml:space="preserve">.  The CJEU decided, </w:t>
      </w:r>
      <w:r w:rsidRPr="003D3194">
        <w:rPr>
          <w:i/>
          <w:iCs/>
        </w:rPr>
        <w:t>inter alia</w:t>
      </w:r>
      <w:r w:rsidRPr="003D3194">
        <w:t xml:space="preserve">, that information relating to legal proceedings brought against an individual (and information relating to any ensuing conviction) constituted data relating to “offences” and “criminal convictions” within the meaning of Article 8 </w:t>
      </w:r>
      <w:r w:rsidRPr="003D3194">
        <w:rPr>
          <w:rFonts w:cstheme="minorHAnsi"/>
        </w:rPr>
        <w:t>§</w:t>
      </w:r>
      <w:r w:rsidRPr="003D3194">
        <w:t> 5 of Directive 95/46/EC. The CJEU also ruled that the operator of a search engine was required to accede to a request for de-referencing in respect of links to Internet pages displaying such information, in the event that the information in question (</w:t>
      </w:r>
      <w:proofErr w:type="spellStart"/>
      <w:r w:rsidRPr="003D3194">
        <w:t>i</w:t>
      </w:r>
      <w:proofErr w:type="spellEnd"/>
      <w:r w:rsidRPr="003D3194">
        <w:t xml:space="preserve">) related to an earlier stage of the legal proceedings in question and, (ii) having regard to the progress of the proceedings, no longer corresponded to the current situation; however, the search engine operator in question would be required to accede to a request for de-referencing only if – in the course of verifying whether there were reasons of substantial public interest, as listed in Article 8 </w:t>
      </w:r>
      <w:r w:rsidRPr="003D3194">
        <w:rPr>
          <w:rFonts w:cstheme="minorHAnsi"/>
        </w:rPr>
        <w:t>§</w:t>
      </w:r>
      <w:r w:rsidRPr="003D3194">
        <w:t> 4 of Directive 95/46/EC – it had been established that, in the light of all the circumstances of the case, the data subject’s fundamental rights – as guaranteed in the Charter of Fundamental Rights of the European Union by its Article 7 (“Respect for private and family life”) and Article 8 (“Protection of personal data”) – overrode the rights of potential Internet users who might have an interest that was protected by the Charter’s Article 11 (“Freedom of expression and information”).</w:t>
      </w:r>
    </w:p>
    <w:p w:rsidRPr="003D3194" w:rsidR="003D3194" w:rsidP="003D3194" w:rsidRDefault="003D3194" w14:paraId="589E6D7A" w14:textId="77777777">
      <w:pPr>
        <w:pStyle w:val="JuH1"/>
      </w:pPr>
      <w:r w:rsidRPr="003D3194">
        <w:rPr>
          <w:i w:val="0"/>
          <w:iCs w:val="0"/>
        </w:rPr>
        <w:t>Google (Territorial scope of de-referencing)</w:t>
      </w:r>
      <w:r w:rsidRPr="003D3194">
        <w:t xml:space="preserve"> (Case C</w:t>
      </w:r>
      <w:r w:rsidRPr="003D3194">
        <w:noBreakHyphen/>
        <w:t>507/17)</w:t>
      </w:r>
    </w:p>
    <w:p w:rsidRPr="003D3194" w:rsidR="003D3194" w:rsidP="003D3194" w:rsidRDefault="003D3194" w14:paraId="50DAC4E6" w14:textId="2E5AAA40">
      <w:pPr>
        <w:pStyle w:val="JuPara"/>
      </w:pPr>
      <w:r w:rsidRPr="003D3194">
        <w:fldChar w:fldCharType="begin"/>
      </w:r>
      <w:r w:rsidRPr="003D3194">
        <w:instrText xml:space="preserve"> SEQ level0 \*arabic </w:instrText>
      </w:r>
      <w:r w:rsidRPr="003D3194">
        <w:fldChar w:fldCharType="separate"/>
      </w:r>
      <w:r w:rsidRPr="003D3194">
        <w:rPr>
          <w:noProof/>
        </w:rPr>
        <w:t>25</w:t>
      </w:r>
      <w:r w:rsidRPr="003D3194">
        <w:fldChar w:fldCharType="end"/>
      </w:r>
      <w:r w:rsidRPr="003D3194">
        <w:t xml:space="preserve">.  In a judgment of 24 September 2019 in </w:t>
      </w:r>
      <w:r w:rsidRPr="003D3194">
        <w:rPr>
          <w:i/>
          <w:iCs/>
        </w:rPr>
        <w:t>Google (Territorial scope of de-referencing)</w:t>
      </w:r>
      <w:r w:rsidRPr="003D3194">
        <w:t xml:space="preserve">, C-507/17, EU:C:2019:772, the CJEU was called upon to interpret Directive 95/46/EC following a request for a preliminary ruling concerning the imposition by CNIL on Google of a penalty of EUR 100,000 because of that company’s refusal, when granting a de-referencing request, to apply it to </w:t>
      </w:r>
      <w:proofErr w:type="gramStart"/>
      <w:r w:rsidRPr="003D3194">
        <w:t>all of</w:t>
      </w:r>
      <w:proofErr w:type="gramEnd"/>
      <w:r w:rsidRPr="003D3194">
        <w:t xml:space="preserve"> its search engine’s domain name extensions. The CJEU was then requested to clarify the territorial scope of the requested de-referencing and to determine whether the provisions of Directive 95/46/EC required de-referencing at the national, </w:t>
      </w:r>
      <w:proofErr w:type="gramStart"/>
      <w:r w:rsidRPr="003D3194">
        <w:t>European</w:t>
      </w:r>
      <w:proofErr w:type="gramEnd"/>
      <w:r w:rsidRPr="003D3194">
        <w:t xml:space="preserve"> or worldwide level.</w:t>
      </w:r>
    </w:p>
    <w:p w:rsidRPr="003D3194" w:rsidR="003D3194" w:rsidP="003D3194" w:rsidRDefault="003D3194" w14:paraId="73C094C0" w14:textId="6D1FBF88">
      <w:pPr>
        <w:pStyle w:val="JuPara"/>
      </w:pPr>
      <w:r w:rsidRPr="003D3194">
        <w:fldChar w:fldCharType="begin"/>
      </w:r>
      <w:r w:rsidRPr="003D3194">
        <w:instrText xml:space="preserve"> SEQ level0 \*arabic </w:instrText>
      </w:r>
      <w:r w:rsidRPr="003D3194">
        <w:fldChar w:fldCharType="separate"/>
      </w:r>
      <w:r w:rsidRPr="003D3194">
        <w:rPr>
          <w:noProof/>
        </w:rPr>
        <w:t>26</w:t>
      </w:r>
      <w:r w:rsidRPr="003D3194">
        <w:fldChar w:fldCharType="end"/>
      </w:r>
      <w:r w:rsidRPr="003D3194">
        <w:t xml:space="preserve">.  The CJEU ruled that in the event that a search engine operator granted a request for de-referencing (pursuant to Article 12(b) and sub-paragraph (a) of the first paragraph of Article 14 of Directive 95/46/EC and of Article 17 </w:t>
      </w:r>
      <w:r w:rsidRPr="003D3194">
        <w:rPr>
          <w:rFonts w:cstheme="minorHAnsi"/>
        </w:rPr>
        <w:t>§</w:t>
      </w:r>
      <w:r w:rsidRPr="003D3194">
        <w:t> 1 of Regulation (EU) 2016/679 of the European Parliament and of the Council – see paragraph 28 below), that operator would not be required to carry out that de-referencing on all versions of its search engine, but only on the versions of that search engine corresponding to all the European Union States, using, where necessary, measures which, while meeting the legal requirements, effectively prevented (or, at the very least, seriously discouraged) an Internet user from (</w:t>
      </w:r>
      <w:proofErr w:type="spellStart"/>
      <w:r w:rsidRPr="003D3194">
        <w:t>i</w:t>
      </w:r>
      <w:proofErr w:type="spellEnd"/>
      <w:r w:rsidRPr="003D3194">
        <w:t>) conducting a search from one of the European Union member States on the basis of a data subject’s name, and (ii) gaining access, via the list of results displayed following that search, to the links that were the subject of that request.</w:t>
      </w:r>
    </w:p>
    <w:p w:rsidRPr="003D3194" w:rsidR="003D3194" w:rsidP="003D3194" w:rsidRDefault="003D3194" w14:paraId="3E178ADA" w14:textId="075000CE">
      <w:pPr>
        <w:pStyle w:val="JuHA"/>
      </w:pPr>
      <w:r w:rsidRPr="003D3194">
        <w:t>EU national data protection authorities’ guidelines of 26 November 2014</w:t>
      </w:r>
    </w:p>
    <w:bookmarkStart w:name="EDPA" w:id="13"/>
    <w:p w:rsidRPr="003D3194" w:rsidR="003D3194" w:rsidP="003D3194" w:rsidRDefault="003D3194" w14:paraId="2836A5D6" w14:textId="3FE7530B">
      <w:pPr>
        <w:pStyle w:val="JuPara"/>
      </w:pPr>
      <w:r w:rsidRPr="003D3194">
        <w:fldChar w:fldCharType="begin"/>
      </w:r>
      <w:r w:rsidRPr="003D3194">
        <w:instrText xml:space="preserve"> SEQ level0 \*arabic </w:instrText>
      </w:r>
      <w:r w:rsidRPr="003D3194">
        <w:fldChar w:fldCharType="separate"/>
      </w:r>
      <w:r w:rsidRPr="003D3194">
        <w:rPr>
          <w:noProof/>
        </w:rPr>
        <w:t>27</w:t>
      </w:r>
      <w:r w:rsidRPr="003D3194">
        <w:fldChar w:fldCharType="end"/>
      </w:r>
      <w:bookmarkEnd w:id="13"/>
      <w:r w:rsidRPr="003D3194">
        <w:t>.  On 26 November 2014 the domestic data protection authorities of all the European Union member States – meeting within the Article 29 Working Party (an independent European working party dealing with issues relating to the protection of privacy and personal data) – adopted a set of guidelines designed to ensure the harmonised implementation of the CJEU’s judgment of 13 May 2014 (Guidelines on the implementation of the Court of Justice of the European Union judgment on “</w:t>
      </w:r>
      <w:r w:rsidRPr="003D3194">
        <w:rPr>
          <w:i/>
          <w:iCs/>
        </w:rPr>
        <w:t xml:space="preserve">Google Spain and Inc. v. </w:t>
      </w:r>
      <w:proofErr w:type="spellStart"/>
      <w:r w:rsidRPr="003D3194">
        <w:rPr>
          <w:i/>
          <w:iCs/>
        </w:rPr>
        <w:t>Agencia</w:t>
      </w:r>
      <w:proofErr w:type="spellEnd"/>
      <w:r w:rsidRPr="003D3194">
        <w:rPr>
          <w:i/>
          <w:iCs/>
        </w:rPr>
        <w:t xml:space="preserve"> Española de </w:t>
      </w:r>
      <w:proofErr w:type="spellStart"/>
      <w:r w:rsidRPr="003D3194">
        <w:rPr>
          <w:i/>
          <w:iCs/>
        </w:rPr>
        <w:t>protección</w:t>
      </w:r>
      <w:proofErr w:type="spellEnd"/>
      <w:r w:rsidRPr="003D3194">
        <w:rPr>
          <w:i/>
          <w:iCs/>
        </w:rPr>
        <w:t xml:space="preserve"> de </w:t>
      </w:r>
      <w:proofErr w:type="spellStart"/>
      <w:r w:rsidRPr="003D3194">
        <w:rPr>
          <w:i/>
          <w:iCs/>
        </w:rPr>
        <w:t>datos</w:t>
      </w:r>
      <w:proofErr w:type="spellEnd"/>
      <w:r w:rsidRPr="003D3194">
        <w:rPr>
          <w:i/>
          <w:iCs/>
        </w:rPr>
        <w:t xml:space="preserve"> (AEPD) and</w:t>
      </w:r>
      <w:r w:rsidRPr="003D3194">
        <w:t xml:space="preserve"> </w:t>
      </w:r>
      <w:r w:rsidRPr="003D3194">
        <w:rPr>
          <w:i/>
          <w:iCs/>
        </w:rPr>
        <w:t>Mario Costeja González</w:t>
      </w:r>
      <w:r w:rsidRPr="003D3194">
        <w:t>” C</w:t>
      </w:r>
      <w:r w:rsidRPr="003D3194">
        <w:noBreakHyphen/>
        <w:t>131/12, adopted on 26 November 2014 by the Article 29 Data Protection Working Party, WP 225). The second part of the guidelines concerns common criteria which the data protection authorities were invited to apply when handling complaints following refusals by search engines to de-list search results. The thirteenth criterion reads as follows:</w:t>
      </w:r>
    </w:p>
    <w:p w:rsidRPr="003D3194" w:rsidR="003D3194" w:rsidP="003D3194" w:rsidRDefault="003D3194" w14:paraId="5384D802" w14:textId="77777777">
      <w:pPr>
        <w:pStyle w:val="JuQuot"/>
      </w:pPr>
      <w:r w:rsidRPr="003D3194">
        <w:t>“Does the data relate to a criminal offence?</w:t>
      </w:r>
    </w:p>
    <w:p w:rsidRPr="003D3194" w:rsidR="003D3194" w:rsidP="003D3194" w:rsidRDefault="003D3194" w14:paraId="2A5FB9B1" w14:textId="77777777">
      <w:pPr>
        <w:pStyle w:val="JuQuot"/>
      </w:pPr>
      <w:r w:rsidRPr="003D3194">
        <w:t>EU Member States may have different approaches as to the public availability of information about offenders and their offences. Specific legal provisions may exist which have an impact on the availability of such information over time. DPAs will handle such cases in accordance with the relevant national principles and approaches. As a rule, DPAs are more likely to consider the de-listing of search results relating to relatively minor offences that happened a long time ago, whilst being less likely to consider the de-listing of results relating to more serious ones that happened more recently. However, these issues call for careful consideration and will be handled on a case-by-case basis.”</w:t>
      </w:r>
    </w:p>
    <w:p w:rsidRPr="003D3194" w:rsidR="003D3194" w:rsidP="003D3194" w:rsidRDefault="003D3194" w14:paraId="35638388" w14:textId="77777777">
      <w:pPr>
        <w:pStyle w:val="JuHA"/>
      </w:pPr>
      <w:r w:rsidRPr="003D3194">
        <w:t>The General Data Protection Regulation</w:t>
      </w:r>
    </w:p>
    <w:bookmarkStart w:name="GDPR" w:id="14"/>
    <w:p w:rsidRPr="003D3194" w:rsidR="003D3194" w:rsidP="003D3194" w:rsidRDefault="003D3194" w14:paraId="45B9D624" w14:textId="673B6B5E">
      <w:pPr>
        <w:pStyle w:val="JuPara"/>
      </w:pPr>
      <w:r w:rsidRPr="003D3194">
        <w:fldChar w:fldCharType="begin"/>
      </w:r>
      <w:r w:rsidRPr="003D3194">
        <w:instrText xml:space="preserve"> SEQ level0 \*arabic </w:instrText>
      </w:r>
      <w:r w:rsidRPr="003D3194">
        <w:fldChar w:fldCharType="separate"/>
      </w:r>
      <w:r w:rsidRPr="003D3194">
        <w:rPr>
          <w:noProof/>
        </w:rPr>
        <w:t>28</w:t>
      </w:r>
      <w:r w:rsidRPr="003D3194">
        <w:fldChar w:fldCharType="end"/>
      </w:r>
      <w:bookmarkEnd w:id="14"/>
      <w:r w:rsidRPr="003D3194">
        <w:t xml:space="preserve">.  Regulation (EU) 2016/679 of the European Parliament and of the Council of 27 April 2016 on the protection of natural persons </w:t>
      </w:r>
      <w:proofErr w:type="gramStart"/>
      <w:r w:rsidRPr="003D3194">
        <w:t>with regard to</w:t>
      </w:r>
      <w:proofErr w:type="gramEnd"/>
      <w:r w:rsidRPr="003D3194">
        <w:t xml:space="preserve"> the processing of personal data and on the free movement of such data (the General Data Protection Regulation – hereinafter “the GDPR”), OJ 2016 L 119 p. 1, which entered into force on 24 May 2016 and repealed Directive 95/46/EC with effect from 25 May 2018. The relevant provision of the GDPR read as follows:</w:t>
      </w:r>
    </w:p>
    <w:p w:rsidRPr="003D3194" w:rsidR="003D3194" w:rsidP="003D3194" w:rsidRDefault="003D3194" w14:paraId="055905D6" w14:textId="77777777">
      <w:pPr>
        <w:pStyle w:val="JuHArticle"/>
      </w:pPr>
      <w:r w:rsidRPr="003D3194">
        <w:t>Article 17 – Right to erasure (“right to be forgotten”)</w:t>
      </w:r>
    </w:p>
    <w:p w:rsidRPr="003D3194" w:rsidR="003D3194" w:rsidP="003D3194" w:rsidRDefault="003D3194" w14:paraId="4341A5A7" w14:textId="77777777">
      <w:pPr>
        <w:pStyle w:val="JuQuot"/>
      </w:pPr>
      <w:r w:rsidRPr="003D3194">
        <w:t>“1.  The data subject shall have the right to obtain from the controller the erasure of personal data concerning him or her without undue delay and the controller shall have the obligation to erase personal data without undue delay where one of the following grounds applies:</w:t>
      </w:r>
    </w:p>
    <w:p w:rsidRPr="003D3194" w:rsidR="003D3194" w:rsidP="003D3194" w:rsidRDefault="003D3194" w14:paraId="487CD960" w14:textId="77777777">
      <w:pPr>
        <w:pStyle w:val="JuQuot"/>
      </w:pPr>
      <w:r w:rsidRPr="003D3194">
        <w:t xml:space="preserve">(a)  the personal data are no longer necessary in relation to the purposes for which they were collected or otherwise </w:t>
      </w:r>
      <w:proofErr w:type="gramStart"/>
      <w:r w:rsidRPr="003D3194">
        <w:t>processed;</w:t>
      </w:r>
      <w:proofErr w:type="gramEnd"/>
    </w:p>
    <w:p w:rsidRPr="003D3194" w:rsidR="003D3194" w:rsidP="003D3194" w:rsidRDefault="003D3194" w14:paraId="78AC0C51" w14:textId="77777777">
      <w:pPr>
        <w:pStyle w:val="JuQuot"/>
      </w:pPr>
      <w:r w:rsidRPr="003D3194">
        <w:t>...</w:t>
      </w:r>
    </w:p>
    <w:p w:rsidRPr="003D3194" w:rsidR="003D3194" w:rsidP="003D3194" w:rsidRDefault="003D3194" w14:paraId="7B617476" w14:textId="77777777">
      <w:pPr>
        <w:pStyle w:val="JuQuot"/>
      </w:pPr>
      <w:r w:rsidRPr="003D3194">
        <w:t>2.  Where the controller has made the personal data public and is obliged pursuant to paragraph 1 to erase the personal data, the controller, taking account of available technology and the cost of implementation, shall take reasonable steps, including technical measures, to inform controllers which are processing the personal data that the data subject has requested the erasure by such controllers of any links to, or copy or replication of, those personal data.</w:t>
      </w:r>
    </w:p>
    <w:p w:rsidRPr="003D3194" w:rsidR="003D3194" w:rsidP="003D3194" w:rsidRDefault="003D3194" w14:paraId="64BDC894" w14:textId="77777777">
      <w:pPr>
        <w:pStyle w:val="JuQuot"/>
      </w:pPr>
      <w:r w:rsidRPr="003D3194">
        <w:t>3.  Paragraphs 1 and 2 shall not apply to the extent that processing is necessary:</w:t>
      </w:r>
    </w:p>
    <w:p w:rsidRPr="003D3194" w:rsidR="003D3194" w:rsidP="003D3194" w:rsidRDefault="003D3194" w14:paraId="5FC4BD64" w14:textId="77777777">
      <w:pPr>
        <w:pStyle w:val="JuQuot"/>
      </w:pPr>
      <w:r w:rsidRPr="003D3194">
        <w:t xml:space="preserve">(a)  for exercising the right of freedom of expression and </w:t>
      </w:r>
      <w:proofErr w:type="gramStart"/>
      <w:r w:rsidRPr="003D3194">
        <w:t>information;</w:t>
      </w:r>
      <w:proofErr w:type="gramEnd"/>
    </w:p>
    <w:p w:rsidRPr="003D3194" w:rsidR="003D3194" w:rsidP="003D3194" w:rsidRDefault="003D3194" w14:paraId="19A28730" w14:textId="77777777">
      <w:pPr>
        <w:pStyle w:val="JuQuot"/>
      </w:pPr>
      <w:r w:rsidRPr="003D3194">
        <w:t>...</w:t>
      </w:r>
    </w:p>
    <w:p w:rsidRPr="003D3194" w:rsidR="003D3194" w:rsidP="003D3194" w:rsidRDefault="003D3194" w14:paraId="0B28F875" w14:textId="77777777">
      <w:pPr>
        <w:pStyle w:val="JuQuot"/>
      </w:pPr>
      <w:r w:rsidRPr="003D3194">
        <w:t>(d)  for archiving purposes in the public interest, scientific or historical research purposes or statistical purposes in accordance with Article 89(1) in so far as the right referred to in paragraph 1 is likely to render impossible or seriously impair the achievement of the objectives of that processing ...”</w:t>
      </w:r>
    </w:p>
    <w:p w:rsidRPr="003D3194" w:rsidR="003D3194" w:rsidP="003D3194" w:rsidRDefault="003D3194" w14:paraId="3DD066F0" w14:textId="79B36015">
      <w:pPr>
        <w:pStyle w:val="JuHA"/>
      </w:pPr>
      <w:r w:rsidRPr="003D3194">
        <w:t>The European Data Protection Board’s Guidelines on the criteria of the Right to be Forgotten in search engines cases under the GDPR</w:t>
      </w:r>
    </w:p>
    <w:bookmarkStart w:name="guidelines_2019" w:id="15"/>
    <w:p w:rsidRPr="003D3194" w:rsidR="003D3194" w:rsidP="003D3194" w:rsidRDefault="003D3194" w14:paraId="7F09D522" w14:textId="4C063E16">
      <w:pPr>
        <w:pStyle w:val="JuPara"/>
        <w:keepNext/>
        <w:keepLines/>
      </w:pPr>
      <w:r w:rsidRPr="003D3194">
        <w:fldChar w:fldCharType="begin"/>
      </w:r>
      <w:r w:rsidRPr="003D3194">
        <w:instrText xml:space="preserve"> SEQ level0 \*arabic </w:instrText>
      </w:r>
      <w:r w:rsidRPr="003D3194">
        <w:fldChar w:fldCharType="separate"/>
      </w:r>
      <w:r w:rsidRPr="003D3194">
        <w:rPr>
          <w:noProof/>
        </w:rPr>
        <w:t>29</w:t>
      </w:r>
      <w:r w:rsidRPr="003D3194">
        <w:fldChar w:fldCharType="end"/>
      </w:r>
      <w:bookmarkEnd w:id="15"/>
      <w:r w:rsidRPr="003D3194">
        <w:t>.  The Guidelines (5/2019) on the criteria of the Right to be Forgotten in the search engines cases under the GDPR (adopted by the European Data Protection Board on 7 July 2020) read as follows in their relevant parts:</w:t>
      </w:r>
    </w:p>
    <w:p w:rsidRPr="003D3194" w:rsidR="003D3194" w:rsidP="003D3194" w:rsidRDefault="003D3194" w14:paraId="37427249" w14:textId="6CF4E06B">
      <w:pPr>
        <w:pStyle w:val="JuQuot"/>
        <w:keepNext/>
        <w:keepLines/>
      </w:pPr>
      <w:r w:rsidRPr="003D3194">
        <w:t xml:space="preserve">4.  ... this document aims to interpret the Right to be forgotten in the search engines cases </w:t>
      </w:r>
      <w:proofErr w:type="gramStart"/>
      <w:r w:rsidRPr="003D3194">
        <w:t>in light of</w:t>
      </w:r>
      <w:proofErr w:type="gramEnd"/>
      <w:r w:rsidRPr="003D3194">
        <w:t xml:space="preserve"> the provisions of Article 17 GDPR (the ‘Right to request de-listing’). Indeed, the Right to be forgotten has been especially enacted under Article 17 GDPR to </w:t>
      </w:r>
      <w:proofErr w:type="gramStart"/>
      <w:r w:rsidRPr="003D3194">
        <w:t>take into account</w:t>
      </w:r>
      <w:proofErr w:type="gramEnd"/>
      <w:r w:rsidRPr="003D3194">
        <w:t xml:space="preserve"> the Right to request de-listing established in the Costeja judgement [judgment of the CJEU of 13 May 2014 in </w:t>
      </w:r>
      <w:r w:rsidRPr="003D3194">
        <w:rPr>
          <w:i/>
          <w:iCs/>
        </w:rPr>
        <w:t>Google Spain and Google</w:t>
      </w:r>
      <w:r w:rsidRPr="003D3194">
        <w:t>, C</w:t>
      </w:r>
      <w:r w:rsidRPr="003D3194">
        <w:noBreakHyphen/>
        <w:t>131/12, EU:C:2014:317]. ...</w:t>
      </w:r>
    </w:p>
    <w:p w:rsidRPr="003D3194" w:rsidR="003D3194" w:rsidP="003D3194" w:rsidRDefault="003D3194" w14:paraId="0B273AF5" w14:textId="3881DC11">
      <w:pPr>
        <w:pStyle w:val="JuQuot"/>
      </w:pPr>
      <w:r w:rsidRPr="003D3194">
        <w:t xml:space="preserve">18.  According to Article 17.1.a GDPR, a data subject may request a search engine provider, following a search carried out </w:t>
      </w:r>
      <w:proofErr w:type="gramStart"/>
      <w:r w:rsidRPr="003D3194">
        <w:t>as a general rule</w:t>
      </w:r>
      <w:proofErr w:type="gramEnd"/>
      <w:r w:rsidRPr="003D3194">
        <w:t xml:space="preserve"> on the basis of his or her name, to delist content from its search results, where the data subject’s personal data returned in those search results are no longer necessary in relation to the purposes of the processing by the search engine.</w:t>
      </w:r>
    </w:p>
    <w:p w:rsidRPr="003D3194" w:rsidR="003D3194" w:rsidP="003D3194" w:rsidRDefault="003D3194" w14:paraId="7B0D73B6" w14:textId="17317766">
      <w:pPr>
        <w:pStyle w:val="JuQuot"/>
      </w:pPr>
      <w:r w:rsidRPr="003D3194">
        <w:t xml:space="preserve">19.  This provision enables a data subject to request the de-listing of personal information concerning him or her that have been made accessible for longer than it is necessary for the search engine provider’s processing. Yet, this processing is notably carried out for the purposes of making information more easily accessible for internet users. Within the context of the Right to request de-listing, the balance between the protection of privacy and the interests of Internet users in accessing the information must be undertaken. </w:t>
      </w:r>
      <w:proofErr w:type="gramStart"/>
      <w:r w:rsidRPr="003D3194">
        <w:t>In particular, it</w:t>
      </w:r>
      <w:proofErr w:type="gramEnd"/>
      <w:r w:rsidRPr="003D3194">
        <w:t xml:space="preserve"> must be assessed whether or not, over the course of time, the personal data have become out-of-date or have not been updated. ...”</w:t>
      </w:r>
    </w:p>
    <w:p w:rsidRPr="003D3194" w:rsidR="003D3194" w:rsidP="003D3194" w:rsidRDefault="003D3194" w14:paraId="4E1CFB7C" w14:textId="77777777">
      <w:pPr>
        <w:pStyle w:val="JuHHead"/>
      </w:pPr>
      <w:r w:rsidRPr="003D3194">
        <w:t>THE LAW</w:t>
      </w:r>
    </w:p>
    <w:p w:rsidRPr="003D3194" w:rsidR="003D3194" w:rsidP="003D3194" w:rsidRDefault="003D3194" w14:paraId="48E8B351" w14:textId="77777777">
      <w:pPr>
        <w:pStyle w:val="JuHIRoman"/>
        <w:numPr>
          <w:ilvl w:val="0"/>
          <w:numId w:val="0"/>
        </w:numPr>
        <w:ind w:left="397"/>
      </w:pPr>
      <w:r w:rsidRPr="003D3194">
        <w:t>ALLEGED VIOLATION OF ARTICLE 10 OF THE CONVENTION</w:t>
      </w:r>
    </w:p>
    <w:p w:rsidRPr="003D3194" w:rsidR="003D3194" w:rsidP="003D3194" w:rsidRDefault="003D3194" w14:paraId="2233FA27" w14:textId="3FBB2789">
      <w:pPr>
        <w:pStyle w:val="JuPara"/>
      </w:pPr>
      <w:r w:rsidRPr="003D3194">
        <w:fldChar w:fldCharType="begin"/>
      </w:r>
      <w:r w:rsidRPr="003D3194">
        <w:instrText xml:space="preserve"> SEQ level0 \*arabic </w:instrText>
      </w:r>
      <w:r w:rsidRPr="003D3194">
        <w:fldChar w:fldCharType="separate"/>
      </w:r>
      <w:r w:rsidRPr="003D3194">
        <w:rPr>
          <w:noProof/>
        </w:rPr>
        <w:t>30</w:t>
      </w:r>
      <w:r w:rsidRPr="003D3194">
        <w:fldChar w:fldCharType="end"/>
      </w:r>
      <w:r w:rsidRPr="003D3194">
        <w:t>.  Under Article 10 of the Convention, the applicant alleged that the interference in his freedom of expression – namely, his right to inform the public – had been unjustified. He also complained that the penalty imposed on him had been excessive. Article 10 of the Convention reads as follows:</w:t>
      </w:r>
    </w:p>
    <w:p w:rsidRPr="003D3194" w:rsidR="003D3194" w:rsidP="003D3194" w:rsidRDefault="003D3194" w14:paraId="3F1067D6" w14:textId="77777777">
      <w:pPr>
        <w:pStyle w:val="JuQuot"/>
      </w:pPr>
      <w:r w:rsidRPr="003D3194">
        <w:t>“1.  Everyone has the right to freedom of expression. This right shall include freedom to hold opinions and to receive and impart information and ideas without interference by public authority and regardless of frontiers. ...</w:t>
      </w:r>
    </w:p>
    <w:p w:rsidRPr="003D3194" w:rsidR="003D3194" w:rsidP="003D3194" w:rsidRDefault="003D3194" w14:paraId="736C4306" w14:textId="77777777">
      <w:pPr>
        <w:pStyle w:val="JuQuot"/>
      </w:pPr>
      <w:r w:rsidRPr="003D3194">
        <w:t>2.  The exercise of these freedoms, since it carries with it duties and responsibilities, may be subject to such formalities, conditions, restrictions or penalties as are prescribed by law and are necessary in a democratic society, in the interests of national security, territorial integrity or public safety, for the prevention of disorder or crime, for the protection of health or morals, for the protection of the reputation or rights of others, for preventing the disclosure of information received in confidence, or for maintaining the authority and impartiality of the judiciary.”</w:t>
      </w:r>
    </w:p>
    <w:p w:rsidRPr="003D3194" w:rsidR="003D3194" w:rsidP="003D3194" w:rsidRDefault="003D3194" w14:paraId="1B54258F" w14:textId="77777777">
      <w:pPr>
        <w:pStyle w:val="JuHA"/>
      </w:pPr>
      <w:r w:rsidRPr="003D3194">
        <w:t>Admissibility</w:t>
      </w:r>
    </w:p>
    <w:p w:rsidRPr="003D3194" w:rsidR="003D3194" w:rsidP="003D3194" w:rsidRDefault="003D3194" w14:paraId="0631937A" w14:textId="37E1B709">
      <w:pPr>
        <w:pStyle w:val="JuPara"/>
      </w:pPr>
      <w:r w:rsidRPr="003D3194">
        <w:fldChar w:fldCharType="begin"/>
      </w:r>
      <w:r w:rsidRPr="003D3194">
        <w:instrText xml:space="preserve"> SEQ level0 \*arabic </w:instrText>
      </w:r>
      <w:r w:rsidRPr="003D3194">
        <w:fldChar w:fldCharType="separate"/>
      </w:r>
      <w:r w:rsidRPr="003D3194">
        <w:rPr>
          <w:noProof/>
        </w:rPr>
        <w:t>31</w:t>
      </w:r>
      <w:r w:rsidRPr="003D3194">
        <w:fldChar w:fldCharType="end"/>
      </w:r>
      <w:r w:rsidRPr="003D3194">
        <w:t>.  The Court notes that the application is neither manifestly ill-founded nor inadmissible on any other grounds listed in Article 35 of the Convention. It must therefore be declared admissible.</w:t>
      </w:r>
    </w:p>
    <w:p w:rsidRPr="003D3194" w:rsidR="003D3194" w:rsidP="003D3194" w:rsidRDefault="003D3194" w14:paraId="36F36F76" w14:textId="77777777">
      <w:pPr>
        <w:pStyle w:val="JuHA"/>
      </w:pPr>
      <w:r w:rsidRPr="003D3194">
        <w:t>Merits</w:t>
      </w:r>
    </w:p>
    <w:p w:rsidRPr="003D3194" w:rsidR="003D3194" w:rsidP="003D3194" w:rsidRDefault="003D3194" w14:paraId="3407C7ED" w14:textId="2202EFF3">
      <w:pPr>
        <w:pStyle w:val="JuH1"/>
      </w:pPr>
      <w:r w:rsidRPr="003D3194">
        <w:t>The parties’ submissions</w:t>
      </w:r>
    </w:p>
    <w:p w:rsidRPr="003D3194" w:rsidR="003D3194" w:rsidP="003D3194" w:rsidRDefault="003D3194" w14:paraId="298DA292" w14:textId="77777777">
      <w:pPr>
        <w:pStyle w:val="JuHa0"/>
      </w:pPr>
      <w:r w:rsidRPr="003D3194">
        <w:t>The applicant</w:t>
      </w:r>
    </w:p>
    <w:p w:rsidRPr="003D3194" w:rsidR="003D3194" w:rsidP="003D3194" w:rsidRDefault="003D3194" w14:paraId="39A27BDA" w14:textId="5CC0231C">
      <w:pPr>
        <w:pStyle w:val="JuPara"/>
      </w:pPr>
      <w:r w:rsidRPr="003D3194">
        <w:fldChar w:fldCharType="begin"/>
      </w:r>
      <w:r w:rsidRPr="003D3194">
        <w:instrText xml:space="preserve"> SEQ level0 \*arabic </w:instrText>
      </w:r>
      <w:r w:rsidRPr="003D3194">
        <w:fldChar w:fldCharType="separate"/>
      </w:r>
      <w:r w:rsidRPr="003D3194">
        <w:rPr>
          <w:noProof/>
        </w:rPr>
        <w:t>32</w:t>
      </w:r>
      <w:r w:rsidRPr="003D3194">
        <w:fldChar w:fldCharType="end"/>
      </w:r>
      <w:r w:rsidRPr="003D3194">
        <w:t xml:space="preserve">.  The applicant pointed out that the criminal proceedings instituted against V.X. had still been pending at the date on which the Supreme Court’s judgment had been issued in respect of his case. Therefore, it could not be said that the </w:t>
      </w:r>
      <w:proofErr w:type="gramStart"/>
      <w:r w:rsidRPr="003D3194">
        <w:t>period of time</w:t>
      </w:r>
      <w:proofErr w:type="gramEnd"/>
      <w:r w:rsidRPr="003D3194">
        <w:t xml:space="preserve"> during which the information had remained published was excessive. Thus, V.X.’s “right to be forgotten” had never existed in the first place.</w:t>
      </w:r>
    </w:p>
    <w:p w:rsidRPr="003D3194" w:rsidR="003D3194" w:rsidP="003D3194" w:rsidRDefault="003D3194" w14:paraId="2976389B" w14:textId="44F216A5">
      <w:pPr>
        <w:pStyle w:val="JuPara"/>
      </w:pPr>
      <w:r w:rsidRPr="003D3194">
        <w:fldChar w:fldCharType="begin"/>
      </w:r>
      <w:r w:rsidRPr="003D3194">
        <w:instrText xml:space="preserve"> SEQ level0 \*arabic </w:instrText>
      </w:r>
      <w:r w:rsidRPr="003D3194">
        <w:fldChar w:fldCharType="separate"/>
      </w:r>
      <w:r w:rsidRPr="003D3194">
        <w:rPr>
          <w:noProof/>
        </w:rPr>
        <w:t>33</w:t>
      </w:r>
      <w:r w:rsidRPr="003D3194">
        <w:fldChar w:fldCharType="end"/>
      </w:r>
      <w:r w:rsidRPr="003D3194">
        <w:t xml:space="preserve">.  The applicant submitted that the domestic authorities had not </w:t>
      </w:r>
      <w:proofErr w:type="gramStart"/>
      <w:r w:rsidRPr="003D3194">
        <w:t>taken into account</w:t>
      </w:r>
      <w:proofErr w:type="gramEnd"/>
      <w:r w:rsidRPr="003D3194">
        <w:t xml:space="preserve"> Article 99 of Legislative Decree no. 196/2003, which provided that the processing of personal data for, </w:t>
      </w:r>
      <w:r w:rsidRPr="003D3194">
        <w:rPr>
          <w:i/>
          <w:iCs/>
        </w:rPr>
        <w:t>inter alia</w:t>
      </w:r>
      <w:r w:rsidRPr="003D3194">
        <w:t>, “historical research purposes” (</w:t>
      </w:r>
      <w:proofErr w:type="spellStart"/>
      <w:r w:rsidRPr="003D3194">
        <w:rPr>
          <w:i/>
          <w:iCs/>
        </w:rPr>
        <w:t>scopi</w:t>
      </w:r>
      <w:proofErr w:type="spellEnd"/>
      <w:r w:rsidRPr="003D3194">
        <w:rPr>
          <w:i/>
          <w:iCs/>
        </w:rPr>
        <w:t xml:space="preserve"> </w:t>
      </w:r>
      <w:proofErr w:type="spellStart"/>
      <w:r w:rsidRPr="003D3194">
        <w:rPr>
          <w:i/>
          <w:iCs/>
        </w:rPr>
        <w:t>storici</w:t>
      </w:r>
      <w:proofErr w:type="spellEnd"/>
      <w:r w:rsidRPr="003D3194">
        <w:t>) could be carried out upon the expiry of the period allowed for achieving the different purposes for which the data had originally been collected and processed. He also referred to Articles 136 and 139 of the same decree and to the above-mentioned code of ethics, which contained specific provisions regarding the protection of journalists’ freedom of expression.</w:t>
      </w:r>
    </w:p>
    <w:p w:rsidRPr="003D3194" w:rsidR="003D3194" w:rsidP="003D3194" w:rsidRDefault="003D3194" w14:paraId="3766670E" w14:textId="09871B0D">
      <w:pPr>
        <w:pStyle w:val="JuPara"/>
        <w:rPr>
          <w:rStyle w:val="JuParaChar"/>
        </w:rPr>
      </w:pPr>
      <w:r w:rsidRPr="003D3194">
        <w:rPr>
          <w:rStyle w:val="JuParaChar"/>
        </w:rPr>
        <w:fldChar w:fldCharType="begin"/>
      </w:r>
      <w:r w:rsidRPr="003D3194">
        <w:rPr>
          <w:rStyle w:val="JuParaChar"/>
        </w:rPr>
        <w:instrText xml:space="preserve"> SEQ level0 \*arabic </w:instrText>
      </w:r>
      <w:r w:rsidRPr="003D3194">
        <w:rPr>
          <w:rStyle w:val="JuParaChar"/>
        </w:rPr>
        <w:fldChar w:fldCharType="separate"/>
      </w:r>
      <w:r w:rsidRPr="003D3194">
        <w:rPr>
          <w:rStyle w:val="JuParaChar"/>
          <w:noProof/>
        </w:rPr>
        <w:t>34</w:t>
      </w:r>
      <w:r w:rsidRPr="003D3194">
        <w:rPr>
          <w:rStyle w:val="JuParaChar"/>
        </w:rPr>
        <w:fldChar w:fldCharType="end"/>
      </w:r>
      <w:r w:rsidRPr="003D3194">
        <w:rPr>
          <w:rStyle w:val="JuParaChar"/>
        </w:rPr>
        <w:t xml:space="preserve">.  The applicant further submitted that he had been unjustly held liable for not having erased the article in question, since only the search engine provider (that is to say, Google Italy) </w:t>
      </w:r>
      <w:r w:rsidRPr="003D3194">
        <w:t>had been technically capable of de-listing the article in question</w:t>
      </w:r>
      <w:r w:rsidRPr="003D3194">
        <w:rPr>
          <w:rStyle w:val="JuParaChar"/>
        </w:rPr>
        <w:t>.</w:t>
      </w:r>
    </w:p>
    <w:p w:rsidRPr="003D3194" w:rsidR="003D3194" w:rsidP="003D3194" w:rsidRDefault="003D3194" w14:paraId="6E8C4845" w14:textId="52DD4CDA">
      <w:pPr>
        <w:pStyle w:val="JuPara"/>
      </w:pPr>
      <w:r w:rsidRPr="003D3194">
        <w:rPr>
          <w:rStyle w:val="JuParaChar"/>
        </w:rPr>
        <w:fldChar w:fldCharType="begin"/>
      </w:r>
      <w:r w:rsidRPr="003D3194">
        <w:rPr>
          <w:rStyle w:val="JuParaChar"/>
        </w:rPr>
        <w:instrText xml:space="preserve"> SEQ level0 \*arabic </w:instrText>
      </w:r>
      <w:r w:rsidRPr="003D3194">
        <w:rPr>
          <w:rStyle w:val="JuParaChar"/>
        </w:rPr>
        <w:fldChar w:fldCharType="separate"/>
      </w:r>
      <w:r w:rsidRPr="003D3194">
        <w:rPr>
          <w:rStyle w:val="JuParaChar"/>
          <w:noProof/>
        </w:rPr>
        <w:t>35</w:t>
      </w:r>
      <w:r w:rsidRPr="003D3194">
        <w:rPr>
          <w:rStyle w:val="JuParaChar"/>
        </w:rPr>
        <w:fldChar w:fldCharType="end"/>
      </w:r>
      <w:r w:rsidRPr="003D3194">
        <w:rPr>
          <w:rStyle w:val="JuParaChar"/>
        </w:rPr>
        <w:t xml:space="preserve">.  The applicant </w:t>
      </w:r>
      <w:r w:rsidRPr="003D3194">
        <w:t xml:space="preserve">also pointed out that, in cases </w:t>
      </w:r>
      <w:proofErr w:type="gramStart"/>
      <w:r w:rsidRPr="003D3194">
        <w:t>similar to</w:t>
      </w:r>
      <w:proofErr w:type="gramEnd"/>
      <w:r w:rsidRPr="003D3194">
        <w:t xml:space="preserve"> the present one, the balance between the protection of individuals’ reputation under Article 8 and the freedom of expression provided by Article 10 had been easily secured by simply requiring the publications concerned to publish supplementary information or clarifications to the articles in question.</w:t>
      </w:r>
    </w:p>
    <w:p w:rsidRPr="003D3194" w:rsidR="003D3194" w:rsidP="003D3194" w:rsidRDefault="003D3194" w14:paraId="16BD6426" w14:textId="77777777">
      <w:pPr>
        <w:pStyle w:val="JuHa0"/>
      </w:pPr>
      <w:r w:rsidRPr="003D3194">
        <w:t>The Government</w:t>
      </w:r>
    </w:p>
    <w:p w:rsidRPr="003D3194" w:rsidR="003D3194" w:rsidP="003D3194" w:rsidRDefault="003D3194" w14:paraId="7AB7BAA0" w14:textId="3A032A3D">
      <w:pPr>
        <w:pStyle w:val="JuPara"/>
      </w:pPr>
      <w:r w:rsidRPr="003D3194">
        <w:fldChar w:fldCharType="begin"/>
      </w:r>
      <w:r w:rsidRPr="003D3194">
        <w:instrText xml:space="preserve"> SEQ level0 \*arabic </w:instrText>
      </w:r>
      <w:r w:rsidRPr="003D3194">
        <w:fldChar w:fldCharType="separate"/>
      </w:r>
      <w:r w:rsidRPr="003D3194">
        <w:rPr>
          <w:noProof/>
        </w:rPr>
        <w:t>36</w:t>
      </w:r>
      <w:r w:rsidRPr="003D3194">
        <w:fldChar w:fldCharType="end"/>
      </w:r>
      <w:r w:rsidRPr="003D3194">
        <w:t>.  The Government submitted that an adequate balance between the applicant’s freedom of expression and the right of V.X. and his restaurant to respect for his private life (and the reputation of both) had been achieved in the instant case.</w:t>
      </w:r>
    </w:p>
    <w:p w:rsidRPr="003D3194" w:rsidR="003D3194" w:rsidP="003D3194" w:rsidRDefault="003D3194" w14:paraId="757F8E7F" w14:textId="2DC850C8">
      <w:pPr>
        <w:pStyle w:val="JuPara"/>
      </w:pPr>
      <w:r w:rsidRPr="003D3194">
        <w:fldChar w:fldCharType="begin"/>
      </w:r>
      <w:r w:rsidRPr="003D3194">
        <w:instrText xml:space="preserve"> SEQ level0 \*arabic </w:instrText>
      </w:r>
      <w:r w:rsidRPr="003D3194">
        <w:fldChar w:fldCharType="separate"/>
      </w:r>
      <w:r w:rsidRPr="003D3194">
        <w:rPr>
          <w:noProof/>
        </w:rPr>
        <w:t>37</w:t>
      </w:r>
      <w:r w:rsidRPr="003D3194">
        <w:fldChar w:fldCharType="end"/>
      </w:r>
      <w:r w:rsidRPr="003D3194">
        <w:t xml:space="preserve">.  The Government added that the restriction in question had been prescribed by law – namely, Legislative Decree no. 196/2003, which clearly stated that the maintenance of personal data was subject to the continuing existence of the objective that had initially justified their collection and storage. The aim of journalism – namely, to contribute to public debate on matters of social, </w:t>
      </w:r>
      <w:proofErr w:type="gramStart"/>
      <w:r w:rsidRPr="003D3194">
        <w:t>political</w:t>
      </w:r>
      <w:proofErr w:type="gramEnd"/>
      <w:r w:rsidRPr="003D3194">
        <w:t xml:space="preserve"> and economic interest – should be deemed to be ongoing whenever the knowledge of certain events was still relevant to public discussion. In that regard, the Government submitted that the article had remained on the website of the online newspaper for a substantial </w:t>
      </w:r>
      <w:proofErr w:type="gramStart"/>
      <w:r w:rsidRPr="003D3194">
        <w:t>period of time</w:t>
      </w:r>
      <w:proofErr w:type="gramEnd"/>
      <w:r w:rsidRPr="003D3194">
        <w:t>. Indeed, no information about the progress of the related criminal proceedings had been provided in the article, which had simply recounted the material events.</w:t>
      </w:r>
    </w:p>
    <w:bookmarkStart w:name="delisting" w:id="16"/>
    <w:bookmarkStart w:name="government1" w:id="17"/>
    <w:p w:rsidRPr="003D3194" w:rsidR="003D3194" w:rsidP="003D3194" w:rsidRDefault="003D3194" w14:paraId="398AA070" w14:textId="6D4355E4">
      <w:pPr>
        <w:pStyle w:val="JuPara"/>
      </w:pPr>
      <w:r w:rsidRPr="003D3194">
        <w:fldChar w:fldCharType="begin"/>
      </w:r>
      <w:r w:rsidRPr="003D3194">
        <w:instrText xml:space="preserve"> SEQ level0 \*arabic </w:instrText>
      </w:r>
      <w:r w:rsidRPr="003D3194">
        <w:fldChar w:fldCharType="separate"/>
      </w:r>
      <w:r w:rsidRPr="003D3194">
        <w:rPr>
          <w:noProof/>
        </w:rPr>
        <w:t>38</w:t>
      </w:r>
      <w:r w:rsidRPr="003D3194">
        <w:fldChar w:fldCharType="end"/>
      </w:r>
      <w:bookmarkEnd w:id="16"/>
      <w:bookmarkEnd w:id="17"/>
      <w:r w:rsidRPr="003D3194">
        <w:t xml:space="preserve">.  The Government emphasised that the fact that the applicant had been found guilty had been a consequence of the failure to de-index from the Internet search engine the tags to the article published by the applicant (which would have prevented anyone accessing the article by means of simply typing out the name of V.X. or of his restaurant). In other words, the decisions of the Italian courts had stated that the applicant </w:t>
      </w:r>
      <w:r w:rsidRPr="003D3194">
        <w:rPr>
          <w:color w:val="000000" w:themeColor="text1"/>
        </w:rPr>
        <w:t xml:space="preserve">should have de-indexed the article’s content, thereby making it more likely that only people who were genuinely interested in learning the facts of the matter in question would come across the article. </w:t>
      </w:r>
      <w:r w:rsidRPr="003D3194">
        <w:t xml:space="preserve">However, the applicant had not been obliged </w:t>
      </w:r>
      <w:proofErr w:type="gramStart"/>
      <w:r w:rsidRPr="003D3194">
        <w:t>actually to</w:t>
      </w:r>
      <w:proofErr w:type="gramEnd"/>
      <w:r w:rsidRPr="003D3194">
        <w:t xml:space="preserve"> remove the article in question from the Internet archives.</w:t>
      </w:r>
    </w:p>
    <w:bookmarkStart w:name="government2" w:id="18"/>
    <w:p w:rsidRPr="003D3194" w:rsidR="003D3194" w:rsidP="003D3194" w:rsidRDefault="003D3194" w14:paraId="1639BDBC" w14:textId="181991DC">
      <w:pPr>
        <w:pStyle w:val="JuPara"/>
      </w:pPr>
      <w:r w:rsidRPr="003D3194">
        <w:fldChar w:fldCharType="begin"/>
      </w:r>
      <w:r w:rsidRPr="003D3194">
        <w:instrText xml:space="preserve"> SEQ level0 \*arabic </w:instrText>
      </w:r>
      <w:r w:rsidRPr="003D3194">
        <w:fldChar w:fldCharType="separate"/>
      </w:r>
      <w:r w:rsidRPr="003D3194">
        <w:rPr>
          <w:noProof/>
        </w:rPr>
        <w:t>39</w:t>
      </w:r>
      <w:r w:rsidRPr="003D3194">
        <w:fldChar w:fldCharType="end"/>
      </w:r>
      <w:bookmarkEnd w:id="18"/>
      <w:r w:rsidRPr="003D3194">
        <w:t>.  Contrary to what the applicant had stated in his observations, the Government submitted that the obligation to de-index material could be imposed not only on Internet search engine providers, but also on the administrators of newspaper or journalistic archives accessible through the Internet.</w:t>
      </w:r>
    </w:p>
    <w:p w:rsidRPr="003D3194" w:rsidR="003D3194" w:rsidP="003D3194" w:rsidRDefault="003D3194" w14:paraId="40308EFE" w14:textId="77777777">
      <w:pPr>
        <w:pStyle w:val="JuHa0"/>
      </w:pPr>
      <w:r w:rsidRPr="003D3194">
        <w:t>Third-party interveners</w:t>
      </w:r>
    </w:p>
    <w:p w:rsidRPr="003D3194" w:rsidR="003D3194" w:rsidP="003D3194" w:rsidRDefault="003D3194" w14:paraId="21EA7ADF" w14:textId="77777777">
      <w:pPr>
        <w:pStyle w:val="JuHi"/>
        <w:spacing w:line="240" w:lineRule="auto"/>
      </w:pPr>
      <w:r w:rsidRPr="003D3194">
        <w:t>Reporters Committee for Freedom of the Press</w:t>
      </w:r>
    </w:p>
    <w:bookmarkStart w:name="thirdparties" w:id="19"/>
    <w:p w:rsidRPr="003D3194" w:rsidR="003D3194" w:rsidP="003D3194" w:rsidRDefault="003D3194" w14:paraId="3B787343" w14:textId="63EF9AB8">
      <w:pPr>
        <w:pStyle w:val="JuPara"/>
      </w:pPr>
      <w:r w:rsidRPr="003D3194">
        <w:fldChar w:fldCharType="begin"/>
      </w:r>
      <w:r w:rsidRPr="003D3194">
        <w:instrText xml:space="preserve"> SEQ level0 \*arabic </w:instrText>
      </w:r>
      <w:r w:rsidRPr="003D3194">
        <w:fldChar w:fldCharType="separate"/>
      </w:r>
      <w:r w:rsidRPr="003D3194">
        <w:rPr>
          <w:noProof/>
        </w:rPr>
        <w:t>40</w:t>
      </w:r>
      <w:r w:rsidRPr="003D3194">
        <w:fldChar w:fldCharType="end"/>
      </w:r>
      <w:bookmarkEnd w:id="19"/>
      <w:r w:rsidRPr="003D3194">
        <w:t xml:space="preserve">.  This intervener reiterated that the “right to be forgotten”, as recognised by the CJEU in </w:t>
      </w:r>
      <w:r w:rsidRPr="003D3194">
        <w:rPr>
          <w:i/>
          <w:iCs/>
        </w:rPr>
        <w:t>Google Spain and Google</w:t>
      </w:r>
      <w:r w:rsidRPr="003D3194">
        <w:t xml:space="preserve"> and as stipulated by the GDPR (see, respectively, paragraphs </w:t>
      </w:r>
      <w:r w:rsidRPr="003D3194">
        <w:fldChar w:fldCharType="begin"/>
      </w:r>
      <w:r w:rsidRPr="003D3194">
        <w:instrText xml:space="preserve"> REF GoogleSpain \h  \* MERGEFORMAT </w:instrText>
      </w:r>
      <w:r w:rsidRPr="003D3194">
        <w:fldChar w:fldCharType="separate"/>
      </w:r>
      <w:r w:rsidRPr="003D3194">
        <w:t>19</w:t>
      </w:r>
      <w:r w:rsidRPr="003D3194">
        <w:fldChar w:fldCharType="end"/>
      </w:r>
      <w:r w:rsidRPr="003D3194">
        <w:t xml:space="preserve"> et seq. and </w:t>
      </w:r>
      <w:r w:rsidRPr="003D3194">
        <w:fldChar w:fldCharType="begin"/>
      </w:r>
      <w:r w:rsidRPr="003D3194">
        <w:instrText xml:space="preserve"> REF GDPR \h  \* MERGEFORMAT </w:instrText>
      </w:r>
      <w:r w:rsidRPr="003D3194">
        <w:fldChar w:fldCharType="separate"/>
      </w:r>
      <w:r w:rsidRPr="003D3194">
        <w:t>28</w:t>
      </w:r>
      <w:r w:rsidRPr="003D3194">
        <w:fldChar w:fldCharType="end"/>
      </w:r>
      <w:r w:rsidRPr="003D3194">
        <w:t xml:space="preserve"> et seq. above) is aimed at providing users with the ability to request that search engines de-list or de-index the results of searches conducted on the basis of a person’s name. Within the Convention system, this right </w:t>
      </w:r>
      <w:proofErr w:type="gramStart"/>
      <w:r w:rsidRPr="003D3194">
        <w:t>has to</w:t>
      </w:r>
      <w:proofErr w:type="gramEnd"/>
      <w:r w:rsidRPr="003D3194">
        <w:t xml:space="preserve"> be weighed against the right to freedom of expression and the right to publish information – in particular when it would result in the permanent removal of news articles published by the press (see </w:t>
      </w:r>
      <w:proofErr w:type="spellStart"/>
      <w:r w:rsidRPr="003D3194">
        <w:rPr>
          <w:i/>
          <w:iCs/>
        </w:rPr>
        <w:t>Węgrzynowski</w:t>
      </w:r>
      <w:proofErr w:type="spellEnd"/>
      <w:r w:rsidRPr="003D3194">
        <w:rPr>
          <w:i/>
          <w:iCs/>
        </w:rPr>
        <w:t xml:space="preserve"> and </w:t>
      </w:r>
      <w:proofErr w:type="spellStart"/>
      <w:r w:rsidRPr="003D3194">
        <w:rPr>
          <w:i/>
          <w:iCs/>
        </w:rPr>
        <w:t>Smolczewski</w:t>
      </w:r>
      <w:proofErr w:type="spellEnd"/>
      <w:r w:rsidRPr="003D3194">
        <w:rPr>
          <w:i/>
          <w:iCs/>
        </w:rPr>
        <w:t xml:space="preserve"> v. Poland</w:t>
      </w:r>
      <w:r w:rsidRPr="003D3194">
        <w:t>, no. 33846/07, 16 July 2013).</w:t>
      </w:r>
    </w:p>
    <w:p w:rsidRPr="003D3194" w:rsidR="003D3194" w:rsidP="003D3194" w:rsidRDefault="003D3194" w14:paraId="16EA984D" w14:textId="401C92C8">
      <w:pPr>
        <w:pStyle w:val="JuPara"/>
      </w:pPr>
      <w:r w:rsidRPr="003D3194">
        <w:fldChar w:fldCharType="begin"/>
      </w:r>
      <w:r w:rsidRPr="003D3194">
        <w:instrText xml:space="preserve"> SEQ level0 \*arabic </w:instrText>
      </w:r>
      <w:r w:rsidRPr="003D3194">
        <w:fldChar w:fldCharType="separate"/>
      </w:r>
      <w:r w:rsidRPr="003D3194">
        <w:rPr>
          <w:noProof/>
        </w:rPr>
        <w:t>41</w:t>
      </w:r>
      <w:r w:rsidRPr="003D3194">
        <w:fldChar w:fldCharType="end"/>
      </w:r>
      <w:r w:rsidRPr="003D3194">
        <w:t xml:space="preserve">.  This third-party intervener also pointed out the essential role played by the press in a democratic society, including through media websites and its establishment of digital archives. It also pointed out that the Court had found that the public’s right to be informed outweighed the “right to be forgotten” in the case of two individuals who had sought to have online media reports about their past criminal convictions anonymised (it referred to </w:t>
      </w:r>
      <w:r w:rsidRPr="003D3194">
        <w:rPr>
          <w:i/>
          <w:iCs/>
        </w:rPr>
        <w:t>M.L. and W.W. v. Germany</w:t>
      </w:r>
      <w:r w:rsidRPr="003D3194">
        <w:t>, nos. 60798/10 and 65599/10, 28 June 2018).</w:t>
      </w:r>
    </w:p>
    <w:p w:rsidRPr="003D3194" w:rsidR="003D3194" w:rsidP="003D3194" w:rsidRDefault="003D3194" w14:paraId="40E175F9" w14:textId="77777777">
      <w:pPr>
        <w:pStyle w:val="JuHi"/>
        <w:spacing w:line="240" w:lineRule="auto"/>
      </w:pPr>
      <w:r w:rsidRPr="003D3194">
        <w:t>UN Special Rapporteur on the Promotion and Protection of the Right to Freedom of Opinion and Expression and the Special Rapporteur for Freedom of Expression of the Inter-American Commission on Human Rights</w:t>
      </w:r>
    </w:p>
    <w:p w:rsidRPr="003D3194" w:rsidR="003D3194" w:rsidP="003D3194" w:rsidRDefault="003D3194" w14:paraId="2477AD8C" w14:textId="361B1C5D">
      <w:pPr>
        <w:pStyle w:val="JuPara"/>
      </w:pPr>
      <w:r w:rsidRPr="003D3194">
        <w:fldChar w:fldCharType="begin"/>
      </w:r>
      <w:r w:rsidRPr="003D3194">
        <w:instrText xml:space="preserve"> SEQ level0 \*arabic </w:instrText>
      </w:r>
      <w:r w:rsidRPr="003D3194">
        <w:fldChar w:fldCharType="separate"/>
      </w:r>
      <w:r w:rsidRPr="003D3194">
        <w:rPr>
          <w:noProof/>
        </w:rPr>
        <w:t>42</w:t>
      </w:r>
      <w:r w:rsidRPr="003D3194">
        <w:fldChar w:fldCharType="end"/>
      </w:r>
      <w:r w:rsidRPr="003D3194">
        <w:t>.  This third-party intervener argued that there was a significant distinction between de-listing and the outright erasure of content under international standards regarding freedom of expression. The conclusion that the “right to be forgotten” encompassed the right to demand the erasure of certain news content (as opposed to its mere de-listing) would almost certainly lead to censorship worldwide, and the “right to be forgotten” would be inappropriately expanded to the extent of severely jeopardising press freedom.</w:t>
      </w:r>
    </w:p>
    <w:p w:rsidRPr="003D3194" w:rsidR="003D3194" w:rsidP="003D3194" w:rsidRDefault="003D3194" w14:paraId="1E499067" w14:textId="77777777">
      <w:pPr>
        <w:pStyle w:val="JuHi"/>
        <w:spacing w:line="240" w:lineRule="auto"/>
      </w:pPr>
      <w:r w:rsidRPr="003D3194">
        <w:t xml:space="preserve">Media </w:t>
      </w:r>
      <w:r w:rsidRPr="003D3194">
        <w:rPr>
          <w:color w:val="000000" w:themeColor="text1"/>
        </w:rPr>
        <w:t xml:space="preserve">Lawyers </w:t>
      </w:r>
      <w:r w:rsidRPr="003D3194">
        <w:t>Association</w:t>
      </w:r>
    </w:p>
    <w:p w:rsidRPr="003D3194" w:rsidR="003D3194" w:rsidP="003D3194" w:rsidRDefault="003D3194" w14:paraId="07359045" w14:textId="11CA57EE">
      <w:pPr>
        <w:pStyle w:val="JuPara"/>
      </w:pPr>
      <w:r w:rsidRPr="003D3194">
        <w:fldChar w:fldCharType="begin"/>
      </w:r>
      <w:r w:rsidRPr="003D3194">
        <w:instrText xml:space="preserve"> SEQ level0 \*arabic </w:instrText>
      </w:r>
      <w:r w:rsidRPr="003D3194">
        <w:fldChar w:fldCharType="separate"/>
      </w:r>
      <w:r w:rsidRPr="003D3194">
        <w:rPr>
          <w:noProof/>
        </w:rPr>
        <w:t>43</w:t>
      </w:r>
      <w:r w:rsidRPr="003D3194">
        <w:fldChar w:fldCharType="end"/>
      </w:r>
      <w:r w:rsidRPr="003D3194">
        <w:t xml:space="preserve">.  The Media </w:t>
      </w:r>
      <w:r w:rsidRPr="003D3194">
        <w:rPr>
          <w:color w:val="000000" w:themeColor="text1"/>
        </w:rPr>
        <w:t xml:space="preserve">Lawyers </w:t>
      </w:r>
      <w:r w:rsidRPr="003D3194">
        <w:t>Association contended that online media archives played a fundamental role in protecting and developing the rights and values enshrined in Article 10 of the Convention. The erasure of accurate information from the record ran directly contrary to the values protected by Article 10 and amounted to press censorship. Accordingly, any attempt to erase such information had to be genuinely exceptional and only justifiable where strictly necessary.</w:t>
      </w:r>
    </w:p>
    <w:p w:rsidRPr="003D3194" w:rsidR="003D3194" w:rsidP="003D3194" w:rsidRDefault="003D3194" w14:paraId="2CEC5A2B" w14:textId="66A08B6F">
      <w:pPr>
        <w:pStyle w:val="JuHi"/>
        <w:spacing w:line="240" w:lineRule="auto"/>
      </w:pPr>
      <w:r w:rsidRPr="003D3194">
        <w:t>Media Legal Defence</w:t>
      </w:r>
      <w:r w:rsidR="009966C7">
        <w:t xml:space="preserve"> Initiative</w:t>
      </w:r>
    </w:p>
    <w:p w:rsidRPr="003D3194" w:rsidR="003D3194" w:rsidP="003D3194" w:rsidRDefault="003D3194" w14:paraId="024BF8D2" w14:textId="676A98CD">
      <w:pPr>
        <w:pStyle w:val="JuPara"/>
      </w:pPr>
      <w:r w:rsidRPr="003D3194">
        <w:fldChar w:fldCharType="begin"/>
      </w:r>
      <w:r w:rsidRPr="003D3194">
        <w:instrText xml:space="preserve"> SEQ level0 \*arabic </w:instrText>
      </w:r>
      <w:r w:rsidRPr="003D3194">
        <w:fldChar w:fldCharType="separate"/>
      </w:r>
      <w:r w:rsidRPr="003D3194">
        <w:rPr>
          <w:noProof/>
        </w:rPr>
        <w:t>44</w:t>
      </w:r>
      <w:r w:rsidRPr="003D3194">
        <w:fldChar w:fldCharType="end"/>
      </w:r>
      <w:r w:rsidRPr="003D3194">
        <w:t xml:space="preserve">.  The Media Legal Defence </w:t>
      </w:r>
      <w:r w:rsidR="009966C7">
        <w:t>Initiative</w:t>
      </w:r>
      <w:r w:rsidRPr="003D3194" w:rsidR="009966C7">
        <w:t xml:space="preserve"> </w:t>
      </w:r>
      <w:r w:rsidRPr="003D3194">
        <w:t>argued that the scope of the “right to be forgotten” should not include the right to secure the erasure or the anonymisation of newspaper articles containing the personal information of individuals. In the intervener’s view, articles published by individuals or entities engaged in journalistic activities or by governments should not be de-listed.</w:t>
      </w:r>
    </w:p>
    <w:p w:rsidRPr="003D3194" w:rsidR="003D3194" w:rsidP="003D3194" w:rsidRDefault="003D3194" w14:paraId="3795318F" w14:textId="593F65B2">
      <w:pPr>
        <w:pStyle w:val="JuPara"/>
      </w:pPr>
      <w:r w:rsidRPr="003D3194">
        <w:fldChar w:fldCharType="begin"/>
      </w:r>
      <w:r w:rsidRPr="003D3194">
        <w:instrText xml:space="preserve"> SEQ level0 \*arabic </w:instrText>
      </w:r>
      <w:r w:rsidRPr="003D3194">
        <w:fldChar w:fldCharType="separate"/>
      </w:r>
      <w:r w:rsidRPr="003D3194">
        <w:rPr>
          <w:noProof/>
        </w:rPr>
        <w:t>45</w:t>
      </w:r>
      <w:r w:rsidRPr="003D3194">
        <w:fldChar w:fldCharType="end"/>
      </w:r>
      <w:r w:rsidRPr="003D3194">
        <w:t>.  This third party also submitted that in the evaluation of the balance between the right to respect for one’s reputation and the right to freedom of expression, other elements came into play, such as whether the complainant had suffered substantial harm, how recent the information in question was and whether it remained of interest to the public. Individuals should not be empowered to restrict access to information concerning themselves and published by third parties, except when such information had an essentially private or defamatory character or when the publication of such information was not justified for other reasons.</w:t>
      </w:r>
    </w:p>
    <w:p w:rsidRPr="003D3194" w:rsidR="003D3194" w:rsidP="003D3194" w:rsidRDefault="003D3194" w14:paraId="719B074D" w14:textId="13101205">
      <w:pPr>
        <w:pStyle w:val="JuH1"/>
      </w:pPr>
      <w:r w:rsidRPr="003D3194">
        <w:t>The Court’s assessment</w:t>
      </w:r>
    </w:p>
    <w:p w:rsidRPr="003D3194" w:rsidR="003D3194" w:rsidP="003D3194" w:rsidRDefault="003D3194" w14:paraId="63740956" w14:textId="77777777">
      <w:pPr>
        <w:pStyle w:val="JuHa0"/>
      </w:pPr>
      <w:r w:rsidRPr="003D3194">
        <w:t>Preliminary remarks</w:t>
      </w:r>
    </w:p>
    <w:p w:rsidRPr="003D3194" w:rsidR="003D3194" w:rsidP="003D3194" w:rsidRDefault="003D3194" w14:paraId="75970586" w14:textId="77777777">
      <w:pPr>
        <w:pStyle w:val="JuHi"/>
        <w:spacing w:line="240" w:lineRule="auto"/>
      </w:pPr>
      <w:r w:rsidRPr="003D3194">
        <w:t>The scope of the case</w:t>
      </w:r>
    </w:p>
    <w:bookmarkStart w:name="scope" w:id="20"/>
    <w:p w:rsidRPr="003D3194" w:rsidR="003D3194" w:rsidP="003D3194" w:rsidRDefault="003D3194" w14:paraId="3DBBEB5A" w14:textId="0F48A685">
      <w:pPr>
        <w:pStyle w:val="JuPara"/>
      </w:pPr>
      <w:r w:rsidRPr="003D3194">
        <w:fldChar w:fldCharType="begin"/>
      </w:r>
      <w:r w:rsidRPr="003D3194">
        <w:instrText xml:space="preserve"> SEQ level0 \*arabic \* MERGEFORMAT </w:instrText>
      </w:r>
      <w:r w:rsidRPr="003D3194">
        <w:fldChar w:fldCharType="separate"/>
      </w:r>
      <w:r w:rsidRPr="003D3194">
        <w:rPr>
          <w:noProof/>
        </w:rPr>
        <w:t>46</w:t>
      </w:r>
      <w:r w:rsidRPr="003D3194">
        <w:fldChar w:fldCharType="end"/>
      </w:r>
      <w:bookmarkEnd w:id="20"/>
      <w:r w:rsidRPr="003D3194">
        <w:t xml:space="preserve">.  The Court notes at the outset that it has dealt with Article 10 cases concerning Internet publications in which the subject matter was an article or a post with defamatory or offensive content (see </w:t>
      </w:r>
      <w:proofErr w:type="spellStart"/>
      <w:r w:rsidRPr="003D3194">
        <w:rPr>
          <w:i/>
        </w:rPr>
        <w:t>Delfi</w:t>
      </w:r>
      <w:proofErr w:type="spellEnd"/>
      <w:r w:rsidRPr="003D3194">
        <w:rPr>
          <w:i/>
        </w:rPr>
        <w:t xml:space="preserve"> AS</w:t>
      </w:r>
      <w:r w:rsidRPr="003D3194">
        <w:t xml:space="preserve"> </w:t>
      </w:r>
      <w:r w:rsidRPr="003D3194">
        <w:rPr>
          <w:i/>
        </w:rPr>
        <w:t>v. Estonia</w:t>
      </w:r>
      <w:r w:rsidRPr="003D3194">
        <w:t xml:space="preserve"> [GC], no. 64569/09, §§ 131-39, ECHR 2015; </w:t>
      </w:r>
      <w:r w:rsidRPr="003D3194">
        <w:rPr>
          <w:i/>
          <w:iCs/>
        </w:rPr>
        <w:t xml:space="preserve">Savva </w:t>
      </w:r>
      <w:proofErr w:type="spellStart"/>
      <w:r w:rsidRPr="003D3194">
        <w:rPr>
          <w:i/>
          <w:iCs/>
        </w:rPr>
        <w:t>Terentyev</w:t>
      </w:r>
      <w:proofErr w:type="spellEnd"/>
      <w:r w:rsidRPr="003D3194">
        <w:rPr>
          <w:i/>
          <w:iCs/>
        </w:rPr>
        <w:t xml:space="preserve"> v. Russia</w:t>
      </w:r>
      <w:r w:rsidRPr="003D3194">
        <w:rPr>
          <w:lang w:eastAsia="en-GB"/>
        </w:rPr>
        <w:t>, no. </w:t>
      </w:r>
      <w:r w:rsidRPr="003D3194">
        <w:t>10692/09</w:t>
      </w:r>
      <w:r w:rsidRPr="003D3194">
        <w:rPr>
          <w:lang w:eastAsia="en-GB"/>
        </w:rPr>
        <w:t xml:space="preserve">, </w:t>
      </w:r>
      <w:r w:rsidRPr="003D3194">
        <w:t xml:space="preserve">28 August 2018; and </w:t>
      </w:r>
      <w:proofErr w:type="spellStart"/>
      <w:r w:rsidRPr="003D3194">
        <w:rPr>
          <w:i/>
        </w:rPr>
        <w:t>Kablis</w:t>
      </w:r>
      <w:proofErr w:type="spellEnd"/>
      <w:r w:rsidRPr="003D3194">
        <w:rPr>
          <w:i/>
        </w:rPr>
        <w:t xml:space="preserve"> v. Russia</w:t>
      </w:r>
      <w:r w:rsidRPr="003D3194">
        <w:t xml:space="preserve">, nos. 48310/16 and 59663/17, 30 April 2019). Moreover, it has previously examined the requirement to publish – where appropriate – supplementary information or clarifications to an article contained in Internet archives (see </w:t>
      </w:r>
      <w:r w:rsidRPr="003D3194">
        <w:rPr>
          <w:i/>
        </w:rPr>
        <w:t>Times Newspapers Ltd v. the United Kingdom (nos. 1 and 2)</w:t>
      </w:r>
      <w:r w:rsidRPr="003D3194">
        <w:t>, nos. 3002/03 and 23676/03, §§ 40-43, ECHR 2009, which concerned the requirement to append a notice to the articles at stake in that case to the effect that they were subject to libel litigation)</w:t>
      </w:r>
      <w:r w:rsidRPr="003D3194">
        <w:rPr>
          <w:rFonts w:cstheme="minorHAnsi"/>
          <w:color w:val="000000"/>
          <w:lang w:eastAsia="fr-FR"/>
        </w:rPr>
        <w:t>.</w:t>
      </w:r>
    </w:p>
    <w:p w:rsidRPr="003D3194" w:rsidR="003D3194" w:rsidP="003D3194" w:rsidRDefault="003D3194" w14:paraId="6D40B755" w14:textId="4D27FB99">
      <w:pPr>
        <w:pStyle w:val="JuPara"/>
      </w:pPr>
      <w:r w:rsidRPr="003D3194">
        <w:fldChar w:fldCharType="begin"/>
      </w:r>
      <w:r w:rsidRPr="003D3194">
        <w:instrText xml:space="preserve"> SEQ level0 \*arabic </w:instrText>
      </w:r>
      <w:r w:rsidRPr="003D3194">
        <w:fldChar w:fldCharType="separate"/>
      </w:r>
      <w:r w:rsidRPr="003D3194">
        <w:rPr>
          <w:noProof/>
        </w:rPr>
        <w:t>47</w:t>
      </w:r>
      <w:r w:rsidRPr="003D3194">
        <w:fldChar w:fldCharType="end"/>
      </w:r>
      <w:r w:rsidRPr="003D3194">
        <w:t>.  </w:t>
      </w:r>
      <w:proofErr w:type="gramStart"/>
      <w:r w:rsidRPr="003D3194">
        <w:t>With regard to</w:t>
      </w:r>
      <w:proofErr w:type="gramEnd"/>
      <w:r w:rsidRPr="003D3194">
        <w:t xml:space="preserve"> Article 8, the Court has already examined cases in which the domestic courts refused to remove personal data from public Internet archives (see </w:t>
      </w:r>
      <w:proofErr w:type="spellStart"/>
      <w:r w:rsidRPr="003D3194">
        <w:rPr>
          <w:i/>
        </w:rPr>
        <w:t>Węgrzynowski</w:t>
      </w:r>
      <w:proofErr w:type="spellEnd"/>
      <w:r w:rsidRPr="003D3194">
        <w:rPr>
          <w:i/>
        </w:rPr>
        <w:t xml:space="preserve"> and </w:t>
      </w:r>
      <w:proofErr w:type="spellStart"/>
      <w:r w:rsidRPr="003D3194">
        <w:rPr>
          <w:i/>
        </w:rPr>
        <w:t>Smolczewski</w:t>
      </w:r>
      <w:proofErr w:type="spellEnd"/>
      <w:r w:rsidRPr="003D3194">
        <w:rPr>
          <w:iCs/>
        </w:rPr>
        <w:t>, cited above</w:t>
      </w:r>
      <w:r w:rsidRPr="003D3194">
        <w:t xml:space="preserve">, § 65) or to oblige media to anonymise online archived material concerning a crime (see </w:t>
      </w:r>
      <w:r w:rsidRPr="003D3194">
        <w:rPr>
          <w:i/>
          <w:iCs/>
        </w:rPr>
        <w:t>M.L. and W.W. v. Germany</w:t>
      </w:r>
      <w:r w:rsidRPr="003D3194">
        <w:t>, cited above, § 116).</w:t>
      </w:r>
    </w:p>
    <w:p w:rsidRPr="003D3194" w:rsidR="003D3194" w:rsidP="003D3194" w:rsidRDefault="00B66B2C" w14:paraId="66C61756" w14:textId="318A7132">
      <w:pPr>
        <w:pStyle w:val="JuPara"/>
      </w:pPr>
      <w:r>
        <w:rPr>
          <w:noProof/>
        </w:rPr>
        <w:fldChar w:fldCharType="begin"/>
      </w:r>
      <w:r>
        <w:rPr>
          <w:noProof/>
        </w:rPr>
        <w:instrText xml:space="preserve"> SEQ level0 \*arabic \* MERGEFORMAT </w:instrText>
      </w:r>
      <w:r>
        <w:rPr>
          <w:noProof/>
        </w:rPr>
        <w:fldChar w:fldCharType="separate"/>
      </w:r>
      <w:r w:rsidRPr="003D3194" w:rsidR="003D3194">
        <w:rPr>
          <w:noProof/>
        </w:rPr>
        <w:t>48</w:t>
      </w:r>
      <w:r>
        <w:rPr>
          <w:noProof/>
        </w:rPr>
        <w:fldChar w:fldCharType="end"/>
      </w:r>
      <w:r w:rsidRPr="003D3194" w:rsidR="003D3194">
        <w:t xml:space="preserve">.  The Court observes, however, that the present case diverges from all the Article 10 and 8 cases cited above. Its crux is indeed not related to the content of an Internet publication, nor to the way information is published (as for instance, its anonymisation or classification); rather, it relates to the applicant’s failure to de-index information concerning V.X. and his restaurant and to his decision to keep the article easily accessible, </w:t>
      </w:r>
      <w:proofErr w:type="gramStart"/>
      <w:r w:rsidRPr="003D3194" w:rsidR="003D3194">
        <w:t>despite the fact that</w:t>
      </w:r>
      <w:proofErr w:type="gramEnd"/>
      <w:r w:rsidRPr="003D3194" w:rsidR="003D3194">
        <w:t xml:space="preserve"> the claimant had asked that the article be removed from the Internet.</w:t>
      </w:r>
    </w:p>
    <w:p w:rsidRPr="003D3194" w:rsidR="003D3194" w:rsidP="003D3194" w:rsidRDefault="00B66B2C" w14:paraId="587A27F7" w14:textId="5D31109B">
      <w:pPr>
        <w:pStyle w:val="JuPara"/>
      </w:pPr>
      <w:r>
        <w:rPr>
          <w:noProof/>
        </w:rPr>
        <w:fldChar w:fldCharType="begin"/>
      </w:r>
      <w:r>
        <w:rPr>
          <w:noProof/>
        </w:rPr>
        <w:instrText xml:space="preserve"> SEQ level0 \*arabic \* MERGEFORMAT </w:instrText>
      </w:r>
      <w:r>
        <w:rPr>
          <w:noProof/>
        </w:rPr>
        <w:fldChar w:fldCharType="separate"/>
      </w:r>
      <w:r w:rsidRPr="003D3194" w:rsidR="003D3194">
        <w:rPr>
          <w:noProof/>
        </w:rPr>
        <w:t>49</w:t>
      </w:r>
      <w:r>
        <w:rPr>
          <w:noProof/>
        </w:rPr>
        <w:fldChar w:fldCharType="end"/>
      </w:r>
      <w:r w:rsidRPr="003D3194" w:rsidR="003D3194">
        <w:t>.  The scope of the case, as defined above, was also emphasised by the Supreme Court, which ruled out the possibility that the unlawfulness of the processing of V.X.’s personal data arose from either (</w:t>
      </w:r>
      <w:proofErr w:type="spellStart"/>
      <w:r w:rsidRPr="003D3194" w:rsidR="003D3194">
        <w:t>i</w:t>
      </w:r>
      <w:proofErr w:type="spellEnd"/>
      <w:r w:rsidRPr="003D3194" w:rsidR="003D3194">
        <w:t xml:space="preserve">) the content of the said article, (ii) its online publication and dissemination, or (iii) its conservation and digital archiving (see paragraph </w:t>
      </w:r>
      <w:r w:rsidRPr="003D3194" w:rsidR="003D3194">
        <w:fldChar w:fldCharType="begin"/>
      </w:r>
      <w:r w:rsidRPr="003D3194" w:rsidR="003D3194">
        <w:instrText xml:space="preserve"> REF cassation \h  \* MERGEFORMAT </w:instrText>
      </w:r>
      <w:r w:rsidRPr="003D3194" w:rsidR="003D3194">
        <w:fldChar w:fldCharType="separate"/>
      </w:r>
      <w:r w:rsidRPr="003D3194" w:rsidR="003D3194">
        <w:t>14</w:t>
      </w:r>
      <w:r w:rsidRPr="003D3194" w:rsidR="003D3194">
        <w:fldChar w:fldCharType="end"/>
      </w:r>
      <w:r w:rsidRPr="003D3194" w:rsidR="003D3194">
        <w:t xml:space="preserve"> above).</w:t>
      </w:r>
    </w:p>
    <w:p w:rsidRPr="003D3194" w:rsidR="003D3194" w:rsidP="003D3194" w:rsidRDefault="00B66B2C" w14:paraId="615C13E2" w14:textId="2B6C1E93">
      <w:pPr>
        <w:pStyle w:val="JuPara"/>
        <w:rPr>
          <w:rFonts w:cstheme="minorHAnsi"/>
        </w:rPr>
      </w:pPr>
      <w:r>
        <w:rPr>
          <w:noProof/>
        </w:rPr>
        <w:fldChar w:fldCharType="begin"/>
      </w:r>
      <w:r>
        <w:rPr>
          <w:noProof/>
        </w:rPr>
        <w:instrText xml:space="preserve"> SEQ level0 \*arabic \* MERGEFORMAT </w:instrText>
      </w:r>
      <w:r>
        <w:rPr>
          <w:noProof/>
        </w:rPr>
        <w:fldChar w:fldCharType="separate"/>
      </w:r>
      <w:r w:rsidRPr="003D3194" w:rsidR="003D3194">
        <w:rPr>
          <w:noProof/>
        </w:rPr>
        <w:t>50</w:t>
      </w:r>
      <w:r>
        <w:rPr>
          <w:noProof/>
        </w:rPr>
        <w:fldChar w:fldCharType="end"/>
      </w:r>
      <w:r w:rsidRPr="003D3194" w:rsidR="003D3194">
        <w:t>.  The Court also notes that what is at stake in the present case is the length and ease of access to the data concerned and not their mere retention on the Internet</w:t>
      </w:r>
      <w:r w:rsidRPr="003D3194" w:rsidR="003D3194">
        <w:rPr>
          <w:rFonts w:cstheme="minorHAnsi"/>
          <w:iCs/>
          <w:color w:val="000000"/>
          <w:lang w:eastAsia="fr-FR"/>
        </w:rPr>
        <w:t xml:space="preserve">. </w:t>
      </w:r>
      <w:r w:rsidRPr="003D3194" w:rsidR="003D3194">
        <w:t xml:space="preserve">In this regard, the Court observes that the applicant claimed that he could not be attributed responsibility for de-indexing the article in question, such a possibility being open, in his view, only to the relevant Internet search engine provider. The Court notes, however, that this assertion is contradicted by the fact that the applicant eventually did de-index the impugned article on 23 May 2011 (see paragraph </w:t>
      </w:r>
      <w:r w:rsidRPr="003D3194" w:rsidR="003D3194">
        <w:fldChar w:fldCharType="begin"/>
      </w:r>
      <w:r w:rsidRPr="003D3194" w:rsidR="003D3194">
        <w:instrText xml:space="preserve"> REF may \h  \* MERGEFORMAT </w:instrText>
      </w:r>
      <w:r w:rsidRPr="003D3194" w:rsidR="003D3194">
        <w:fldChar w:fldCharType="separate"/>
      </w:r>
      <w:r w:rsidRPr="003D3194" w:rsidR="003D3194">
        <w:t>10</w:t>
      </w:r>
      <w:r w:rsidRPr="003D3194" w:rsidR="003D3194">
        <w:fldChar w:fldCharType="end"/>
      </w:r>
      <w:r w:rsidRPr="003D3194" w:rsidR="003D3194">
        <w:t xml:space="preserve"> above). Indeed, de-indexing can be carried out by an editor, “</w:t>
      </w:r>
      <w:proofErr w:type="spellStart"/>
      <w:r w:rsidRPr="003D3194" w:rsidR="003D3194">
        <w:t>noindexing</w:t>
      </w:r>
      <w:proofErr w:type="spellEnd"/>
      <w:r w:rsidRPr="003D3194" w:rsidR="003D3194">
        <w:t>” being a technique used by website owners to tell a search engine provider not to let the content of an article appear in the search engine’s search results</w:t>
      </w:r>
      <w:r w:rsidRPr="003D3194" w:rsidR="003D3194">
        <w:rPr>
          <w:rStyle w:val="FootnoteReference"/>
        </w:rPr>
        <w:footnoteReference w:id="2"/>
      </w:r>
      <w:r w:rsidRPr="003D3194" w:rsidR="003D3194">
        <w:t>.</w:t>
      </w:r>
    </w:p>
    <w:p w:rsidRPr="003D3194" w:rsidR="003D3194" w:rsidP="003D3194" w:rsidRDefault="00B66B2C" w14:paraId="2473A72F" w14:textId="0AF01319">
      <w:pPr>
        <w:pStyle w:val="JuPara"/>
      </w:pPr>
      <w:r>
        <w:rPr>
          <w:noProof/>
        </w:rPr>
        <w:fldChar w:fldCharType="begin"/>
      </w:r>
      <w:r>
        <w:rPr>
          <w:noProof/>
        </w:rPr>
        <w:instrText xml:space="preserve"> SEQ level0 \*arabic \* MERGE</w:instrText>
      </w:r>
      <w:r>
        <w:rPr>
          <w:noProof/>
        </w:rPr>
        <w:instrText xml:space="preserve">FORMAT </w:instrText>
      </w:r>
      <w:r>
        <w:rPr>
          <w:noProof/>
        </w:rPr>
        <w:fldChar w:fldCharType="separate"/>
      </w:r>
      <w:r w:rsidRPr="003D3194" w:rsidR="003D3194">
        <w:rPr>
          <w:noProof/>
        </w:rPr>
        <w:t>51</w:t>
      </w:r>
      <w:r>
        <w:rPr>
          <w:noProof/>
        </w:rPr>
        <w:fldChar w:fldCharType="end"/>
      </w:r>
      <w:r w:rsidRPr="003D3194" w:rsidR="003D3194">
        <w:t xml:space="preserve">.  In this respect, the Court shares the Government’s position that the finding of the applicant’s liability had been a consequence of the failure to de-index from the Internet search engine the tags to the article published by the applicant (which would have prevented anyone accessing it by simply typing out the name of V.X. or of his restaurant), and that the obligation to de-index material could be imposed not only on Internet search engine providers, but also on the administrators of newspaper or journalistic archives accessible through the Internet (see paragraphs </w:t>
      </w:r>
      <w:r w:rsidRPr="003D3194" w:rsidR="003D3194">
        <w:fldChar w:fldCharType="begin"/>
      </w:r>
      <w:r w:rsidRPr="003D3194" w:rsidR="003D3194">
        <w:instrText xml:space="preserve"> REF government1 \h  \* MERGEFORMAT </w:instrText>
      </w:r>
      <w:r w:rsidRPr="003D3194" w:rsidR="003D3194">
        <w:fldChar w:fldCharType="separate"/>
      </w:r>
      <w:r w:rsidRPr="003D3194" w:rsidR="003D3194">
        <w:t>38</w:t>
      </w:r>
      <w:r w:rsidRPr="003D3194" w:rsidR="003D3194">
        <w:fldChar w:fldCharType="end"/>
      </w:r>
      <w:r w:rsidRPr="003D3194" w:rsidR="003D3194">
        <w:t xml:space="preserve"> and </w:t>
      </w:r>
      <w:r w:rsidRPr="003D3194" w:rsidR="003D3194">
        <w:fldChar w:fldCharType="begin"/>
      </w:r>
      <w:r w:rsidRPr="003D3194" w:rsidR="003D3194">
        <w:instrText xml:space="preserve"> REF government2 \h  \* MERGEFORMAT </w:instrText>
      </w:r>
      <w:r w:rsidRPr="003D3194" w:rsidR="003D3194">
        <w:fldChar w:fldCharType="separate"/>
      </w:r>
      <w:r w:rsidRPr="003D3194" w:rsidR="003D3194">
        <w:t>39</w:t>
      </w:r>
      <w:r w:rsidRPr="003D3194" w:rsidR="003D3194">
        <w:fldChar w:fldCharType="end"/>
      </w:r>
      <w:r w:rsidRPr="003D3194" w:rsidR="003D3194">
        <w:t xml:space="preserve"> above).</w:t>
      </w:r>
    </w:p>
    <w:p w:rsidRPr="003D3194" w:rsidR="003D3194" w:rsidP="003D3194" w:rsidRDefault="003D3194" w14:paraId="03E18700" w14:textId="61B03E94">
      <w:pPr>
        <w:pStyle w:val="JuPara"/>
      </w:pPr>
      <w:r w:rsidRPr="003D3194">
        <w:fldChar w:fldCharType="begin"/>
      </w:r>
      <w:r w:rsidRPr="003D3194">
        <w:instrText xml:space="preserve"> SEQ level0 \*arabic </w:instrText>
      </w:r>
      <w:r w:rsidRPr="003D3194">
        <w:fldChar w:fldCharType="separate"/>
      </w:r>
      <w:r w:rsidRPr="003D3194">
        <w:rPr>
          <w:noProof/>
        </w:rPr>
        <w:t>52</w:t>
      </w:r>
      <w:r w:rsidRPr="003D3194">
        <w:fldChar w:fldCharType="end"/>
      </w:r>
      <w:r w:rsidRPr="003D3194">
        <w:t>.  The Court will therefore keep in mind the scope of the case, as described above, as it now proceeds to examine the applicant’s complaint.</w:t>
      </w:r>
    </w:p>
    <w:p w:rsidRPr="003D3194" w:rsidR="003D3194" w:rsidP="003D3194" w:rsidRDefault="003D3194" w14:paraId="7E04C511" w14:textId="77777777">
      <w:pPr>
        <w:pStyle w:val="JuHi"/>
        <w:spacing w:line="240" w:lineRule="auto"/>
      </w:pPr>
      <w:r w:rsidRPr="003D3194">
        <w:t>Relevant terminology</w:t>
      </w:r>
    </w:p>
    <w:p w:rsidRPr="003D3194" w:rsidR="003D3194" w:rsidP="003D3194" w:rsidRDefault="00B66B2C" w14:paraId="1809149D" w14:textId="4C70A40F">
      <w:pPr>
        <w:pStyle w:val="JuPara"/>
      </w:pPr>
      <w:r>
        <w:rPr>
          <w:noProof/>
        </w:rPr>
        <w:fldChar w:fldCharType="begin"/>
      </w:r>
      <w:r>
        <w:rPr>
          <w:noProof/>
        </w:rPr>
        <w:instrText xml:space="preserve"> SEQ level0 \*arabic \* MER</w:instrText>
      </w:r>
      <w:r>
        <w:rPr>
          <w:noProof/>
        </w:rPr>
        <w:instrText xml:space="preserve">GEFORMAT </w:instrText>
      </w:r>
      <w:r>
        <w:rPr>
          <w:noProof/>
        </w:rPr>
        <w:fldChar w:fldCharType="separate"/>
      </w:r>
      <w:r w:rsidRPr="003D3194" w:rsidR="003D3194">
        <w:rPr>
          <w:noProof/>
        </w:rPr>
        <w:t>53</w:t>
      </w:r>
      <w:r>
        <w:rPr>
          <w:noProof/>
        </w:rPr>
        <w:fldChar w:fldCharType="end"/>
      </w:r>
      <w:r w:rsidRPr="003D3194" w:rsidR="003D3194">
        <w:t xml:space="preserve">.  The Court acknowledges that the terms “de-indexing”, “de-listing” and “de-referencing” are often used interchangeably in different sources of EU and international law and that their specific meaning can often only be drawn from the context in which they are used (see paragraph </w:t>
      </w:r>
      <w:r w:rsidRPr="003D3194" w:rsidR="003D3194">
        <w:fldChar w:fldCharType="begin"/>
      </w:r>
      <w:r w:rsidRPr="003D3194" w:rsidR="003D3194">
        <w:instrText xml:space="preserve"> REF recommendation \h  \* MERGEFORMAT </w:instrText>
      </w:r>
      <w:r w:rsidRPr="003D3194" w:rsidR="003D3194">
        <w:fldChar w:fldCharType="separate"/>
      </w:r>
      <w:r w:rsidRPr="003D3194" w:rsidR="003D3194">
        <w:rPr>
          <w:rStyle w:val="JuParaChar"/>
        </w:rPr>
        <w:t>16</w:t>
      </w:r>
      <w:r w:rsidRPr="003D3194" w:rsidR="003D3194">
        <w:fldChar w:fldCharType="end"/>
      </w:r>
      <w:r w:rsidRPr="003D3194" w:rsidR="003D3194">
        <w:t xml:space="preserve"> above for Recommendation CM/Rec(2012)3 of the Council of Europe’s Committee of Ministers to member States on the protection of human rights with regard to search engines, in particular its part III entitled “Filtering and de-indexing”, points 13 and 14; the European Data Protection Board’s Guidelines on the criteria of the Right to be Forgotten in search engines cases under the GDPR in paragraph </w:t>
      </w:r>
      <w:r w:rsidRPr="003D3194" w:rsidR="003D3194">
        <w:fldChar w:fldCharType="begin"/>
      </w:r>
      <w:r w:rsidRPr="003D3194" w:rsidR="003D3194">
        <w:instrText xml:space="preserve"> REF guidelines_2019 \h  \* MERGEFORMAT </w:instrText>
      </w:r>
      <w:r w:rsidRPr="003D3194" w:rsidR="003D3194">
        <w:fldChar w:fldCharType="separate"/>
      </w:r>
      <w:r w:rsidRPr="003D3194" w:rsidR="003D3194">
        <w:t>29</w:t>
      </w:r>
      <w:r w:rsidRPr="003D3194" w:rsidR="003D3194">
        <w:fldChar w:fldCharType="end"/>
      </w:r>
      <w:r w:rsidRPr="003D3194" w:rsidR="003D3194">
        <w:t xml:space="preserve"> above; and the CJEU’s judgment in </w:t>
      </w:r>
      <w:r w:rsidRPr="003D3194" w:rsidR="003D3194">
        <w:rPr>
          <w:i/>
          <w:iCs/>
        </w:rPr>
        <w:t>GC and Others (De-referencing of sensitive data)</w:t>
      </w:r>
      <w:r w:rsidRPr="003D3194" w:rsidR="003D3194">
        <w:t xml:space="preserve">, in paragraphs </w:t>
      </w:r>
      <w:r w:rsidRPr="003D3194" w:rsidR="003D3194">
        <w:fldChar w:fldCharType="begin"/>
      </w:r>
      <w:r w:rsidRPr="003D3194" w:rsidR="003D3194">
        <w:instrText xml:space="preserve"> REF paragraph00023 \h  \* CharFormat  \* MERGEFORMAT </w:instrText>
      </w:r>
      <w:r w:rsidRPr="003D3194" w:rsidR="003D3194">
        <w:fldChar w:fldCharType="separate"/>
      </w:r>
      <w:r w:rsidRPr="003D3194" w:rsidR="003D3194">
        <w:t>23</w:t>
      </w:r>
      <w:r w:rsidRPr="003D3194" w:rsidR="003D3194">
        <w:fldChar w:fldCharType="end"/>
      </w:r>
      <w:r w:rsidRPr="003D3194" w:rsidR="003D3194">
        <w:noBreakHyphen/>
      </w:r>
      <w:r w:rsidRPr="003D3194" w:rsidR="003D3194">
        <w:fldChar w:fldCharType="begin"/>
      </w:r>
      <w:r w:rsidRPr="003D3194" w:rsidR="003D3194">
        <w:instrText xml:space="preserve"> REF dereferencing \h  \* MERGEFORMAT </w:instrText>
      </w:r>
      <w:r w:rsidRPr="003D3194" w:rsidR="003D3194">
        <w:fldChar w:fldCharType="separate"/>
      </w:r>
      <w:r w:rsidRPr="003D3194" w:rsidR="003D3194">
        <w:t>24</w:t>
      </w:r>
      <w:r w:rsidRPr="003D3194" w:rsidR="003D3194">
        <w:fldChar w:fldCharType="end"/>
      </w:r>
      <w:r w:rsidRPr="003D3194" w:rsidR="003D3194">
        <w:t xml:space="preserve"> above).</w:t>
      </w:r>
    </w:p>
    <w:p w:rsidRPr="003D3194" w:rsidR="003D3194" w:rsidP="003D3194" w:rsidRDefault="00B66B2C" w14:paraId="2F689331" w14:textId="34F476E5">
      <w:pPr>
        <w:pStyle w:val="JuPara"/>
      </w:pPr>
      <w:r>
        <w:rPr>
          <w:noProof/>
        </w:rPr>
        <w:fldChar w:fldCharType="begin"/>
      </w:r>
      <w:r>
        <w:rPr>
          <w:noProof/>
        </w:rPr>
        <w:instrText xml:space="preserve"> SEQ level0 \*arabic \* MERGEFORMAT </w:instrText>
      </w:r>
      <w:r>
        <w:rPr>
          <w:noProof/>
        </w:rPr>
        <w:fldChar w:fldCharType="separate"/>
      </w:r>
      <w:r w:rsidRPr="003D3194" w:rsidR="003D3194">
        <w:rPr>
          <w:noProof/>
        </w:rPr>
        <w:t>54</w:t>
      </w:r>
      <w:r>
        <w:rPr>
          <w:noProof/>
        </w:rPr>
        <w:fldChar w:fldCharType="end"/>
      </w:r>
      <w:r w:rsidRPr="003D3194" w:rsidR="003D3194">
        <w:t xml:space="preserve">.  Within the above-mentioned sources, the terms “de-indexing”, “de-listing” and “de-referencing” indicate the activity of a search engine consisting of removing, on the initiative of its operators, from the list of results displayed (following a search made on the basis of a person’s name) Internet pages published by third parties that contain information relating to that person (see paragraph </w:t>
      </w:r>
      <w:r w:rsidRPr="003D3194" w:rsidR="003D3194">
        <w:fldChar w:fldCharType="begin"/>
      </w:r>
      <w:r w:rsidRPr="003D3194" w:rsidR="003D3194">
        <w:instrText xml:space="preserve"> REF definition \h  \* MERGEFORMAT </w:instrText>
      </w:r>
      <w:r w:rsidRPr="003D3194" w:rsidR="003D3194">
        <w:fldChar w:fldCharType="separate"/>
      </w:r>
      <w:r w:rsidRPr="003D3194" w:rsidR="003D3194">
        <w:t>22</w:t>
      </w:r>
      <w:r w:rsidRPr="003D3194" w:rsidR="003D3194">
        <w:fldChar w:fldCharType="end"/>
      </w:r>
      <w:r w:rsidRPr="003D3194" w:rsidR="003D3194">
        <w:t xml:space="preserve"> above).</w:t>
      </w:r>
    </w:p>
    <w:p w:rsidRPr="003D3194" w:rsidR="003D3194" w:rsidP="003D3194" w:rsidRDefault="00B66B2C" w14:paraId="59E39591" w14:textId="150B1B15">
      <w:pPr>
        <w:pStyle w:val="JuPara"/>
      </w:pPr>
      <w:r>
        <w:rPr>
          <w:noProof/>
        </w:rPr>
        <w:fldChar w:fldCharType="begin"/>
      </w:r>
      <w:r>
        <w:rPr>
          <w:noProof/>
        </w:rPr>
        <w:instrText xml:space="preserve"> SEQ level0 \*arabic \* MERGEFORMAT </w:instrText>
      </w:r>
      <w:r>
        <w:rPr>
          <w:noProof/>
        </w:rPr>
        <w:fldChar w:fldCharType="separate"/>
      </w:r>
      <w:r w:rsidRPr="003D3194" w:rsidR="003D3194">
        <w:rPr>
          <w:noProof/>
        </w:rPr>
        <w:t>55</w:t>
      </w:r>
      <w:r>
        <w:rPr>
          <w:noProof/>
        </w:rPr>
        <w:fldChar w:fldCharType="end"/>
      </w:r>
      <w:r w:rsidRPr="003D3194" w:rsidR="003D3194">
        <w:t xml:space="preserve">.  Instead, in the instant case, the subject to whom was addressed the request to limit access to personal data – namely, the applicant – was not a search engine but an editor, </w:t>
      </w:r>
      <w:proofErr w:type="gramStart"/>
      <w:r w:rsidRPr="003D3194" w:rsidR="003D3194">
        <w:t>journalist</w:t>
      </w:r>
      <w:proofErr w:type="gramEnd"/>
      <w:r w:rsidRPr="003D3194" w:rsidR="003D3194">
        <w:t xml:space="preserve"> and owner of an online newspaper website.</w:t>
      </w:r>
    </w:p>
    <w:p w:rsidRPr="003D3194" w:rsidR="003D3194" w:rsidP="003D3194" w:rsidRDefault="00B66B2C" w14:paraId="0AEDC28E" w14:textId="018B9AF4">
      <w:pPr>
        <w:pStyle w:val="JuPara"/>
      </w:pPr>
      <w:r>
        <w:rPr>
          <w:noProof/>
        </w:rPr>
        <w:fldChar w:fldCharType="begin"/>
      </w:r>
      <w:r>
        <w:rPr>
          <w:noProof/>
        </w:rPr>
        <w:instrText xml:space="preserve"> SEQ level0 \*arabic \* MERGEFORMAT </w:instrText>
      </w:r>
      <w:r>
        <w:rPr>
          <w:noProof/>
        </w:rPr>
        <w:fldChar w:fldCharType="separate"/>
      </w:r>
      <w:r w:rsidRPr="003D3194" w:rsidR="003D3194">
        <w:rPr>
          <w:noProof/>
        </w:rPr>
        <w:t>56</w:t>
      </w:r>
      <w:r>
        <w:rPr>
          <w:noProof/>
        </w:rPr>
        <w:fldChar w:fldCharType="end"/>
      </w:r>
      <w:r w:rsidRPr="003D3194" w:rsidR="003D3194">
        <w:t xml:space="preserve">.  For the sake of consistency, the Court emphasises that in this judgment it will use the term “de-indexing” to indicate the measure that the applicant was asked to carry out </w:t>
      </w:r>
      <w:proofErr w:type="gramStart"/>
      <w:r w:rsidRPr="003D3194" w:rsidR="003D3194">
        <w:t>in order to</w:t>
      </w:r>
      <w:proofErr w:type="gramEnd"/>
      <w:r w:rsidRPr="003D3194" w:rsidR="003D3194">
        <w:t xml:space="preserve"> guarantee V.X.’s and W’s right to respect for their reputation.</w:t>
      </w:r>
    </w:p>
    <w:p w:rsidRPr="003D3194" w:rsidR="003D3194" w:rsidP="003D3194" w:rsidRDefault="003D3194" w14:paraId="5E4D841F" w14:textId="696FB893">
      <w:pPr>
        <w:pStyle w:val="JuHa0"/>
      </w:pPr>
      <w:r w:rsidRPr="003D3194">
        <w:t>The Court’s assessment</w:t>
      </w:r>
    </w:p>
    <w:p w:rsidRPr="003D3194" w:rsidR="003D3194" w:rsidP="003D3194" w:rsidRDefault="003D3194" w14:paraId="5ED27E7D" w14:textId="403151F6">
      <w:pPr>
        <w:pStyle w:val="JuPara"/>
      </w:pPr>
      <w:r w:rsidRPr="003D3194">
        <w:fldChar w:fldCharType="begin"/>
      </w:r>
      <w:r w:rsidRPr="003D3194">
        <w:instrText xml:space="preserve"> SEQ level0 \*arabic </w:instrText>
      </w:r>
      <w:r w:rsidRPr="003D3194">
        <w:fldChar w:fldCharType="separate"/>
      </w:r>
      <w:r w:rsidRPr="003D3194">
        <w:rPr>
          <w:noProof/>
        </w:rPr>
        <w:t>57</w:t>
      </w:r>
      <w:r w:rsidRPr="003D3194">
        <w:fldChar w:fldCharType="end"/>
      </w:r>
      <w:r w:rsidRPr="003D3194">
        <w:t xml:space="preserve">.  The Court notes that it was not in dispute between the parties that the applicant’s freedom of expression, as guaranteed under Article 10 of the Convention, was interfered with by the domestic courts’ decisions of 16 January 2013 and 24 June 2016; neither was it in dispute between the parties that such interference was “prescribed by law” – namely, by Legislative Decree no. 196 of 2003. The Court sees no reason to hold otherwise. </w:t>
      </w:r>
      <w:proofErr w:type="gramStart"/>
      <w:r w:rsidRPr="003D3194">
        <w:t>Furthermore</w:t>
      </w:r>
      <w:proofErr w:type="gramEnd"/>
      <w:r w:rsidRPr="003D3194">
        <w:t xml:space="preserve"> it is satisfied that the interference in question was intended to protect “the reputation or rights of others” and thus pursued a legitimate aim under Article 10 § 2 of the Convention.</w:t>
      </w:r>
    </w:p>
    <w:p w:rsidRPr="003D3194" w:rsidR="003D3194" w:rsidP="003D3194" w:rsidRDefault="00B66B2C" w14:paraId="4C4B6A76" w14:textId="0389E0AD">
      <w:pPr>
        <w:pStyle w:val="JuPara"/>
      </w:pPr>
      <w:r>
        <w:rPr>
          <w:noProof/>
        </w:rPr>
        <w:fldChar w:fldCharType="begin"/>
      </w:r>
      <w:r>
        <w:rPr>
          <w:noProof/>
        </w:rPr>
        <w:instrText xml:space="preserve"> SEQ level0 \*arabic \* MERGEFORMAT </w:instrText>
      </w:r>
      <w:r>
        <w:rPr>
          <w:noProof/>
        </w:rPr>
        <w:fldChar w:fldCharType="separate"/>
      </w:r>
      <w:r w:rsidRPr="003D3194" w:rsidR="003D3194">
        <w:rPr>
          <w:noProof/>
        </w:rPr>
        <w:t>58</w:t>
      </w:r>
      <w:r>
        <w:rPr>
          <w:noProof/>
        </w:rPr>
        <w:fldChar w:fldCharType="end"/>
      </w:r>
      <w:r w:rsidRPr="003D3194" w:rsidR="003D3194">
        <w:t xml:space="preserve">.  As to the question whether the said interference was “necessary in a democratic society”, the Court would draw attention at the outset to the specificity and scope of the case at issue (see paragraphs </w:t>
      </w:r>
      <w:r w:rsidRPr="003D3194" w:rsidR="003D3194">
        <w:fldChar w:fldCharType="begin"/>
      </w:r>
      <w:r w:rsidRPr="003D3194" w:rsidR="003D3194">
        <w:instrText xml:space="preserve"> REF scope \h  \* MERGEFORMAT </w:instrText>
      </w:r>
      <w:r w:rsidRPr="003D3194" w:rsidR="003D3194">
        <w:fldChar w:fldCharType="separate"/>
      </w:r>
      <w:r w:rsidRPr="003D3194" w:rsidR="003D3194">
        <w:t>46</w:t>
      </w:r>
      <w:r w:rsidRPr="003D3194" w:rsidR="003D3194">
        <w:fldChar w:fldCharType="end"/>
      </w:r>
      <w:r w:rsidRPr="003D3194" w:rsidR="003D3194">
        <w:t xml:space="preserve"> et seq.</w:t>
      </w:r>
      <w:r w:rsidRPr="003D3194" w:rsidDel="003147AD" w:rsidR="003D3194">
        <w:t xml:space="preserve"> </w:t>
      </w:r>
      <w:r w:rsidRPr="003D3194" w:rsidR="003D3194">
        <w:t>above): the applicant was held liable not for failing to remove the article, but for failing to de-index it (thus allowing the possibility – for a period whose length has been deemed to be excessive – of typing into the search engine the restaurant’s or V.X.’s names in order to access information relating to the criminal proceedings involving V.X.).</w:t>
      </w:r>
    </w:p>
    <w:p w:rsidRPr="003D3194" w:rsidR="003D3194" w:rsidP="003D3194" w:rsidRDefault="003D3194" w14:paraId="043FFDAC" w14:textId="2A641518">
      <w:pPr>
        <w:pStyle w:val="JuPara"/>
      </w:pPr>
      <w:r w:rsidRPr="003D3194">
        <w:fldChar w:fldCharType="begin"/>
      </w:r>
      <w:r w:rsidRPr="003D3194">
        <w:instrText xml:space="preserve"> SEQ level0 \*arabic </w:instrText>
      </w:r>
      <w:r w:rsidRPr="003D3194">
        <w:fldChar w:fldCharType="separate"/>
      </w:r>
      <w:r w:rsidRPr="003D3194">
        <w:rPr>
          <w:noProof/>
        </w:rPr>
        <w:t>59</w:t>
      </w:r>
      <w:r w:rsidRPr="003D3194">
        <w:fldChar w:fldCharType="end"/>
      </w:r>
      <w:r w:rsidRPr="003D3194">
        <w:t xml:space="preserve">.  In this connection, and with reference to the above considerations concerning the scope of the case, the Court endorses the observations of the third-party interveners (see paragraphs </w:t>
      </w:r>
      <w:r w:rsidRPr="003D3194">
        <w:fldChar w:fldCharType="begin"/>
      </w:r>
      <w:r w:rsidRPr="003D3194">
        <w:instrText xml:space="preserve"> REF thirdparties \h  \* MERGEFORMAT </w:instrText>
      </w:r>
      <w:r w:rsidRPr="003D3194">
        <w:fldChar w:fldCharType="separate"/>
      </w:r>
      <w:r w:rsidRPr="003D3194">
        <w:t>40</w:t>
      </w:r>
      <w:r w:rsidRPr="003D3194">
        <w:fldChar w:fldCharType="end"/>
      </w:r>
      <w:r w:rsidRPr="003D3194">
        <w:t xml:space="preserve"> et seq. above), which draw a clear distinction between, on the one hand, the requirement to de-list (or “de-index”, as in the present case) and, on the other hand, the permanent removal or erasure of news articles published by the press. In the instant case, the Court acknowledges that the applicant was found to be liable solely on account of the first requirement – </w:t>
      </w:r>
      <w:proofErr w:type="gramStart"/>
      <w:r w:rsidRPr="003D3194">
        <w:t>that is to say no</w:t>
      </w:r>
      <w:proofErr w:type="gramEnd"/>
      <w:r w:rsidRPr="003D3194">
        <w:t xml:space="preserve"> requirement to permanently remove the article was at issue before the domestic courts. Nor was any intervention regarding the anonymisation of the online article in question at issue in this case.</w:t>
      </w:r>
    </w:p>
    <w:p w:rsidRPr="003D3194" w:rsidR="003D3194" w:rsidP="003D3194" w:rsidRDefault="00B66B2C" w14:paraId="25F369EE" w14:textId="3B8311FA">
      <w:pPr>
        <w:pStyle w:val="JuPara"/>
      </w:pPr>
      <w:r>
        <w:rPr>
          <w:noProof/>
        </w:rPr>
        <w:fldChar w:fldCharType="begin"/>
      </w:r>
      <w:r>
        <w:rPr>
          <w:noProof/>
        </w:rPr>
        <w:instrText xml:space="preserve"> SEQ level0 \*arabic \* MERGEFORMAT </w:instrText>
      </w:r>
      <w:r>
        <w:rPr>
          <w:noProof/>
        </w:rPr>
        <w:fldChar w:fldCharType="separate"/>
      </w:r>
      <w:r w:rsidRPr="003D3194" w:rsidR="003D3194">
        <w:rPr>
          <w:noProof/>
        </w:rPr>
        <w:t>60</w:t>
      </w:r>
      <w:r>
        <w:rPr>
          <w:noProof/>
        </w:rPr>
        <w:fldChar w:fldCharType="end"/>
      </w:r>
      <w:r w:rsidRPr="003D3194" w:rsidR="003D3194">
        <w:t xml:space="preserve">.  In the Court’s view, this is an important </w:t>
      </w:r>
      <w:proofErr w:type="gramStart"/>
      <w:r w:rsidRPr="003D3194" w:rsidR="003D3194">
        <w:t>starting-point</w:t>
      </w:r>
      <w:proofErr w:type="gramEnd"/>
      <w:r w:rsidRPr="003D3194" w:rsidR="003D3194">
        <w:t xml:space="preserve"> from which to define the interference with the applicant’s freedom of expression and to identify, accordingly, the applicable principles in order to assess the proportionality of that interference.</w:t>
      </w:r>
    </w:p>
    <w:p w:rsidRPr="003D3194" w:rsidR="003D3194" w:rsidP="003D3194" w:rsidRDefault="00B66B2C" w14:paraId="06339D04" w14:textId="0FB75A5D">
      <w:pPr>
        <w:pStyle w:val="JuPara"/>
      </w:pPr>
      <w:r>
        <w:rPr>
          <w:noProof/>
        </w:rPr>
        <w:fldChar w:fldCharType="begin"/>
      </w:r>
      <w:r>
        <w:rPr>
          <w:noProof/>
        </w:rPr>
        <w:instrText xml:space="preserve"> SEQ level0 \*arabic \* MERGEFORMAT </w:instrText>
      </w:r>
      <w:r>
        <w:rPr>
          <w:noProof/>
        </w:rPr>
        <w:fldChar w:fldCharType="separate"/>
      </w:r>
      <w:r w:rsidRPr="003D3194" w:rsidR="003D3194">
        <w:rPr>
          <w:noProof/>
        </w:rPr>
        <w:t>61</w:t>
      </w:r>
      <w:r>
        <w:rPr>
          <w:noProof/>
        </w:rPr>
        <w:fldChar w:fldCharType="end"/>
      </w:r>
      <w:r w:rsidRPr="003D3194" w:rsidR="003D3194">
        <w:t xml:space="preserve">.  As to this last point, the Court has laid down relevant principles to guide its assessment of </w:t>
      </w:r>
      <w:proofErr w:type="gramStart"/>
      <w:r w:rsidRPr="003D3194" w:rsidR="003D3194">
        <w:t>whether or not</w:t>
      </w:r>
      <w:proofErr w:type="gramEnd"/>
      <w:r w:rsidRPr="003D3194" w:rsidR="003D3194">
        <w:t xml:space="preserve"> an interference in this area is necessary and has identified a number of criteria in the context of balancing freedom of expression against the right to reputation. These criteria are the following: (</w:t>
      </w:r>
      <w:proofErr w:type="spellStart"/>
      <w:r w:rsidRPr="003D3194" w:rsidR="003D3194">
        <w:t>i</w:t>
      </w:r>
      <w:proofErr w:type="spellEnd"/>
      <w:r w:rsidRPr="003D3194" w:rsidR="003D3194">
        <w:t xml:space="preserve">) contribution to a debate of general interest; (ii) the extent to which the person concerned is well known and the subject of the report in question; (iii) the prior conduct of the person concerned towards the media; (iv) the method of obtaining the information in question, and its veracity; (v) the content, form and consequences of the publication in question; and (vi) the severity of the sanction imposed on the applicant (see </w:t>
      </w:r>
      <w:r w:rsidRPr="003D3194" w:rsidR="003D3194">
        <w:rPr>
          <w:i/>
        </w:rPr>
        <w:t>Axel Springer AG v. Germany</w:t>
      </w:r>
      <w:r w:rsidRPr="003D3194" w:rsidR="003D3194">
        <w:t xml:space="preserve"> [GC], no. 39954/08, §§ 89-95, 7 February 2012).</w:t>
      </w:r>
    </w:p>
    <w:p w:rsidRPr="003D3194" w:rsidR="003D3194" w:rsidP="003D3194" w:rsidRDefault="00B66B2C" w14:paraId="051B55DC" w14:textId="153623F5">
      <w:pPr>
        <w:pStyle w:val="JuPara"/>
      </w:pPr>
      <w:r>
        <w:rPr>
          <w:noProof/>
        </w:rPr>
        <w:fldChar w:fldCharType="begin"/>
      </w:r>
      <w:r>
        <w:rPr>
          <w:noProof/>
        </w:rPr>
        <w:instrText xml:space="preserve"> SEQ level0 \*arabic \* MERGEFORMAT </w:instrText>
      </w:r>
      <w:r>
        <w:rPr>
          <w:noProof/>
        </w:rPr>
        <w:fldChar w:fldCharType="separate"/>
      </w:r>
      <w:r w:rsidRPr="003D3194" w:rsidR="003D3194">
        <w:rPr>
          <w:noProof/>
        </w:rPr>
        <w:t>62</w:t>
      </w:r>
      <w:r>
        <w:rPr>
          <w:noProof/>
        </w:rPr>
        <w:fldChar w:fldCharType="end"/>
      </w:r>
      <w:r w:rsidRPr="003D3194" w:rsidR="003D3194">
        <w:t xml:space="preserve">.  However, the Court observes that there are factual differences between </w:t>
      </w:r>
      <w:r w:rsidRPr="003D3194" w:rsidR="003D3194">
        <w:rPr>
          <w:i/>
        </w:rPr>
        <w:t>Axel Springer AG</w:t>
      </w:r>
      <w:r w:rsidRPr="003D3194" w:rsidR="003D3194">
        <w:t xml:space="preserve"> (cited above) and the present case. The former case concerned the publication, by the applicant company, of print articles reporting the arrest and conviction of a well-known television actor whereas, as noted above, the present case deals with the retention online, for a certain </w:t>
      </w:r>
      <w:proofErr w:type="gramStart"/>
      <w:r w:rsidRPr="003D3194" w:rsidR="003D3194">
        <w:t>period of time</w:t>
      </w:r>
      <w:proofErr w:type="gramEnd"/>
      <w:r w:rsidRPr="003D3194" w:rsidR="003D3194">
        <w:t xml:space="preserve">, of an Internet article concerning a criminal case against private individuals. There are therefore two main features that characterise the present case: one is the period for which the online article remained on the Internet and the impact thereof on the right of the individual in question to have his reputation respected; the second feature relates to the nature of the data subject in question – </w:t>
      </w:r>
      <w:proofErr w:type="gramStart"/>
      <w:r w:rsidRPr="003D3194" w:rsidR="003D3194">
        <w:t>that is to say a</w:t>
      </w:r>
      <w:proofErr w:type="gramEnd"/>
      <w:r w:rsidRPr="003D3194" w:rsidR="003D3194">
        <w:t xml:space="preserve"> private individual not acting within a public context as a political or public figure. Indeed, anyone – well known or not – can be the subject of an Internet search, and his or her rights can be impaired by continued Internet access to his or her personal data.</w:t>
      </w:r>
    </w:p>
    <w:p w:rsidRPr="003D3194" w:rsidR="003D3194" w:rsidP="003D3194" w:rsidRDefault="00B66B2C" w14:paraId="04B97D44" w14:textId="21580758">
      <w:pPr>
        <w:pStyle w:val="JuPara"/>
      </w:pPr>
      <w:r>
        <w:rPr>
          <w:noProof/>
        </w:rPr>
        <w:fldChar w:fldCharType="begin"/>
      </w:r>
      <w:r>
        <w:rPr>
          <w:noProof/>
        </w:rPr>
        <w:instrText xml:space="preserve"> SEQ level0 \*arabic \* MERGEFORMAT </w:instrText>
      </w:r>
      <w:r>
        <w:rPr>
          <w:noProof/>
        </w:rPr>
        <w:fldChar w:fldCharType="separate"/>
      </w:r>
      <w:r w:rsidRPr="003D3194" w:rsidR="003D3194">
        <w:rPr>
          <w:noProof/>
        </w:rPr>
        <w:t>63</w:t>
      </w:r>
      <w:r>
        <w:rPr>
          <w:noProof/>
        </w:rPr>
        <w:fldChar w:fldCharType="end"/>
      </w:r>
      <w:r w:rsidRPr="003D3194" w:rsidR="003D3194">
        <w:t xml:space="preserve">.  In the light of the above, the Court acknowledges that the strict application of the criteria set out in </w:t>
      </w:r>
      <w:r w:rsidRPr="003D3194" w:rsidR="003D3194">
        <w:rPr>
          <w:i/>
        </w:rPr>
        <w:t>Axel Springer AG</w:t>
      </w:r>
      <w:r w:rsidRPr="003D3194" w:rsidR="003D3194">
        <w:t xml:space="preserve"> (cited above) would be inappropriate in the present circumstances. What the Court must examine is whether, in the light of the fundamental principles established in its case-law, the domestic courts’ finding of civil liability on the part of the applicant was based on relevant and sufficient grounds, given the particular circumstances of the case (see, among other authorities, </w:t>
      </w:r>
      <w:r w:rsidRPr="003D3194" w:rsidR="003D3194">
        <w:rPr>
          <w:i/>
        </w:rPr>
        <w:t>Times Newspapers Ltd</w:t>
      </w:r>
      <w:r w:rsidRPr="003D3194" w:rsidR="003D3194">
        <w:rPr>
          <w:iCs/>
        </w:rPr>
        <w:t xml:space="preserve">, </w:t>
      </w:r>
      <w:r w:rsidRPr="003D3194" w:rsidR="003D3194">
        <w:t xml:space="preserve">§§ 40-43, and </w:t>
      </w:r>
      <w:proofErr w:type="spellStart"/>
      <w:r w:rsidRPr="003D3194" w:rsidR="003D3194">
        <w:rPr>
          <w:i/>
        </w:rPr>
        <w:t>Delfi</w:t>
      </w:r>
      <w:proofErr w:type="spellEnd"/>
      <w:r w:rsidRPr="003D3194" w:rsidR="003D3194">
        <w:rPr>
          <w:i/>
        </w:rPr>
        <w:t xml:space="preserve"> AS</w:t>
      </w:r>
      <w:r w:rsidRPr="003D3194" w:rsidR="003D3194">
        <w:t xml:space="preserve">, §§ 131-39, both cited above; see also the more recent case of </w:t>
      </w:r>
      <w:r w:rsidRPr="003D3194" w:rsidR="003D3194">
        <w:rPr>
          <w:i/>
          <w:iCs/>
        </w:rPr>
        <w:t xml:space="preserve">Big Brother Watch and Others v. the United Kingdom </w:t>
      </w:r>
      <w:r w:rsidRPr="003D3194" w:rsidR="003D3194">
        <w:t>[GC], nos.</w:t>
      </w:r>
      <w:r w:rsidRPr="003D3194" w:rsidR="003D3194">
        <w:rPr>
          <w:lang w:eastAsia="en-GB"/>
        </w:rPr>
        <w:t> </w:t>
      </w:r>
      <w:r w:rsidRPr="003D3194" w:rsidR="003D3194">
        <w:t xml:space="preserve">58170/13 and 2 others, </w:t>
      </w:r>
      <w:r w:rsidRPr="003D3194" w:rsidR="003D3194">
        <w:rPr>
          <w:rFonts w:cstheme="minorHAnsi"/>
        </w:rPr>
        <w:t>§</w:t>
      </w:r>
      <w:r w:rsidRPr="003D3194" w:rsidR="003D3194">
        <w:t>§ 442 et seq., 22 May 2021).</w:t>
      </w:r>
    </w:p>
    <w:p w:rsidRPr="003D3194" w:rsidR="003D3194" w:rsidP="003D3194" w:rsidRDefault="00B66B2C" w14:paraId="5B0750D9" w14:textId="31D00272">
      <w:pPr>
        <w:pStyle w:val="JuPara"/>
      </w:pPr>
      <w:r>
        <w:rPr>
          <w:noProof/>
        </w:rPr>
        <w:fldChar w:fldCharType="begin"/>
      </w:r>
      <w:r>
        <w:rPr>
          <w:noProof/>
        </w:rPr>
        <w:instrText xml:space="preserve"> SEQ level0 \*arabic \* MERGEFORMAT </w:instrText>
      </w:r>
      <w:r>
        <w:rPr>
          <w:noProof/>
        </w:rPr>
        <w:fldChar w:fldCharType="separate"/>
      </w:r>
      <w:r w:rsidRPr="003D3194" w:rsidR="003D3194">
        <w:rPr>
          <w:noProof/>
        </w:rPr>
        <w:t>64</w:t>
      </w:r>
      <w:r>
        <w:rPr>
          <w:noProof/>
        </w:rPr>
        <w:fldChar w:fldCharType="end"/>
      </w:r>
      <w:r w:rsidRPr="003D3194" w:rsidR="003D3194">
        <w:t>.  Special attention should be paid in this case to: (</w:t>
      </w:r>
      <w:proofErr w:type="spellStart"/>
      <w:r w:rsidRPr="003D3194" w:rsidR="003D3194">
        <w:t>i</w:t>
      </w:r>
      <w:proofErr w:type="spellEnd"/>
      <w:r w:rsidRPr="003D3194" w:rsidR="003D3194">
        <w:t>) the length of time for which the article was kept online – particularly in the light of the purposes for which V.X.’s data was originally processed; (ii) the sensitiveness of the data at issue; and (iii) the gravity of the sanction imposed on the applicant.</w:t>
      </w:r>
    </w:p>
    <w:p w:rsidRPr="003D3194" w:rsidR="003D3194" w:rsidP="003D3194" w:rsidRDefault="003D3194" w14:paraId="42B5890C" w14:textId="116CFD9A">
      <w:pPr>
        <w:pStyle w:val="JuPara"/>
      </w:pPr>
      <w:r w:rsidRPr="003D3194">
        <w:fldChar w:fldCharType="begin"/>
      </w:r>
      <w:r w:rsidRPr="003D3194">
        <w:instrText xml:space="preserve"> SEQ level0 \*arabic </w:instrText>
      </w:r>
      <w:r w:rsidRPr="003D3194">
        <w:fldChar w:fldCharType="separate"/>
      </w:r>
      <w:r w:rsidRPr="003D3194">
        <w:rPr>
          <w:noProof/>
        </w:rPr>
        <w:t>65</w:t>
      </w:r>
      <w:r w:rsidRPr="003D3194">
        <w:fldChar w:fldCharType="end"/>
      </w:r>
      <w:r w:rsidRPr="003D3194">
        <w:t>.  Regarding the first point, the Court acknowledges that, as pointed out by the applicant, the criminal proceedings against V.X. and other members of his family were still pending at the time that the Supreme Court adopted its judgment in the applicant’s case. However, it should be noted that the information contained in the article had not been updated since the occurrence of the events in question. Moreover, notwithstanding the formal notice that V.X. sent to the applicant requesting the removal of the article from the Internet, it remained online and was easily accessible for eight months.</w:t>
      </w:r>
    </w:p>
    <w:p w:rsidRPr="003D3194" w:rsidR="003D3194" w:rsidP="003D3194" w:rsidRDefault="00B66B2C" w14:paraId="495760A2" w14:textId="448413D3">
      <w:pPr>
        <w:pStyle w:val="JuPara"/>
      </w:pPr>
      <w:r>
        <w:rPr>
          <w:noProof/>
        </w:rPr>
        <w:fldChar w:fldCharType="begin"/>
      </w:r>
      <w:r>
        <w:rPr>
          <w:noProof/>
        </w:rPr>
        <w:instrText xml:space="preserve"> SEQ level0 \*arabic \* MERGEFORMAT </w:instrText>
      </w:r>
      <w:r>
        <w:rPr>
          <w:noProof/>
        </w:rPr>
        <w:fldChar w:fldCharType="separate"/>
      </w:r>
      <w:r w:rsidRPr="003D3194" w:rsidR="003D3194">
        <w:rPr>
          <w:noProof/>
        </w:rPr>
        <w:t>66</w:t>
      </w:r>
      <w:r>
        <w:rPr>
          <w:noProof/>
        </w:rPr>
        <w:fldChar w:fldCharType="end"/>
      </w:r>
      <w:r w:rsidRPr="003D3194" w:rsidR="003D3194">
        <w:t xml:space="preserve">.  In this connection, the applicable domestic law (see Article 11 of Legislative Decree no. 196/2003), read in the light of the international legal instruments (see Article 5 (e) of the updated Convention ETS no. 108, quoted in paragraph </w:t>
      </w:r>
      <w:r w:rsidRPr="003D3194" w:rsidR="003D3194">
        <w:fldChar w:fldCharType="begin"/>
      </w:r>
      <w:r w:rsidRPr="003D3194" w:rsidR="003D3194">
        <w:instrText xml:space="preserve"> REF modernised \h  \* MERGEFORMAT </w:instrText>
      </w:r>
      <w:r w:rsidRPr="003D3194" w:rsidR="003D3194">
        <w:fldChar w:fldCharType="separate"/>
      </w:r>
      <w:r w:rsidRPr="003D3194" w:rsidR="003D3194">
        <w:t>17</w:t>
      </w:r>
      <w:r w:rsidRPr="003D3194" w:rsidR="003D3194">
        <w:fldChar w:fldCharType="end"/>
      </w:r>
      <w:r w:rsidRPr="003D3194" w:rsidR="003D3194">
        <w:t xml:space="preserve"> above, and Article 17 § 1 (a) of the GDPR, quoted in paragraph </w:t>
      </w:r>
      <w:r w:rsidRPr="003D3194" w:rsidR="003D3194">
        <w:fldChar w:fldCharType="begin"/>
      </w:r>
      <w:r w:rsidRPr="003D3194" w:rsidR="003D3194">
        <w:instrText xml:space="preserve"> REF GDPR \h  \* MERGEFORMAT </w:instrText>
      </w:r>
      <w:r w:rsidRPr="003D3194" w:rsidR="003D3194">
        <w:fldChar w:fldCharType="separate"/>
      </w:r>
      <w:r w:rsidRPr="003D3194" w:rsidR="003D3194">
        <w:t>28</w:t>
      </w:r>
      <w:r w:rsidRPr="003D3194" w:rsidR="003D3194">
        <w:fldChar w:fldCharType="end"/>
      </w:r>
      <w:r w:rsidRPr="003D3194" w:rsidR="003D3194">
        <w:t xml:space="preserve"> above) supports the idea that the relevance of the applicant’s right to disseminate information decreased over the passage of time, compared to V.X.’s right to respect for his reputation (in this connection, compare and contrast</w:t>
      </w:r>
      <w:r w:rsidRPr="003D3194" w:rsidR="003D3194">
        <w:rPr>
          <w:i/>
        </w:rPr>
        <w:t xml:space="preserve"> Éditions </w:t>
      </w:r>
      <w:proofErr w:type="spellStart"/>
      <w:r w:rsidRPr="003D3194" w:rsidR="003D3194">
        <w:rPr>
          <w:i/>
        </w:rPr>
        <w:t>Plon</w:t>
      </w:r>
      <w:proofErr w:type="spellEnd"/>
      <w:r w:rsidRPr="003D3194" w:rsidR="003D3194">
        <w:rPr>
          <w:i/>
        </w:rPr>
        <w:t xml:space="preserve"> v. France</w:t>
      </w:r>
      <w:r w:rsidRPr="003D3194" w:rsidR="003D3194">
        <w:t>, no. 58148/00, §§ 53-57, ECHR 2004</w:t>
      </w:r>
      <w:r w:rsidRPr="003D3194" w:rsidR="003D3194">
        <w:noBreakHyphen/>
        <w:t xml:space="preserve">IV, </w:t>
      </w:r>
      <w:proofErr w:type="spellStart"/>
      <w:r w:rsidRPr="003D3194" w:rsidR="003D3194">
        <w:t>where as</w:t>
      </w:r>
      <w:proofErr w:type="spellEnd"/>
      <w:r w:rsidRPr="003D3194" w:rsidR="003D3194">
        <w:t xml:space="preserve"> time elapsed, the public interest in discussing the history of President Mitterrand’s time in office increasingly prevailed over any rights with regard to medical confidentiality; in that case, the Court considered in particular that, in any event, the duty of medical confidentiality had already been breached).</w:t>
      </w:r>
    </w:p>
    <w:p w:rsidRPr="003D3194" w:rsidR="003D3194" w:rsidP="003D3194" w:rsidRDefault="003D3194" w14:paraId="3823076F" w14:textId="024E01DD">
      <w:pPr>
        <w:pStyle w:val="JuPara"/>
      </w:pPr>
      <w:r w:rsidRPr="003D3194">
        <w:fldChar w:fldCharType="begin"/>
      </w:r>
      <w:r w:rsidRPr="003D3194">
        <w:instrText xml:space="preserve"> SEQ level0 \*arabic </w:instrText>
      </w:r>
      <w:r w:rsidRPr="003D3194">
        <w:fldChar w:fldCharType="separate"/>
      </w:r>
      <w:r w:rsidRPr="003D3194">
        <w:rPr>
          <w:noProof/>
        </w:rPr>
        <w:t>67</w:t>
      </w:r>
      <w:r w:rsidRPr="003D3194">
        <w:fldChar w:fldCharType="end"/>
      </w:r>
      <w:r w:rsidRPr="003D3194">
        <w:t>.  </w:t>
      </w:r>
      <w:proofErr w:type="gramStart"/>
      <w:r w:rsidRPr="003D3194">
        <w:t>With regard to</w:t>
      </w:r>
      <w:proofErr w:type="gramEnd"/>
      <w:r w:rsidRPr="003D3194">
        <w:t xml:space="preserve"> the sensitiveness of the data in question in the instant case, the Court is mindful that the subject matter of the article in question related to criminal proceedings instituted against V.X. As can also be seen from several Council of Europe and EU sources (Article 6 of the updated Convention ETS no. 108 – see paragraph </w:t>
      </w:r>
      <w:r w:rsidRPr="003D3194">
        <w:fldChar w:fldCharType="begin"/>
      </w:r>
      <w:r w:rsidRPr="003D3194">
        <w:instrText xml:space="preserve"> REF modernised \h  \* MERGEFORMAT </w:instrText>
      </w:r>
      <w:r w:rsidRPr="003D3194">
        <w:fldChar w:fldCharType="separate"/>
      </w:r>
      <w:r w:rsidRPr="003D3194">
        <w:t>17</w:t>
      </w:r>
      <w:r w:rsidRPr="003D3194">
        <w:fldChar w:fldCharType="end"/>
      </w:r>
      <w:r w:rsidRPr="003D3194">
        <w:t xml:space="preserve"> above and the judgment of the CJEU in </w:t>
      </w:r>
      <w:r w:rsidRPr="003D3194">
        <w:rPr>
          <w:i/>
          <w:iCs/>
        </w:rPr>
        <w:t>Google Spain and Google</w:t>
      </w:r>
      <w:r w:rsidRPr="003D3194">
        <w:t xml:space="preserve"> – see paragraphs </w:t>
      </w:r>
      <w:r w:rsidRPr="003D3194">
        <w:fldChar w:fldCharType="begin"/>
      </w:r>
      <w:r w:rsidRPr="003D3194">
        <w:instrText xml:space="preserve"> REF GoogleSpain \h  \* CharFormat  \* MERGEFORMAT </w:instrText>
      </w:r>
      <w:r w:rsidRPr="003D3194">
        <w:fldChar w:fldCharType="separate"/>
      </w:r>
      <w:r w:rsidRPr="003D3194">
        <w:t>19</w:t>
      </w:r>
      <w:r w:rsidRPr="003D3194">
        <w:fldChar w:fldCharType="end"/>
      </w:r>
      <w:r w:rsidRPr="003D3194">
        <w:noBreakHyphen/>
      </w:r>
      <w:r w:rsidRPr="003D3194">
        <w:fldChar w:fldCharType="begin"/>
      </w:r>
      <w:r w:rsidRPr="003D3194">
        <w:instrText xml:space="preserve"> REF googlespain23 \h  \* MERGEFORMAT </w:instrText>
      </w:r>
      <w:r w:rsidRPr="003D3194">
        <w:fldChar w:fldCharType="separate"/>
      </w:r>
      <w:r w:rsidRPr="003D3194">
        <w:t>21</w:t>
      </w:r>
      <w:r w:rsidRPr="003D3194">
        <w:fldChar w:fldCharType="end"/>
      </w:r>
      <w:r w:rsidRPr="003D3194">
        <w:t xml:space="preserve"> above, and in</w:t>
      </w:r>
      <w:r w:rsidRPr="003D3194">
        <w:rPr>
          <w:i/>
          <w:iCs/>
        </w:rPr>
        <w:t xml:space="preserve"> GC and Others (De-referencing of sensitive data)</w:t>
      </w:r>
      <w:r w:rsidRPr="003D3194">
        <w:t xml:space="preserve"> – see paragraphs </w:t>
      </w:r>
      <w:r w:rsidRPr="003D3194">
        <w:fldChar w:fldCharType="begin"/>
      </w:r>
      <w:r w:rsidRPr="003D3194">
        <w:instrText xml:space="preserve"> REF paragraph00023 \h  \* CharFormat  \* MERGEFORMAT </w:instrText>
      </w:r>
      <w:r w:rsidRPr="003D3194">
        <w:fldChar w:fldCharType="separate"/>
      </w:r>
      <w:r w:rsidRPr="003D3194">
        <w:t>23</w:t>
      </w:r>
      <w:r w:rsidRPr="003D3194">
        <w:fldChar w:fldCharType="end"/>
      </w:r>
      <w:r w:rsidRPr="003D3194">
        <w:noBreakHyphen/>
      </w:r>
      <w:r w:rsidRPr="003D3194">
        <w:fldChar w:fldCharType="begin"/>
      </w:r>
      <w:r w:rsidRPr="003D3194">
        <w:instrText xml:space="preserve"> REF CNIL \h  \* MERGEFORMAT </w:instrText>
      </w:r>
      <w:r w:rsidRPr="003D3194">
        <w:fldChar w:fldCharType="separate"/>
      </w:r>
      <w:r w:rsidRPr="003D3194">
        <w:t>24</w:t>
      </w:r>
      <w:r w:rsidRPr="003D3194">
        <w:fldChar w:fldCharType="end"/>
      </w:r>
      <w:r w:rsidRPr="003D3194">
        <w:t xml:space="preserve"> above), the Court is of the belief that the circumstances in which information concerning sensitive data is published constitutes a factor to be taken into account when balancing the right to disseminate information against the right of a data subject to respect for his or her private life.</w:t>
      </w:r>
    </w:p>
    <w:p w:rsidRPr="003D3194" w:rsidR="003D3194" w:rsidP="003D3194" w:rsidRDefault="003D3194" w14:paraId="32E10C56" w14:textId="43483BE9">
      <w:pPr>
        <w:pStyle w:val="JuPara"/>
      </w:pPr>
      <w:r w:rsidRPr="003D3194">
        <w:fldChar w:fldCharType="begin"/>
      </w:r>
      <w:r w:rsidRPr="003D3194">
        <w:instrText xml:space="preserve"> SEQ level0 \*arabic </w:instrText>
      </w:r>
      <w:r w:rsidRPr="003D3194">
        <w:fldChar w:fldCharType="separate"/>
      </w:r>
      <w:r w:rsidRPr="003D3194">
        <w:rPr>
          <w:noProof/>
        </w:rPr>
        <w:t>68</w:t>
      </w:r>
      <w:r w:rsidRPr="003D3194">
        <w:fldChar w:fldCharType="end"/>
      </w:r>
      <w:r w:rsidRPr="003D3194">
        <w:t xml:space="preserve">.  Concerning the gravity of the sanction, the Court reiterates that the applicant was held liable under civil and not criminal law (contrast </w:t>
      </w:r>
      <w:proofErr w:type="spellStart"/>
      <w:r w:rsidRPr="003D3194">
        <w:rPr>
          <w:i/>
        </w:rPr>
        <w:t>Tuomela</w:t>
      </w:r>
      <w:proofErr w:type="spellEnd"/>
      <w:r w:rsidRPr="003D3194">
        <w:rPr>
          <w:i/>
        </w:rPr>
        <w:t xml:space="preserve"> and Others v. Finland</w:t>
      </w:r>
      <w:r w:rsidRPr="003D3194">
        <w:t xml:space="preserve">, no. 25711/04, § 62, 6 April 2010, and </w:t>
      </w:r>
      <w:r w:rsidRPr="003D3194">
        <w:rPr>
          <w:i/>
          <w:iCs/>
        </w:rPr>
        <w:t xml:space="preserve">Savva </w:t>
      </w:r>
      <w:proofErr w:type="spellStart"/>
      <w:r w:rsidRPr="003D3194">
        <w:rPr>
          <w:i/>
          <w:iCs/>
        </w:rPr>
        <w:t>Terentyev</w:t>
      </w:r>
      <w:proofErr w:type="spellEnd"/>
      <w:r w:rsidRPr="003D3194">
        <w:rPr>
          <w:lang w:eastAsia="en-GB"/>
        </w:rPr>
        <w:t xml:space="preserve">, cited above, </w:t>
      </w:r>
      <w:r w:rsidRPr="003D3194">
        <w:t>§ 83). Although the amount of compensation that the applicant was ordered to pay to the claimants for the breach of their right to have their reputations respected was not negligible, the Court is of the view that the severity of the sentence and the amount of compensation awarded in respect of non-pecuniary damage (EUR 5,000 to each claimant) cannot be regarded as excessive, given the circumstances of this case.</w:t>
      </w:r>
    </w:p>
    <w:p w:rsidRPr="003D3194" w:rsidR="003D3194" w:rsidP="003D3194" w:rsidRDefault="003D3194" w14:paraId="7EA2FF01" w14:textId="620E4358">
      <w:pPr>
        <w:pStyle w:val="JuPara"/>
      </w:pPr>
      <w:r w:rsidRPr="003D3194">
        <w:fldChar w:fldCharType="begin"/>
      </w:r>
      <w:r w:rsidRPr="003D3194">
        <w:instrText xml:space="preserve"> SEQ level0 \*arabic </w:instrText>
      </w:r>
      <w:r w:rsidRPr="003D3194">
        <w:fldChar w:fldCharType="separate"/>
      </w:r>
      <w:r w:rsidRPr="003D3194">
        <w:rPr>
          <w:noProof/>
        </w:rPr>
        <w:t>69</w:t>
      </w:r>
      <w:r w:rsidRPr="003D3194">
        <w:fldChar w:fldCharType="end"/>
      </w:r>
      <w:r w:rsidRPr="003D3194">
        <w:t xml:space="preserve">.  Where the balancing exercise between, on the one hand, freedom of expression protected by Article 10, and, on the other, the right to respect for one’s private life, as enshrined in Article 8 of the Convention, has been carried out by the national authorities, in conformity with the criteria laid down by the Court’s case-law, the Court would require strong reasons to substitute its view for that of the domestic courts (see, among other authorities, </w:t>
      </w:r>
      <w:proofErr w:type="spellStart"/>
      <w:r w:rsidRPr="003D3194">
        <w:rPr>
          <w:i/>
        </w:rPr>
        <w:t>Palomo</w:t>
      </w:r>
      <w:proofErr w:type="spellEnd"/>
      <w:r w:rsidRPr="003D3194">
        <w:rPr>
          <w:i/>
        </w:rPr>
        <w:t xml:space="preserve"> Sánchez and Others v. Spain</w:t>
      </w:r>
      <w:r w:rsidRPr="003D3194">
        <w:t xml:space="preserve"> [GC], nos. 28955/06 and 3 others, § 57, ECHR 2011, and </w:t>
      </w:r>
      <w:proofErr w:type="spellStart"/>
      <w:r w:rsidRPr="003D3194">
        <w:rPr>
          <w:i/>
          <w:iCs/>
        </w:rPr>
        <w:t>Delfi</w:t>
      </w:r>
      <w:proofErr w:type="spellEnd"/>
      <w:r w:rsidRPr="003D3194">
        <w:rPr>
          <w:i/>
          <w:iCs/>
        </w:rPr>
        <w:t xml:space="preserve"> AS</w:t>
      </w:r>
      <w:r w:rsidRPr="003D3194">
        <w:t>, cited above, §</w:t>
      </w:r>
      <w:r w:rsidRPr="003D3194">
        <w:rPr>
          <w:i/>
          <w:iCs/>
        </w:rPr>
        <w:t xml:space="preserve"> </w:t>
      </w:r>
      <w:r w:rsidRPr="003D3194">
        <w:t>139).</w:t>
      </w:r>
    </w:p>
    <w:p w:rsidRPr="003D3194" w:rsidR="003D3194" w:rsidP="003D3194" w:rsidRDefault="003D3194" w14:paraId="4E1DB94E" w14:textId="56B707CC">
      <w:pPr>
        <w:pStyle w:val="JuPara"/>
      </w:pPr>
      <w:r w:rsidRPr="003D3194">
        <w:fldChar w:fldCharType="begin"/>
      </w:r>
      <w:r w:rsidRPr="003D3194">
        <w:instrText xml:space="preserve"> SEQ level0 \*arabic </w:instrText>
      </w:r>
      <w:r w:rsidRPr="003D3194">
        <w:fldChar w:fldCharType="separate"/>
      </w:r>
      <w:r w:rsidRPr="003D3194">
        <w:rPr>
          <w:noProof/>
        </w:rPr>
        <w:t>70</w:t>
      </w:r>
      <w:r w:rsidRPr="003D3194">
        <w:fldChar w:fldCharType="end"/>
      </w:r>
      <w:r w:rsidRPr="003D3194">
        <w:t xml:space="preserve">.  The foregoing considerations are sufficient to enable the Court to conclude that the finding by the domestic courts that the applicant had breached V.X.’s right to respect for his reputation by virtue of the continued presence on the Internet of the impugned article and by his failure to de-index it constituted a justifiable restriction of his freedom of expression (see, </w:t>
      </w:r>
      <w:r w:rsidRPr="003D3194">
        <w:rPr>
          <w:i/>
          <w:iCs/>
        </w:rPr>
        <w:t>mutatis mutandis</w:t>
      </w:r>
      <w:r w:rsidRPr="003D3194">
        <w:t xml:space="preserve">, </w:t>
      </w:r>
      <w:r w:rsidRPr="003D3194">
        <w:rPr>
          <w:i/>
        </w:rPr>
        <w:t>Times Newspapers Ltd</w:t>
      </w:r>
      <w:r w:rsidRPr="003D3194">
        <w:t>, cited above, § 47) – all the more so as no requirement was imposed on the applicant to permanently remove the article from the Internet.</w:t>
      </w:r>
    </w:p>
    <w:p w:rsidRPr="003D3194" w:rsidR="003D3194" w:rsidP="003D3194" w:rsidRDefault="00B66B2C" w14:paraId="655ACD8F" w14:textId="5E98E408">
      <w:pPr>
        <w:pStyle w:val="JuPara"/>
      </w:pPr>
      <w:r>
        <w:rPr>
          <w:noProof/>
        </w:rPr>
        <w:fldChar w:fldCharType="begin"/>
      </w:r>
      <w:r>
        <w:rPr>
          <w:noProof/>
        </w:rPr>
        <w:instrText xml:space="preserve"> SEQ level0 \*arabic \* MERGEFORMAT </w:instrText>
      </w:r>
      <w:r>
        <w:rPr>
          <w:noProof/>
        </w:rPr>
        <w:fldChar w:fldCharType="separate"/>
      </w:r>
      <w:r w:rsidRPr="003D3194" w:rsidR="003D3194">
        <w:rPr>
          <w:noProof/>
        </w:rPr>
        <w:t>71</w:t>
      </w:r>
      <w:r>
        <w:rPr>
          <w:noProof/>
        </w:rPr>
        <w:fldChar w:fldCharType="end"/>
      </w:r>
      <w:r w:rsidRPr="003D3194" w:rsidR="003D3194">
        <w:t>.  Accordingly, there has been no violation of Article 10 of the Convention.</w:t>
      </w:r>
    </w:p>
    <w:p w:rsidRPr="003D3194" w:rsidR="003D3194" w:rsidP="003D3194" w:rsidRDefault="003D3194" w14:paraId="678CDA30" w14:textId="77777777">
      <w:pPr>
        <w:pStyle w:val="JuHHead"/>
        <w:numPr>
          <w:ilvl w:val="0"/>
          <w:numId w:val="22"/>
        </w:numPr>
        <w:ind w:left="360" w:hanging="360"/>
      </w:pPr>
      <w:r w:rsidRPr="003D3194">
        <w:t>FOR THESE REASONS, THE COURT, UNANIMOUSLY,</w:t>
      </w:r>
    </w:p>
    <w:p w:rsidRPr="003D3194" w:rsidR="003D3194" w:rsidP="003D3194" w:rsidRDefault="003D3194" w14:paraId="219B4B37" w14:textId="77777777">
      <w:pPr>
        <w:pStyle w:val="JuList"/>
      </w:pPr>
      <w:r w:rsidRPr="003D3194">
        <w:rPr>
          <w:i/>
        </w:rPr>
        <w:t>Declares</w:t>
      </w:r>
      <w:r w:rsidRPr="003D3194">
        <w:t xml:space="preserve"> the application </w:t>
      </w:r>
      <w:proofErr w:type="gramStart"/>
      <w:r w:rsidRPr="003D3194">
        <w:t>admissible;</w:t>
      </w:r>
      <w:proofErr w:type="gramEnd"/>
    </w:p>
    <w:p w:rsidRPr="003D3194" w:rsidR="003D3194" w:rsidP="003D3194" w:rsidRDefault="003D3194" w14:paraId="5DA14669" w14:textId="77777777">
      <w:pPr>
        <w:pStyle w:val="JuList"/>
      </w:pPr>
      <w:r w:rsidRPr="003D3194">
        <w:rPr>
          <w:i/>
        </w:rPr>
        <w:t>Finds</w:t>
      </w:r>
      <w:r w:rsidRPr="003D3194">
        <w:t xml:space="preserve"> that there has been no violation of Article 10 of the Convention.</w:t>
      </w:r>
    </w:p>
    <w:p w:rsidRPr="003D3194" w:rsidR="003D3194" w:rsidP="003D3194" w:rsidRDefault="003D3194" w14:paraId="0F170449" w14:textId="77777777">
      <w:pPr>
        <w:pStyle w:val="JuParaLast"/>
      </w:pPr>
      <w:r w:rsidRPr="003D3194">
        <w:t xml:space="preserve">Done in English, and notified in writing on </w:t>
      </w:r>
      <w:r w:rsidRPr="003D3194">
        <w:rPr>
          <w:rFonts w:ascii="Times New Roman" w:hAnsi="Times New Roman" w:cs="Times New Roman"/>
        </w:rPr>
        <w:t>25 November 2021</w:t>
      </w:r>
      <w:r w:rsidRPr="003D3194">
        <w:t>, pursuant to Rule 77 §§ 2 and 3 of the Rules of Court.</w:t>
      </w:r>
    </w:p>
    <w:p w:rsidRPr="003D3194" w:rsidR="003D3194" w:rsidP="003D3194" w:rsidRDefault="003D3194" w14:paraId="010C2BB5" w14:textId="77777777">
      <w:pPr>
        <w:pStyle w:val="JuSigned"/>
        <w:keepNext/>
        <w:keepLines/>
      </w:pPr>
      <w:r w:rsidRPr="003D3194">
        <w:t>Renata Degener</w:t>
      </w:r>
      <w:r w:rsidRPr="003D3194">
        <w:tab/>
      </w:r>
      <w:proofErr w:type="spellStart"/>
      <w:r w:rsidRPr="003D3194">
        <w:t>Ksenija</w:t>
      </w:r>
      <w:proofErr w:type="spellEnd"/>
      <w:r w:rsidRPr="003D3194">
        <w:t xml:space="preserve"> </w:t>
      </w:r>
      <w:proofErr w:type="spellStart"/>
      <w:r w:rsidRPr="003D3194">
        <w:t>Turković</w:t>
      </w:r>
      <w:proofErr w:type="spellEnd"/>
      <w:r w:rsidRPr="003D3194">
        <w:br/>
      </w:r>
      <w:r w:rsidRPr="003D3194">
        <w:tab/>
      </w:r>
      <w:r w:rsidRPr="003D3194">
        <w:rPr>
          <w:iCs/>
        </w:rPr>
        <w:t>Registrar</w:t>
      </w:r>
      <w:r w:rsidRPr="003D3194">
        <w:tab/>
        <w:t>President</w:t>
      </w:r>
    </w:p>
    <w:p w:rsidRPr="003D3194" w:rsidR="003D3194" w:rsidP="003D3194" w:rsidRDefault="003D3194" w14:paraId="4AF5614C" w14:textId="77777777">
      <w:pPr>
        <w:pStyle w:val="JuPara"/>
      </w:pPr>
    </w:p>
    <w:p w:rsidRPr="003D3194" w:rsidR="003D3194" w:rsidP="003D3194" w:rsidRDefault="003D3194" w14:paraId="42A27056" w14:textId="77777777">
      <w:pPr>
        <w:pStyle w:val="JuPara"/>
      </w:pPr>
    </w:p>
    <w:p w:rsidRPr="003D3194" w:rsidR="00FC57AD" w:rsidP="003D3194" w:rsidRDefault="00FC57AD" w14:paraId="51E2BE46" w14:textId="77777777"/>
    <w:sectPr w:rsidRPr="003D3194" w:rsidR="00FC57AD" w:rsidSect="007D3701">
      <w:headerReference w:type="even" r:id="rId14"/>
      <w:headerReference w:type="default" r:id="rId15"/>
      <w:footerReference w:type="even" r:id="rId16"/>
      <w:footerReference w:type="default" r:id="rId17"/>
      <w:footnotePr>
        <w:numRestart w:val="eachSect"/>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410E4" w14:textId="77777777" w:rsidR="008864BB" w:rsidRPr="00E67565" w:rsidRDefault="008864BB" w:rsidP="0098410D">
      <w:r w:rsidRPr="00E67565">
        <w:separator/>
      </w:r>
    </w:p>
  </w:endnote>
  <w:endnote w:type="continuationSeparator" w:id="0">
    <w:p w14:paraId="0BD6AADD" w14:textId="77777777" w:rsidR="008864BB" w:rsidRPr="00E67565" w:rsidRDefault="008864BB" w:rsidP="0098410D">
      <w:r w:rsidRPr="00E675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AA9E0" w14:textId="77777777" w:rsidR="003D3194" w:rsidRPr="00FB19FE" w:rsidRDefault="003D3194">
    <w:pPr>
      <w:pStyle w:val="Foo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154E2" w14:textId="77777777" w:rsidR="003D3194" w:rsidRPr="00FB19FE" w:rsidRDefault="003D3194" w:rsidP="0020718E">
    <w:pPr>
      <w:jc w:val="center"/>
    </w:pPr>
    <w:r w:rsidRPr="00B77AE8">
      <w:rPr>
        <w:noProof/>
        <w:lang w:val="en-US" w:eastAsia="ja-JP"/>
      </w:rPr>
      <w:drawing>
        <wp:inline distT="0" distB="0" distL="0" distR="0" wp14:anchorId="6D1F56D8" wp14:editId="665388E3">
          <wp:extent cx="771525" cy="619125"/>
          <wp:effectExtent l="0" t="0" r="9525" b="9525"/>
          <wp:docPr id="40" name="Picture 40"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14:paraId="61720D1C" w14:textId="77777777" w:rsidR="003D3194" w:rsidRPr="00FB19FE" w:rsidRDefault="003D3194" w:rsidP="00AF12C5">
    <w:pPr>
      <w:pStyle w:val="Footer0"/>
      <w:jc w:val="center"/>
      <w:rPr>
        <w:sz w:val="4"/>
        <w:szCs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71698" w14:textId="77777777" w:rsidR="003D3194" w:rsidRPr="00FB19FE" w:rsidRDefault="003D3194" w:rsidP="0020718E">
    <w:pPr>
      <w:jc w:val="center"/>
    </w:pPr>
    <w:r w:rsidRPr="00B77AE8">
      <w:rPr>
        <w:noProof/>
        <w:lang w:val="en-US" w:eastAsia="ja-JP"/>
      </w:rPr>
      <w:drawing>
        <wp:inline distT="0" distB="0" distL="0" distR="0" wp14:anchorId="618D5F51" wp14:editId="078EA1FC">
          <wp:extent cx="771525" cy="619125"/>
          <wp:effectExtent l="0" t="0" r="9525" b="9525"/>
          <wp:docPr id="3" name="Picture 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14:paraId="333A923F" w14:textId="77777777" w:rsidR="003D3194" w:rsidRPr="00FB19FE" w:rsidRDefault="003D3194" w:rsidP="009E7A6F">
    <w:pPr>
      <w:pStyle w:val="Footer0"/>
      <w:jc w:val="center"/>
      <w:rPr>
        <w:sz w:val="4"/>
        <w:szCs w:val="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95A66" w14:textId="14BB8D9F" w:rsidR="00182EBA" w:rsidRDefault="008864BB" w:rsidP="009A115C">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FD513" w14:textId="7FEC8D82" w:rsidR="00182EBA" w:rsidRPr="000B7195" w:rsidRDefault="008864BB" w:rsidP="007D3701">
    <w:pPr>
      <w:pStyle w:val="JuHeader"/>
    </w:pPr>
    <w:r>
      <w:fldChar w:fldCharType="begin"/>
    </w:r>
    <w:r>
      <w:instrText xml:space="preserve"> PAGE </w:instrText>
    </w:r>
    <w:r>
      <w:fldChar w:fldCharType="separate"/>
    </w:r>
    <w:r>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C2131" w14:textId="77777777" w:rsidR="008864BB" w:rsidRPr="00E67565" w:rsidRDefault="008864BB" w:rsidP="0098410D">
      <w:r w:rsidRPr="00E67565">
        <w:separator/>
      </w:r>
    </w:p>
  </w:footnote>
  <w:footnote w:type="continuationSeparator" w:id="0">
    <w:p w14:paraId="3CE43C5C" w14:textId="77777777" w:rsidR="008864BB" w:rsidRPr="00E67565" w:rsidRDefault="008864BB" w:rsidP="0098410D">
      <w:r w:rsidRPr="00E67565">
        <w:continuationSeparator/>
      </w:r>
    </w:p>
  </w:footnote>
  <w:footnote w:id="1">
    <w:p w14:paraId="6CBC5C5F" w14:textId="77777777" w:rsidR="003D3194" w:rsidRDefault="003D3194" w:rsidP="003D3194">
      <w:pPr>
        <w:pStyle w:val="FootnoteText"/>
        <w:jc w:val="both"/>
      </w:pPr>
      <w:r w:rsidRPr="00FB19FE">
        <w:rPr>
          <w:rStyle w:val="FootnoteReference"/>
        </w:rPr>
        <w:footnoteRef/>
      </w:r>
      <w:r>
        <w:t>  </w:t>
      </w:r>
      <w:r w:rsidRPr="00FB19FE">
        <w:t xml:space="preserve">The relevant extract of the Supreme Court’s judgment reads as follows: </w:t>
      </w:r>
    </w:p>
    <w:p w14:paraId="11308D25" w14:textId="77777777" w:rsidR="003D3194" w:rsidRPr="00FB19FE" w:rsidRDefault="003D3194" w:rsidP="003D3194">
      <w:pPr>
        <w:pStyle w:val="FootnoteText"/>
        <w:jc w:val="both"/>
        <w:rPr>
          <w:b/>
          <w:bCs/>
        </w:rPr>
      </w:pPr>
      <w:r w:rsidRPr="00FB19FE">
        <w:t>“By a declaration reported in the minutes of the hearing of the 23 May 2011, the representative of the [defendant online newspaper, belonging to the applicant] indicated that the newspaper had proceeded to the cancel</w:t>
      </w:r>
      <w:r>
        <w:t>l</w:t>
      </w:r>
      <w:r w:rsidRPr="00FB19FE">
        <w:t xml:space="preserve">ation of the indexing </w:t>
      </w:r>
      <w:r>
        <w:t>[</w:t>
      </w:r>
      <w:r w:rsidRPr="00FB19FE">
        <w:rPr>
          <w:i/>
          <w:iCs/>
        </w:rPr>
        <w:t>l’avvenuta cancellazione dell’indicizzazione</w:t>
      </w:r>
      <w:r>
        <w:t>]</w:t>
      </w:r>
      <w:r w:rsidRPr="00FB19FE">
        <w:t xml:space="preserve"> of the article, for the sole purpose of settling the case</w:t>
      </w:r>
      <w:r>
        <w:t>.</w:t>
      </w:r>
      <w:r w:rsidRPr="00FB19FE">
        <w:t>”</w:t>
      </w:r>
    </w:p>
  </w:footnote>
  <w:footnote w:id="2">
    <w:p w14:paraId="0EA375D3" w14:textId="77777777" w:rsidR="003D3194" w:rsidRPr="00FB19FE" w:rsidRDefault="003D3194" w:rsidP="003D3194">
      <w:pPr>
        <w:pStyle w:val="FootnoteText"/>
      </w:pPr>
      <w:r w:rsidRPr="00FB19FE">
        <w:rPr>
          <w:rStyle w:val="FootnoteReference"/>
        </w:rPr>
        <w:footnoteRef/>
      </w:r>
      <w:r>
        <w:t>  </w:t>
      </w:r>
      <w:r w:rsidRPr="0068617A">
        <w:t>See “Control what you share with Google”, available at: https://developers.google.com/search/docs/advanced/crawling/control-what-you-share.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BC7AA" w14:textId="77777777" w:rsidR="003D3194" w:rsidRPr="00FB19FE" w:rsidRDefault="003D31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66583" w14:textId="77777777" w:rsidR="003D3194" w:rsidRPr="00FB19FE" w:rsidRDefault="003D3194" w:rsidP="00A45145">
    <w:pPr>
      <w:jc w:val="center"/>
    </w:pPr>
    <w:r w:rsidRPr="00B77AE8">
      <w:rPr>
        <w:noProof/>
        <w:lang w:val="en-US" w:eastAsia="ja-JP"/>
      </w:rPr>
      <w:drawing>
        <wp:inline distT="0" distB="0" distL="0" distR="0" wp14:anchorId="2471C75A" wp14:editId="3BF97C38">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14:paraId="1A513439" w14:textId="77777777" w:rsidR="003D3194" w:rsidRPr="00FB19FE" w:rsidRDefault="003D3194" w:rsidP="00B14793">
    <w:pPr>
      <w:jc w:val="center"/>
      <w:rPr>
        <w:sz w:val="4"/>
        <w:szCs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D046E" w14:textId="77777777" w:rsidR="003D3194" w:rsidRPr="00FB19FE" w:rsidRDefault="003D3194" w:rsidP="00A45145">
    <w:pPr>
      <w:jc w:val="center"/>
    </w:pPr>
    <w:r w:rsidRPr="00B77AE8">
      <w:rPr>
        <w:noProof/>
        <w:lang w:val="en-US" w:eastAsia="ja-JP"/>
      </w:rPr>
      <w:drawing>
        <wp:inline distT="0" distB="0" distL="0" distR="0" wp14:anchorId="2DB76660" wp14:editId="6FDF38A7">
          <wp:extent cx="2962275" cy="1219200"/>
          <wp:effectExtent l="0" t="0" r="9525" b="0"/>
          <wp:docPr id="35" name="Picture 35"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14:paraId="228FE095" w14:textId="77777777" w:rsidR="003D3194" w:rsidRPr="00FB19FE" w:rsidRDefault="003D319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AA0B7" w14:textId="7DE5FD9E" w:rsidR="00182EBA" w:rsidRPr="004D0EC7" w:rsidRDefault="008864BB" w:rsidP="004D0EC7">
    <w:pPr>
      <w:pStyle w:val="JuHeader"/>
    </w:pPr>
    <w:r>
      <w:t>BIANCARDI v. ITALY</w:t>
    </w:r>
    <w:r w:rsidR="00182EBA" w:rsidRPr="004D0EC7">
      <w:t xml:space="preserve"> </w:t>
    </w:r>
    <w:r w:rsidR="00182EBA">
      <w:t>JUDGMENT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711BD" w14:textId="4CC18F5C" w:rsidR="00182EBA" w:rsidRPr="00882CD5" w:rsidRDefault="008864BB" w:rsidP="007D3701">
    <w:pPr>
      <w:pStyle w:val="JuHeader"/>
    </w:pPr>
    <w:r>
      <w:t>BIANCARDI v. ITALY</w:t>
    </w:r>
    <w:r w:rsidR="00182EBA" w:rsidRPr="00882CD5">
      <w:t xml:space="preserve"> JUDGMENT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67019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3283F3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F369A7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346880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52A83E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85AC83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86F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528BA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66C20B0"/>
    <w:lvl w:ilvl="0">
      <w:start w:val="1"/>
      <w:numFmt w:val="decimal"/>
      <w:pStyle w:val="ListNumber"/>
      <w:lvlText w:val="%1."/>
      <w:lvlJc w:val="left"/>
      <w:pPr>
        <w:tabs>
          <w:tab w:val="num" w:pos="360"/>
        </w:tabs>
        <w:ind w:left="360" w:hanging="360"/>
      </w:pPr>
    </w:lvl>
  </w:abstractNum>
  <w:abstractNum w:abstractNumId="9" w15:restartNumberingAfterBreak="0">
    <w:nsid w:val="048F2261"/>
    <w:multiLevelType w:val="multilevel"/>
    <w:tmpl w:val="C8FE6436"/>
    <w:numStyleLink w:val="ECHRA1StyleList"/>
  </w:abstractNum>
  <w:abstractNum w:abstractNumId="10" w15:restartNumberingAfterBreak="0">
    <w:nsid w:val="0C0F5BFC"/>
    <w:multiLevelType w:val="multilevel"/>
    <w:tmpl w:val="79FEA660"/>
    <w:lvl w:ilvl="0">
      <w:start w:val="1"/>
      <w:numFmt w:val="none"/>
      <w:pStyle w:val="JuHHead"/>
      <w:suff w:val="nothing"/>
      <w:lvlText w:val="%1"/>
      <w:lvlJc w:val="left"/>
      <w:pPr>
        <w:ind w:left="0" w:firstLine="0"/>
      </w:pPr>
      <w:rPr>
        <w:rFonts w:hint="default"/>
      </w:rPr>
    </w:lvl>
    <w:lvl w:ilvl="1">
      <w:start w:val="1"/>
      <w:numFmt w:val="upperRoman"/>
      <w:pStyle w:val="JuHIRoman"/>
      <w:lvlText w:val="%2."/>
      <w:lvlJc w:val="left"/>
      <w:pPr>
        <w:ind w:left="397" w:hanging="397"/>
      </w:pPr>
      <w:rPr>
        <w:rFonts w:hint="default"/>
      </w:rPr>
    </w:lvl>
    <w:lvl w:ilvl="2">
      <w:start w:val="1"/>
      <w:numFmt w:val="upperLetter"/>
      <w:pStyle w:val="JuHA"/>
      <w:lvlText w:val="%3."/>
      <w:lvlJc w:val="left"/>
      <w:pPr>
        <w:ind w:left="510" w:hanging="340"/>
      </w:pPr>
      <w:rPr>
        <w:rFonts w:hint="default"/>
      </w:rPr>
    </w:lvl>
    <w:lvl w:ilvl="3">
      <w:start w:val="1"/>
      <w:numFmt w:val="decimal"/>
      <w:pStyle w:val="JuH1"/>
      <w:lvlText w:val="%4."/>
      <w:lvlJc w:val="left"/>
      <w:pPr>
        <w:ind w:left="680" w:hanging="340"/>
      </w:pPr>
      <w:rPr>
        <w:rFonts w:hint="default"/>
      </w:rPr>
    </w:lvl>
    <w:lvl w:ilvl="4">
      <w:start w:val="1"/>
      <w:numFmt w:val="lowerLetter"/>
      <w:pStyle w:val="JuHa0"/>
      <w:lvlText w:val="(%5)"/>
      <w:lvlJc w:val="left"/>
      <w:pPr>
        <w:ind w:left="851" w:hanging="341"/>
      </w:pPr>
      <w:rPr>
        <w:rFonts w:hint="default"/>
      </w:rPr>
    </w:lvl>
    <w:lvl w:ilvl="5">
      <w:start w:val="1"/>
      <w:numFmt w:val="lowerRoman"/>
      <w:pStyle w:val="JuHi"/>
      <w:lvlText w:val="(%6)"/>
      <w:lvlJc w:val="left"/>
      <w:pPr>
        <w:ind w:left="1021" w:hanging="341"/>
      </w:pPr>
      <w:rPr>
        <w:rFonts w:hint="default"/>
      </w:rPr>
    </w:lvl>
    <w:lvl w:ilvl="6">
      <w:start w:val="1"/>
      <mc:AlternateContent>
        <mc:Choice Requires="w14">
          <w:numFmt w:val="custom" w:format="α, β, γ, ..."/>
        </mc:Choice>
        <mc:Fallback>
          <w:numFmt w:val="decimal"/>
        </mc:Fallback>
      </mc:AlternateContent>
      <w:pStyle w:val="JuHalpha"/>
      <w:lvlText w:val="(%7)"/>
      <w:lvlJc w:val="left"/>
      <w:pPr>
        <w:ind w:left="1247" w:hanging="396"/>
      </w:pPr>
      <w:rPr>
        <w:rFonts w:asciiTheme="minorHAnsi" w:hAnsiTheme="minorHAnsi" w:hint="default"/>
        <w:b w:val="0"/>
        <w:i w:val="0"/>
      </w:rPr>
    </w:lvl>
    <w:lvl w:ilvl="7">
      <w:start w:val="1"/>
      <w:numFmt w:val="bullet"/>
      <w:pStyle w:val="JuH"/>
      <w:lvlText w:val="‒"/>
      <w:lvlJc w:val="left"/>
      <w:pPr>
        <w:ind w:left="1247" w:hanging="226"/>
      </w:pPr>
      <w:rPr>
        <w:rFonts w:ascii="Times New Roman" w:hAnsi="Times New Roman" w:cs="Times New Roman" w:hint="default"/>
        <w:color w:val="auto"/>
      </w:rPr>
    </w:lvl>
    <w:lvl w:ilvl="8">
      <w:start w:val="1"/>
      <w:numFmt w:val="bullet"/>
      <w:pStyle w:val="ECHRHeading9"/>
      <w:lvlText w:val="▪"/>
      <w:lvlJc w:val="left"/>
      <w:pPr>
        <w:ind w:left="1361" w:hanging="170"/>
      </w:pPr>
      <w:rPr>
        <w:rFonts w:ascii="Times New Roman" w:hAnsi="Times New Roman" w:cs="Times New Roman" w:hint="default"/>
        <w:color w:val="auto"/>
      </w:rPr>
    </w:lvl>
  </w:abstractNum>
  <w:abstractNum w:abstractNumId="11" w15:restartNumberingAfterBreak="0">
    <w:nsid w:val="1AA96CEA"/>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D27094A"/>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7D5546B"/>
    <w:multiLevelType w:val="multilevel"/>
    <w:tmpl w:val="C8FE6436"/>
    <w:styleLink w:val="ECHRA1StyleList"/>
    <w:lvl w:ilvl="0">
      <w:start w:val="1"/>
      <w:numFmt w:val="decimal"/>
      <w:pStyle w:val="JuList"/>
      <w:lvlText w:val="%1."/>
      <w:lvlJc w:val="left"/>
      <w:pPr>
        <w:tabs>
          <w:tab w:val="num" w:pos="340"/>
        </w:tabs>
        <w:ind w:left="340" w:hanging="340"/>
      </w:pPr>
      <w:rPr>
        <w:rFonts w:hint="default"/>
      </w:rPr>
    </w:lvl>
    <w:lvl w:ilvl="1">
      <w:start w:val="1"/>
      <w:numFmt w:val="lowerLetter"/>
      <w:pStyle w:val="JuLista"/>
      <w:lvlText w:val="(%2)"/>
      <w:lvlJc w:val="left"/>
      <w:pPr>
        <w:tabs>
          <w:tab w:val="num" w:pos="680"/>
        </w:tabs>
        <w:ind w:left="680" w:hanging="340"/>
      </w:pPr>
      <w:rPr>
        <w:rFonts w:hint="default"/>
      </w:rPr>
    </w:lvl>
    <w:lvl w:ilvl="2">
      <w:start w:val="1"/>
      <w:numFmt w:val="lowerRoman"/>
      <w:pStyle w:val="JuListi"/>
      <w:suff w:val="space"/>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0B939E1"/>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89571C"/>
    <w:multiLevelType w:val="multilevel"/>
    <w:tmpl w:val="EFC26858"/>
    <w:styleLink w:val="ECHRA1StyleBulletedSquare"/>
    <w:lvl w:ilvl="0">
      <w:start w:val="1"/>
      <w:numFmt w:val="bullet"/>
      <w:pStyle w:val="ECHRBullet1"/>
      <w:lvlText w:val=""/>
      <w:lvlJc w:val="left"/>
      <w:pPr>
        <w:tabs>
          <w:tab w:val="num" w:pos="851"/>
        </w:tabs>
        <w:ind w:left="851" w:hanging="284"/>
      </w:pPr>
      <w:rPr>
        <w:rFonts w:ascii="Wingdings" w:hAnsi="Wingdings" w:hint="default"/>
        <w:color w:val="0072BC" w:themeColor="background1"/>
      </w:rPr>
    </w:lvl>
    <w:lvl w:ilvl="1">
      <w:start w:val="1"/>
      <w:numFmt w:val="bullet"/>
      <w:pStyle w:val="ECHRBullet2"/>
      <w:lvlText w:val=""/>
      <w:lvlJc w:val="left"/>
      <w:pPr>
        <w:tabs>
          <w:tab w:val="num" w:pos="1134"/>
        </w:tabs>
        <w:ind w:left="1135" w:hanging="284"/>
      </w:pPr>
      <w:rPr>
        <w:rFonts w:ascii="Wingdings" w:hAnsi="Wingdings" w:hint="default"/>
        <w:color w:val="0072BC" w:themeColor="background1"/>
      </w:rPr>
    </w:lvl>
    <w:lvl w:ilvl="2">
      <w:start w:val="1"/>
      <w:numFmt w:val="bullet"/>
      <w:pStyle w:val="ECHRBullet3"/>
      <w:lvlText w:val=""/>
      <w:lvlJc w:val="left"/>
      <w:pPr>
        <w:tabs>
          <w:tab w:val="num" w:pos="1418"/>
        </w:tabs>
        <w:ind w:left="1419" w:hanging="284"/>
      </w:pPr>
      <w:rPr>
        <w:rFonts w:ascii="Wingdings" w:hAnsi="Wingdings" w:hint="default"/>
        <w:color w:val="7F7F7F" w:themeColor="text1" w:themeTint="80"/>
      </w:rPr>
    </w:lvl>
    <w:lvl w:ilvl="3">
      <w:start w:val="1"/>
      <w:numFmt w:val="bullet"/>
      <w:pStyle w:val="ECHRBullet4"/>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0072BC"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abstractNum w:abstractNumId="16" w15:restartNumberingAfterBreak="0">
    <w:nsid w:val="5032512D"/>
    <w:multiLevelType w:val="multilevel"/>
    <w:tmpl w:val="9B34AC6C"/>
    <w:styleLink w:val="ECHRA1StyleNumberedList"/>
    <w:lvl w:ilvl="0">
      <w:start w:val="1"/>
      <w:numFmt w:val="decimal"/>
      <w:pStyle w:val="ECHRNumberedList1"/>
      <w:lvlText w:val="%1."/>
      <w:lvlJc w:val="left"/>
      <w:pPr>
        <w:tabs>
          <w:tab w:val="num" w:pos="964"/>
        </w:tabs>
        <w:ind w:left="964" w:hanging="397"/>
      </w:pPr>
      <w:rPr>
        <w:rFonts w:hint="default"/>
      </w:rPr>
    </w:lvl>
    <w:lvl w:ilvl="1">
      <w:start w:val="1"/>
      <w:numFmt w:val="lowerLetter"/>
      <w:pStyle w:val="ECHRNumberedList2"/>
      <w:lvlText w:val="%2."/>
      <w:lvlJc w:val="left"/>
      <w:pPr>
        <w:tabs>
          <w:tab w:val="num" w:pos="1361"/>
        </w:tabs>
        <w:ind w:left="1361" w:hanging="397"/>
      </w:pPr>
      <w:rPr>
        <w:rFonts w:hint="default"/>
      </w:rPr>
    </w:lvl>
    <w:lvl w:ilvl="2">
      <w:start w:val="1"/>
      <w:numFmt w:val="lowerRoman"/>
      <w:pStyle w:val="ECHRNumberedList3"/>
      <w:lvlText w:val="%3."/>
      <w:lvlJc w:val="left"/>
      <w:pPr>
        <w:tabs>
          <w:tab w:val="num" w:pos="1758"/>
        </w:tabs>
        <w:ind w:left="1758" w:hanging="397"/>
      </w:pPr>
      <w:rPr>
        <w:rFonts w:hint="default"/>
      </w:rPr>
    </w:lvl>
    <w:lvl w:ilvl="3">
      <w:start w:val="1"/>
      <w:numFmt w:val="decimal"/>
      <w:lvlText w:val="(%4)"/>
      <w:lvlJc w:val="left"/>
      <w:pPr>
        <w:tabs>
          <w:tab w:val="num" w:pos="1703"/>
        </w:tabs>
        <w:ind w:left="1703" w:hanging="284"/>
      </w:pPr>
      <w:rPr>
        <w:rFonts w:hint="default"/>
      </w:rPr>
    </w:lvl>
    <w:lvl w:ilvl="4">
      <w:start w:val="1"/>
      <w:numFmt w:val="lowerLetter"/>
      <w:lvlText w:val="(%5)"/>
      <w:lvlJc w:val="left"/>
      <w:pPr>
        <w:tabs>
          <w:tab w:val="num" w:pos="1987"/>
        </w:tabs>
        <w:ind w:left="1987" w:hanging="284"/>
      </w:pPr>
      <w:rPr>
        <w:rFonts w:hint="default"/>
      </w:rPr>
    </w:lvl>
    <w:lvl w:ilvl="5">
      <w:start w:val="1"/>
      <w:numFmt w:val="lowerRoman"/>
      <w:lvlText w:val="(%6)"/>
      <w:lvlJc w:val="left"/>
      <w:pPr>
        <w:tabs>
          <w:tab w:val="num" w:pos="2271"/>
        </w:tabs>
        <w:ind w:left="2271" w:hanging="284"/>
      </w:pPr>
      <w:rPr>
        <w:rFonts w:hint="default"/>
      </w:rPr>
    </w:lvl>
    <w:lvl w:ilvl="6">
      <w:start w:val="1"/>
      <w:numFmt w:val="decimal"/>
      <w:lvlText w:val="%7."/>
      <w:lvlJc w:val="left"/>
      <w:pPr>
        <w:tabs>
          <w:tab w:val="num" w:pos="2555"/>
        </w:tabs>
        <w:ind w:left="2555" w:hanging="284"/>
      </w:pPr>
      <w:rPr>
        <w:rFonts w:hint="default"/>
      </w:rPr>
    </w:lvl>
    <w:lvl w:ilvl="7">
      <w:start w:val="1"/>
      <w:numFmt w:val="lowerLetter"/>
      <w:lvlText w:val="%8."/>
      <w:lvlJc w:val="left"/>
      <w:pPr>
        <w:tabs>
          <w:tab w:val="num" w:pos="2839"/>
        </w:tabs>
        <w:ind w:left="2839" w:hanging="284"/>
      </w:pPr>
      <w:rPr>
        <w:rFonts w:hint="default"/>
      </w:rPr>
    </w:lvl>
    <w:lvl w:ilvl="8">
      <w:start w:val="1"/>
      <w:numFmt w:val="lowerRoman"/>
      <w:lvlText w:val="%9."/>
      <w:lvlJc w:val="left"/>
      <w:pPr>
        <w:tabs>
          <w:tab w:val="num" w:pos="3123"/>
        </w:tabs>
        <w:ind w:left="3123" w:hanging="284"/>
      </w:pPr>
      <w:rPr>
        <w:rFonts w:hint="default"/>
      </w:rPr>
    </w:lvl>
  </w:abstractNum>
  <w:abstractNum w:abstractNumId="17" w15:restartNumberingAfterBreak="0">
    <w:nsid w:val="56B9429C"/>
    <w:multiLevelType w:val="multilevel"/>
    <w:tmpl w:val="EAA66700"/>
    <w:lvl w:ilvl="0">
      <w:start w:val="1"/>
      <w:numFmt w:val="none"/>
      <w:suff w:val="nothing"/>
      <w:lvlText w:val=""/>
      <w:lvlJc w:val="left"/>
      <w:pPr>
        <w:ind w:left="0" w:firstLine="0"/>
      </w:pPr>
      <w:rPr>
        <w:rFonts w:hint="default"/>
      </w:rPr>
    </w:lvl>
    <w:lvl w:ilvl="1">
      <w:start w:val="1"/>
      <w:numFmt w:val="upperRoman"/>
      <w:suff w:val="space"/>
      <w:lvlText w:val="%2."/>
      <w:lvlJc w:val="left"/>
      <w:pPr>
        <w:ind w:left="357" w:hanging="357"/>
      </w:pPr>
      <w:rPr>
        <w:rFonts w:hint="default"/>
        <w:sz w:val="24"/>
      </w:rPr>
    </w:lvl>
    <w:lvl w:ilvl="2">
      <w:start w:val="1"/>
      <w:numFmt w:val="upperLetter"/>
      <w:lvlText w:val="%3."/>
      <w:lvlJc w:val="left"/>
      <w:pPr>
        <w:ind w:left="584" w:hanging="352"/>
      </w:pPr>
      <w:rPr>
        <w:rFonts w:hint="default"/>
      </w:rPr>
    </w:lvl>
    <w:lvl w:ilvl="3">
      <w:start w:val="1"/>
      <w:numFmt w:val="decimal"/>
      <w:lvlText w:val="%4."/>
      <w:lvlJc w:val="left"/>
      <w:pPr>
        <w:ind w:left="731" w:hanging="300"/>
      </w:pPr>
      <w:rPr>
        <w:rFonts w:hint="default"/>
      </w:rPr>
    </w:lvl>
    <w:lvl w:ilvl="4">
      <w:start w:val="1"/>
      <w:numFmt w:val="lowerLetter"/>
      <w:lvlText w:val="(%5)"/>
      <w:lvlJc w:val="left"/>
      <w:pPr>
        <w:ind w:left="975" w:hanging="340"/>
      </w:pPr>
      <w:rPr>
        <w:rFonts w:hint="default"/>
      </w:rPr>
    </w:lvl>
    <w:lvl w:ilvl="5">
      <w:start w:val="1"/>
      <w:numFmt w:val="lowerRoman"/>
      <w:suff w:val="space"/>
      <w:lvlText w:val="(%6)"/>
      <w:lvlJc w:val="left"/>
      <w:pPr>
        <w:ind w:left="1191" w:hanging="358"/>
      </w:pPr>
      <w:rPr>
        <w:rFonts w:hint="default"/>
      </w:rPr>
    </w:lvl>
    <w:lvl w:ilvl="6">
      <w:start w:val="1"/>
      <w:numFmt w:val="lowerLetter"/>
      <w:lvlText w:val="(%7)"/>
      <w:lvlJc w:val="left"/>
      <w:pPr>
        <w:ind w:left="1372" w:hanging="334"/>
      </w:pPr>
      <w:rPr>
        <w:rFonts w:ascii="Symbol" w:hAnsi="Symbol" w:hint="default"/>
        <w:sz w:val="20"/>
      </w:rPr>
    </w:lvl>
    <w:lvl w:ilvl="7">
      <w:start w:val="1"/>
      <w:numFmt w:val="bullet"/>
      <w:lvlText w:val="‒"/>
      <w:lvlJc w:val="left"/>
      <w:pPr>
        <w:ind w:left="1304" w:hanging="68"/>
      </w:pPr>
      <w:rPr>
        <w:rFonts w:ascii="Calibri" w:hAnsi="Calibri" w:hint="default"/>
        <w:color w:val="auto"/>
      </w:rPr>
    </w:lvl>
    <w:lvl w:ilvl="8">
      <w:start w:val="1"/>
      <w:numFmt w:val="none"/>
      <w:lvlText w:val="%9"/>
      <w:lvlJc w:val="right"/>
      <w:pPr>
        <w:ind w:left="7313" w:hanging="180"/>
      </w:pPr>
      <w:rPr>
        <w:rFonts w:hint="default"/>
      </w:rPr>
    </w:lvl>
  </w:abstractNum>
  <w:abstractNum w:abstractNumId="18" w15:restartNumberingAfterBreak="0">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7D35409C"/>
    <w:multiLevelType w:val="multilevel"/>
    <w:tmpl w:val="EAA66700"/>
    <w:lvl w:ilvl="0">
      <w:start w:val="1"/>
      <w:numFmt w:val="none"/>
      <w:suff w:val="nothing"/>
      <w:lvlText w:val=""/>
      <w:lvlJc w:val="left"/>
      <w:pPr>
        <w:ind w:left="0" w:firstLine="0"/>
      </w:pPr>
      <w:rPr>
        <w:rFonts w:hint="default"/>
      </w:rPr>
    </w:lvl>
    <w:lvl w:ilvl="1">
      <w:start w:val="1"/>
      <w:numFmt w:val="upperRoman"/>
      <w:suff w:val="space"/>
      <w:lvlText w:val="%2."/>
      <w:lvlJc w:val="left"/>
      <w:pPr>
        <w:ind w:left="357" w:hanging="357"/>
      </w:pPr>
      <w:rPr>
        <w:rFonts w:hint="default"/>
        <w:sz w:val="24"/>
      </w:rPr>
    </w:lvl>
    <w:lvl w:ilvl="2">
      <w:start w:val="1"/>
      <w:numFmt w:val="upperLetter"/>
      <w:lvlText w:val="%3."/>
      <w:lvlJc w:val="left"/>
      <w:pPr>
        <w:ind w:left="584" w:hanging="352"/>
      </w:pPr>
      <w:rPr>
        <w:rFonts w:hint="default"/>
      </w:rPr>
    </w:lvl>
    <w:lvl w:ilvl="3">
      <w:start w:val="1"/>
      <w:numFmt w:val="decimal"/>
      <w:lvlText w:val="%4."/>
      <w:lvlJc w:val="left"/>
      <w:pPr>
        <w:ind w:left="731" w:hanging="300"/>
      </w:pPr>
      <w:rPr>
        <w:rFonts w:hint="default"/>
      </w:rPr>
    </w:lvl>
    <w:lvl w:ilvl="4">
      <w:start w:val="1"/>
      <w:numFmt w:val="lowerLetter"/>
      <w:lvlText w:val="(%5)"/>
      <w:lvlJc w:val="left"/>
      <w:pPr>
        <w:ind w:left="975" w:hanging="340"/>
      </w:pPr>
      <w:rPr>
        <w:rFonts w:hint="default"/>
      </w:rPr>
    </w:lvl>
    <w:lvl w:ilvl="5">
      <w:start w:val="1"/>
      <w:numFmt w:val="lowerRoman"/>
      <w:suff w:val="space"/>
      <w:lvlText w:val="(%6)"/>
      <w:lvlJc w:val="left"/>
      <w:pPr>
        <w:ind w:left="1191" w:hanging="358"/>
      </w:pPr>
      <w:rPr>
        <w:rFonts w:hint="default"/>
      </w:rPr>
    </w:lvl>
    <w:lvl w:ilvl="6">
      <w:start w:val="1"/>
      <w:numFmt w:val="lowerLetter"/>
      <w:lvlText w:val="(%7)"/>
      <w:lvlJc w:val="left"/>
      <w:pPr>
        <w:ind w:left="1372" w:hanging="334"/>
      </w:pPr>
      <w:rPr>
        <w:rFonts w:ascii="Symbol" w:hAnsi="Symbol" w:hint="default"/>
        <w:sz w:val="20"/>
      </w:rPr>
    </w:lvl>
    <w:lvl w:ilvl="7">
      <w:start w:val="1"/>
      <w:numFmt w:val="bullet"/>
      <w:lvlText w:val="‒"/>
      <w:lvlJc w:val="left"/>
      <w:pPr>
        <w:ind w:left="1304" w:hanging="68"/>
      </w:pPr>
      <w:rPr>
        <w:rFonts w:ascii="Calibri" w:hAnsi="Calibri" w:hint="default"/>
        <w:color w:val="auto"/>
      </w:rPr>
    </w:lvl>
    <w:lvl w:ilvl="8">
      <w:start w:val="1"/>
      <w:numFmt w:val="none"/>
      <w:lvlText w:val="%9"/>
      <w:lvlJc w:val="right"/>
      <w:pPr>
        <w:ind w:left="7313" w:hanging="180"/>
      </w:pPr>
      <w:rPr>
        <w:rFonts w:hint="default"/>
      </w:rPr>
    </w:lvl>
  </w:abstractNum>
  <w:num w:numId="1">
    <w:abstractNumId w:val="14"/>
  </w:num>
  <w:num w:numId="2">
    <w:abstractNumId w:val="12"/>
  </w:num>
  <w:num w:numId="3">
    <w:abstractNumId w:val="11"/>
  </w:num>
  <w:num w:numId="4">
    <w:abstractNumId w:val="15"/>
  </w:num>
  <w:num w:numId="5">
    <w:abstractNumId w:val="13"/>
  </w:num>
  <w:num w:numId="6">
    <w:abstractNumId w:val="16"/>
  </w:num>
  <w:num w:numId="7">
    <w:abstractNumId w:val="15"/>
  </w:num>
  <w:num w:numId="8">
    <w:abstractNumId w:val="16"/>
  </w:num>
  <w:num w:numId="9">
    <w:abstractNumId w:val="10"/>
  </w:num>
  <w:num w:numId="10">
    <w:abstractNumId w:val="9"/>
  </w:num>
  <w:num w:numId="11">
    <w:abstractNumId w:val="18"/>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7"/>
  </w:num>
  <w:num w:numId="22">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20481"/>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licationsApp" w:val="1"/>
    <w:docVar w:name="EMM" w:val="0"/>
    <w:docVar w:name="NBEMMDOC" w:val="0"/>
  </w:docVars>
  <w:rsids>
    <w:rsidRoot w:val="008864BB"/>
    <w:rsid w:val="000041F8"/>
    <w:rsid w:val="000042A8"/>
    <w:rsid w:val="00004308"/>
    <w:rsid w:val="00005BF0"/>
    <w:rsid w:val="0000617D"/>
    <w:rsid w:val="00007154"/>
    <w:rsid w:val="000103AE"/>
    <w:rsid w:val="00011D69"/>
    <w:rsid w:val="00012AD3"/>
    <w:rsid w:val="00015C2D"/>
    <w:rsid w:val="00015F00"/>
    <w:rsid w:val="00022C1D"/>
    <w:rsid w:val="00031428"/>
    <w:rsid w:val="00034987"/>
    <w:rsid w:val="00041560"/>
    <w:rsid w:val="000602DF"/>
    <w:rsid w:val="00061B05"/>
    <w:rsid w:val="000632D5"/>
    <w:rsid w:val="000644EE"/>
    <w:rsid w:val="0007780A"/>
    <w:rsid w:val="00085457"/>
    <w:rsid w:val="000925AD"/>
    <w:rsid w:val="00096FE1"/>
    <w:rsid w:val="00097A62"/>
    <w:rsid w:val="000A24EB"/>
    <w:rsid w:val="000B686A"/>
    <w:rsid w:val="000B6923"/>
    <w:rsid w:val="000B7195"/>
    <w:rsid w:val="000C5F3C"/>
    <w:rsid w:val="000C6DCC"/>
    <w:rsid w:val="000D47AA"/>
    <w:rsid w:val="000D721F"/>
    <w:rsid w:val="000E069B"/>
    <w:rsid w:val="000E0E82"/>
    <w:rsid w:val="000E1DC5"/>
    <w:rsid w:val="000E223F"/>
    <w:rsid w:val="000E46B8"/>
    <w:rsid w:val="000E7D45"/>
    <w:rsid w:val="000F7851"/>
    <w:rsid w:val="00101505"/>
    <w:rsid w:val="00104E23"/>
    <w:rsid w:val="00110DA8"/>
    <w:rsid w:val="00111B0C"/>
    <w:rsid w:val="00120D6C"/>
    <w:rsid w:val="001257EC"/>
    <w:rsid w:val="00133D33"/>
    <w:rsid w:val="00134B6A"/>
    <w:rsid w:val="00134D64"/>
    <w:rsid w:val="00135A30"/>
    <w:rsid w:val="0013612C"/>
    <w:rsid w:val="00137FF6"/>
    <w:rsid w:val="00141650"/>
    <w:rsid w:val="001561B6"/>
    <w:rsid w:val="00162A12"/>
    <w:rsid w:val="00166530"/>
    <w:rsid w:val="00170027"/>
    <w:rsid w:val="0017639A"/>
    <w:rsid w:val="00182EBA"/>
    <w:rsid w:val="001832BD"/>
    <w:rsid w:val="001943B5"/>
    <w:rsid w:val="00195134"/>
    <w:rsid w:val="001A020C"/>
    <w:rsid w:val="001A145B"/>
    <w:rsid w:val="001A3E09"/>
    <w:rsid w:val="001A674C"/>
    <w:rsid w:val="001B3B24"/>
    <w:rsid w:val="001C055B"/>
    <w:rsid w:val="001C0F98"/>
    <w:rsid w:val="001C2A42"/>
    <w:rsid w:val="001D63ED"/>
    <w:rsid w:val="001D7348"/>
    <w:rsid w:val="001E035B"/>
    <w:rsid w:val="001E0961"/>
    <w:rsid w:val="001E3EAE"/>
    <w:rsid w:val="001E6857"/>
    <w:rsid w:val="001E6F32"/>
    <w:rsid w:val="001F2145"/>
    <w:rsid w:val="001F6262"/>
    <w:rsid w:val="001F67B0"/>
    <w:rsid w:val="001F7B3D"/>
    <w:rsid w:val="00202752"/>
    <w:rsid w:val="0020335A"/>
    <w:rsid w:val="002052BC"/>
    <w:rsid w:val="00205F9F"/>
    <w:rsid w:val="00210338"/>
    <w:rsid w:val="002114EC"/>
    <w:rsid w:val="002115FC"/>
    <w:rsid w:val="0021423C"/>
    <w:rsid w:val="00230D00"/>
    <w:rsid w:val="00231DF7"/>
    <w:rsid w:val="00231FD1"/>
    <w:rsid w:val="002339E0"/>
    <w:rsid w:val="00233CF8"/>
    <w:rsid w:val="0023575D"/>
    <w:rsid w:val="00237148"/>
    <w:rsid w:val="0024222D"/>
    <w:rsid w:val="002422B6"/>
    <w:rsid w:val="00244B0E"/>
    <w:rsid w:val="00244F6C"/>
    <w:rsid w:val="00246B89"/>
    <w:rsid w:val="00252C4E"/>
    <w:rsid w:val="002532C5"/>
    <w:rsid w:val="00254DF2"/>
    <w:rsid w:val="00260C03"/>
    <w:rsid w:val="0026540E"/>
    <w:rsid w:val="00275123"/>
    <w:rsid w:val="00282240"/>
    <w:rsid w:val="00282BD8"/>
    <w:rsid w:val="00287AD5"/>
    <w:rsid w:val="002934D0"/>
    <w:rsid w:val="00293676"/>
    <w:rsid w:val="00293BD9"/>
    <w:rsid w:val="002948AD"/>
    <w:rsid w:val="002A01CC"/>
    <w:rsid w:val="002A613A"/>
    <w:rsid w:val="002A61B1"/>
    <w:rsid w:val="002A663C"/>
    <w:rsid w:val="002B444B"/>
    <w:rsid w:val="002B5887"/>
    <w:rsid w:val="002C0E27"/>
    <w:rsid w:val="002C3040"/>
    <w:rsid w:val="002C4433"/>
    <w:rsid w:val="002C7826"/>
    <w:rsid w:val="002D022D"/>
    <w:rsid w:val="002D24BB"/>
    <w:rsid w:val="002D2FA7"/>
    <w:rsid w:val="002D47BA"/>
    <w:rsid w:val="002D77B9"/>
    <w:rsid w:val="002D7D1C"/>
    <w:rsid w:val="002E46DA"/>
    <w:rsid w:val="002F2AF7"/>
    <w:rsid w:val="002F69C4"/>
    <w:rsid w:val="002F7D9E"/>
    <w:rsid w:val="002F7E1C"/>
    <w:rsid w:val="00301A75"/>
    <w:rsid w:val="00302F70"/>
    <w:rsid w:val="0030336F"/>
    <w:rsid w:val="0030375E"/>
    <w:rsid w:val="00312A30"/>
    <w:rsid w:val="003201D8"/>
    <w:rsid w:val="00320F72"/>
    <w:rsid w:val="0032463E"/>
    <w:rsid w:val="00326224"/>
    <w:rsid w:val="00337EE4"/>
    <w:rsid w:val="00340FFD"/>
    <w:rsid w:val="00343DA2"/>
    <w:rsid w:val="00345C41"/>
    <w:rsid w:val="003506B1"/>
    <w:rsid w:val="00355877"/>
    <w:rsid w:val="00356AC7"/>
    <w:rsid w:val="003609FA"/>
    <w:rsid w:val="003710C8"/>
    <w:rsid w:val="003750BE"/>
    <w:rsid w:val="00385A36"/>
    <w:rsid w:val="00385F3D"/>
    <w:rsid w:val="00387B9D"/>
    <w:rsid w:val="00387C70"/>
    <w:rsid w:val="00390294"/>
    <w:rsid w:val="0039364F"/>
    <w:rsid w:val="00396686"/>
    <w:rsid w:val="0039778E"/>
    <w:rsid w:val="003B4941"/>
    <w:rsid w:val="003C5714"/>
    <w:rsid w:val="003C6B9F"/>
    <w:rsid w:val="003C6E2A"/>
    <w:rsid w:val="003D0299"/>
    <w:rsid w:val="003D3194"/>
    <w:rsid w:val="003E6D80"/>
    <w:rsid w:val="003F05FA"/>
    <w:rsid w:val="003F244A"/>
    <w:rsid w:val="003F2517"/>
    <w:rsid w:val="003F30B8"/>
    <w:rsid w:val="003F4C45"/>
    <w:rsid w:val="003F5F7B"/>
    <w:rsid w:val="003F7D64"/>
    <w:rsid w:val="0040433A"/>
    <w:rsid w:val="00414300"/>
    <w:rsid w:val="00414F27"/>
    <w:rsid w:val="00415099"/>
    <w:rsid w:val="00420703"/>
    <w:rsid w:val="00425C67"/>
    <w:rsid w:val="00427E7A"/>
    <w:rsid w:val="004355AC"/>
    <w:rsid w:val="00436C49"/>
    <w:rsid w:val="004429FC"/>
    <w:rsid w:val="00443D98"/>
    <w:rsid w:val="00445366"/>
    <w:rsid w:val="00447F5B"/>
    <w:rsid w:val="00461DB0"/>
    <w:rsid w:val="00463926"/>
    <w:rsid w:val="00464AB7"/>
    <w:rsid w:val="00464C9A"/>
    <w:rsid w:val="00474F3D"/>
    <w:rsid w:val="00477E3A"/>
    <w:rsid w:val="00483E5F"/>
    <w:rsid w:val="00485FF9"/>
    <w:rsid w:val="0049049B"/>
    <w:rsid w:val="004907F0"/>
    <w:rsid w:val="0049140B"/>
    <w:rsid w:val="004923A5"/>
    <w:rsid w:val="0049310E"/>
    <w:rsid w:val="004950E2"/>
    <w:rsid w:val="00496BFB"/>
    <w:rsid w:val="004A15C7"/>
    <w:rsid w:val="004A3201"/>
    <w:rsid w:val="004A7044"/>
    <w:rsid w:val="004B013B"/>
    <w:rsid w:val="004B112B"/>
    <w:rsid w:val="004B444E"/>
    <w:rsid w:val="004C01E4"/>
    <w:rsid w:val="004C086C"/>
    <w:rsid w:val="004C1F56"/>
    <w:rsid w:val="004C27BC"/>
    <w:rsid w:val="004C6621"/>
    <w:rsid w:val="004D0EC7"/>
    <w:rsid w:val="004D15F3"/>
    <w:rsid w:val="004D3B3D"/>
    <w:rsid w:val="004D4EF1"/>
    <w:rsid w:val="004D5311"/>
    <w:rsid w:val="004D5DCC"/>
    <w:rsid w:val="004D7E45"/>
    <w:rsid w:val="004F10AF"/>
    <w:rsid w:val="004F11A4"/>
    <w:rsid w:val="004F2389"/>
    <w:rsid w:val="004F304D"/>
    <w:rsid w:val="004F4290"/>
    <w:rsid w:val="004F61BE"/>
    <w:rsid w:val="004F66B1"/>
    <w:rsid w:val="00511C07"/>
    <w:rsid w:val="005125CB"/>
    <w:rsid w:val="00512EC4"/>
    <w:rsid w:val="0051725A"/>
    <w:rsid w:val="005173A6"/>
    <w:rsid w:val="00520354"/>
    <w:rsid w:val="00520BAA"/>
    <w:rsid w:val="005217D8"/>
    <w:rsid w:val="00525208"/>
    <w:rsid w:val="005257A5"/>
    <w:rsid w:val="005264C0"/>
    <w:rsid w:val="00526A8A"/>
    <w:rsid w:val="00527FB1"/>
    <w:rsid w:val="00530FE6"/>
    <w:rsid w:val="00531DF2"/>
    <w:rsid w:val="0053315C"/>
    <w:rsid w:val="00537476"/>
    <w:rsid w:val="005442EE"/>
    <w:rsid w:val="00545DA6"/>
    <w:rsid w:val="00547353"/>
    <w:rsid w:val="005474E7"/>
    <w:rsid w:val="005512A3"/>
    <w:rsid w:val="005578CE"/>
    <w:rsid w:val="00562781"/>
    <w:rsid w:val="00562B6C"/>
    <w:rsid w:val="0057271C"/>
    <w:rsid w:val="00572845"/>
    <w:rsid w:val="005879A2"/>
    <w:rsid w:val="00592772"/>
    <w:rsid w:val="0059574A"/>
    <w:rsid w:val="005A1B9B"/>
    <w:rsid w:val="005A2E79"/>
    <w:rsid w:val="005A6751"/>
    <w:rsid w:val="005B092E"/>
    <w:rsid w:val="005B152C"/>
    <w:rsid w:val="005B1EE0"/>
    <w:rsid w:val="005B2B24"/>
    <w:rsid w:val="005B4425"/>
    <w:rsid w:val="005B4B94"/>
    <w:rsid w:val="005C3EE8"/>
    <w:rsid w:val="005D2F2A"/>
    <w:rsid w:val="005D34F9"/>
    <w:rsid w:val="005D4190"/>
    <w:rsid w:val="005D67A3"/>
    <w:rsid w:val="005E2988"/>
    <w:rsid w:val="005E3085"/>
    <w:rsid w:val="005F0EB3"/>
    <w:rsid w:val="005F51E1"/>
    <w:rsid w:val="00611C80"/>
    <w:rsid w:val="00620692"/>
    <w:rsid w:val="006242CA"/>
    <w:rsid w:val="00627507"/>
    <w:rsid w:val="00633717"/>
    <w:rsid w:val="006344E1"/>
    <w:rsid w:val="00643524"/>
    <w:rsid w:val="0064393B"/>
    <w:rsid w:val="00645CF2"/>
    <w:rsid w:val="006545C4"/>
    <w:rsid w:val="00661971"/>
    <w:rsid w:val="00661CE8"/>
    <w:rsid w:val="006623D9"/>
    <w:rsid w:val="006642A5"/>
    <w:rsid w:val="0066550C"/>
    <w:rsid w:val="00665BD2"/>
    <w:rsid w:val="006716F2"/>
    <w:rsid w:val="00675AF2"/>
    <w:rsid w:val="00682BF2"/>
    <w:rsid w:val="0068573E"/>
    <w:rsid w:val="006859CE"/>
    <w:rsid w:val="00691270"/>
    <w:rsid w:val="00694BA8"/>
    <w:rsid w:val="006A037C"/>
    <w:rsid w:val="006A36F4"/>
    <w:rsid w:val="006A406F"/>
    <w:rsid w:val="006A5D3A"/>
    <w:rsid w:val="006B1942"/>
    <w:rsid w:val="006C23D4"/>
    <w:rsid w:val="006C7BB0"/>
    <w:rsid w:val="006D3237"/>
    <w:rsid w:val="006E2E37"/>
    <w:rsid w:val="006E3CF1"/>
    <w:rsid w:val="006E68A3"/>
    <w:rsid w:val="006E7E80"/>
    <w:rsid w:val="006F1C2D"/>
    <w:rsid w:val="006F48CA"/>
    <w:rsid w:val="006F64DD"/>
    <w:rsid w:val="006F712D"/>
    <w:rsid w:val="00715127"/>
    <w:rsid w:val="00715E8E"/>
    <w:rsid w:val="00723580"/>
    <w:rsid w:val="00723755"/>
    <w:rsid w:val="0073136C"/>
    <w:rsid w:val="00731F0F"/>
    <w:rsid w:val="00733250"/>
    <w:rsid w:val="00741404"/>
    <w:rsid w:val="007449E5"/>
    <w:rsid w:val="0074750E"/>
    <w:rsid w:val="00747FF0"/>
    <w:rsid w:val="0075566E"/>
    <w:rsid w:val="00763602"/>
    <w:rsid w:val="00764D4E"/>
    <w:rsid w:val="00765A1F"/>
    <w:rsid w:val="00775B6D"/>
    <w:rsid w:val="00776D68"/>
    <w:rsid w:val="0078323E"/>
    <w:rsid w:val="007850EE"/>
    <w:rsid w:val="00785B95"/>
    <w:rsid w:val="00790E96"/>
    <w:rsid w:val="007926FD"/>
    <w:rsid w:val="00793366"/>
    <w:rsid w:val="0079666C"/>
    <w:rsid w:val="007A716F"/>
    <w:rsid w:val="007B270A"/>
    <w:rsid w:val="007B4182"/>
    <w:rsid w:val="007C0695"/>
    <w:rsid w:val="007C419A"/>
    <w:rsid w:val="007C4CC8"/>
    <w:rsid w:val="007C5426"/>
    <w:rsid w:val="007C5798"/>
    <w:rsid w:val="007D1ECD"/>
    <w:rsid w:val="007D3701"/>
    <w:rsid w:val="007D4832"/>
    <w:rsid w:val="007E21B2"/>
    <w:rsid w:val="007E2C4E"/>
    <w:rsid w:val="007E2C8C"/>
    <w:rsid w:val="007E51BA"/>
    <w:rsid w:val="007E73D7"/>
    <w:rsid w:val="007F1905"/>
    <w:rsid w:val="007F27E4"/>
    <w:rsid w:val="007F3437"/>
    <w:rsid w:val="00802C64"/>
    <w:rsid w:val="00805E52"/>
    <w:rsid w:val="008061D0"/>
    <w:rsid w:val="00810B38"/>
    <w:rsid w:val="008204C7"/>
    <w:rsid w:val="00820992"/>
    <w:rsid w:val="00823602"/>
    <w:rsid w:val="008255F5"/>
    <w:rsid w:val="0083014E"/>
    <w:rsid w:val="0083214A"/>
    <w:rsid w:val="00834220"/>
    <w:rsid w:val="00845723"/>
    <w:rsid w:val="008519E7"/>
    <w:rsid w:val="00851EF9"/>
    <w:rsid w:val="008577FD"/>
    <w:rsid w:val="00860B03"/>
    <w:rsid w:val="0086497A"/>
    <w:rsid w:val="00867066"/>
    <w:rsid w:val="008713A1"/>
    <w:rsid w:val="00872584"/>
    <w:rsid w:val="008754AB"/>
    <w:rsid w:val="0088060C"/>
    <w:rsid w:val="00882CD5"/>
    <w:rsid w:val="00883151"/>
    <w:rsid w:val="008864BB"/>
    <w:rsid w:val="00893576"/>
    <w:rsid w:val="00893E73"/>
    <w:rsid w:val="008A218A"/>
    <w:rsid w:val="008A6695"/>
    <w:rsid w:val="008B02DC"/>
    <w:rsid w:val="008B092C"/>
    <w:rsid w:val="008B57CE"/>
    <w:rsid w:val="008C26DE"/>
    <w:rsid w:val="008D2225"/>
    <w:rsid w:val="008D4752"/>
    <w:rsid w:val="008D5A13"/>
    <w:rsid w:val="008E271C"/>
    <w:rsid w:val="008E3A08"/>
    <w:rsid w:val="008E418E"/>
    <w:rsid w:val="008E5BC6"/>
    <w:rsid w:val="008E6217"/>
    <w:rsid w:val="008E6A25"/>
    <w:rsid w:val="008F2554"/>
    <w:rsid w:val="008F3AEC"/>
    <w:rsid w:val="008F4D80"/>
    <w:rsid w:val="008F5193"/>
    <w:rsid w:val="008F6B36"/>
    <w:rsid w:val="009013A7"/>
    <w:rsid w:val="009017FB"/>
    <w:rsid w:val="009017FC"/>
    <w:rsid w:val="0090506B"/>
    <w:rsid w:val="009050C9"/>
    <w:rsid w:val="009066FC"/>
    <w:rsid w:val="009140A3"/>
    <w:rsid w:val="009144A2"/>
    <w:rsid w:val="0091510C"/>
    <w:rsid w:val="009259AC"/>
    <w:rsid w:val="00926F38"/>
    <w:rsid w:val="00927BEB"/>
    <w:rsid w:val="009333DC"/>
    <w:rsid w:val="00934301"/>
    <w:rsid w:val="00936CD1"/>
    <w:rsid w:val="00941747"/>
    <w:rsid w:val="00941EFB"/>
    <w:rsid w:val="00947AFB"/>
    <w:rsid w:val="00951AA3"/>
    <w:rsid w:val="00951D7D"/>
    <w:rsid w:val="00956D0C"/>
    <w:rsid w:val="009630C7"/>
    <w:rsid w:val="00972B55"/>
    <w:rsid w:val="009743B7"/>
    <w:rsid w:val="0098228B"/>
    <w:rsid w:val="009828DA"/>
    <w:rsid w:val="0098410D"/>
    <w:rsid w:val="00985BAB"/>
    <w:rsid w:val="00986B3C"/>
    <w:rsid w:val="009966C7"/>
    <w:rsid w:val="009A115C"/>
    <w:rsid w:val="009B1606"/>
    <w:rsid w:val="009B1B5F"/>
    <w:rsid w:val="009B6673"/>
    <w:rsid w:val="009C191B"/>
    <w:rsid w:val="009C2BD6"/>
    <w:rsid w:val="009E1F32"/>
    <w:rsid w:val="009E2CC2"/>
    <w:rsid w:val="009E47A2"/>
    <w:rsid w:val="009E776C"/>
    <w:rsid w:val="009E7A6F"/>
    <w:rsid w:val="009F4C8F"/>
    <w:rsid w:val="00A02972"/>
    <w:rsid w:val="00A05588"/>
    <w:rsid w:val="00A15601"/>
    <w:rsid w:val="00A1726E"/>
    <w:rsid w:val="00A204CF"/>
    <w:rsid w:val="00A21D2B"/>
    <w:rsid w:val="00A22745"/>
    <w:rsid w:val="00A23D49"/>
    <w:rsid w:val="00A27004"/>
    <w:rsid w:val="00A308CE"/>
    <w:rsid w:val="00A30C29"/>
    <w:rsid w:val="00A34DD6"/>
    <w:rsid w:val="00A35683"/>
    <w:rsid w:val="00A36819"/>
    <w:rsid w:val="00A36989"/>
    <w:rsid w:val="00A41D86"/>
    <w:rsid w:val="00A43628"/>
    <w:rsid w:val="00A51D0F"/>
    <w:rsid w:val="00A54192"/>
    <w:rsid w:val="00A57147"/>
    <w:rsid w:val="00A6035E"/>
    <w:rsid w:val="00A6144C"/>
    <w:rsid w:val="00A66617"/>
    <w:rsid w:val="00A671F8"/>
    <w:rsid w:val="00A673A4"/>
    <w:rsid w:val="00A724AE"/>
    <w:rsid w:val="00A73329"/>
    <w:rsid w:val="00A82359"/>
    <w:rsid w:val="00A865D2"/>
    <w:rsid w:val="00A90BCD"/>
    <w:rsid w:val="00A94C20"/>
    <w:rsid w:val="00AA1B09"/>
    <w:rsid w:val="00AA227F"/>
    <w:rsid w:val="00AA3BC7"/>
    <w:rsid w:val="00AA754A"/>
    <w:rsid w:val="00AB099E"/>
    <w:rsid w:val="00AB4328"/>
    <w:rsid w:val="00AC4CD4"/>
    <w:rsid w:val="00AE0A2E"/>
    <w:rsid w:val="00AE354C"/>
    <w:rsid w:val="00AF4B07"/>
    <w:rsid w:val="00AF6186"/>
    <w:rsid w:val="00AF7A3A"/>
    <w:rsid w:val="00B02587"/>
    <w:rsid w:val="00B160DB"/>
    <w:rsid w:val="00B20836"/>
    <w:rsid w:val="00B235BB"/>
    <w:rsid w:val="00B27A44"/>
    <w:rsid w:val="00B30BBF"/>
    <w:rsid w:val="00B33C03"/>
    <w:rsid w:val="00B4421F"/>
    <w:rsid w:val="00B44E56"/>
    <w:rsid w:val="00B45917"/>
    <w:rsid w:val="00B46543"/>
    <w:rsid w:val="00B47D33"/>
    <w:rsid w:val="00B52BE0"/>
    <w:rsid w:val="00B54133"/>
    <w:rsid w:val="00B701ED"/>
    <w:rsid w:val="00B748F7"/>
    <w:rsid w:val="00B8086C"/>
    <w:rsid w:val="00B81C58"/>
    <w:rsid w:val="00B861B4"/>
    <w:rsid w:val="00B86DFE"/>
    <w:rsid w:val="00B90990"/>
    <w:rsid w:val="00B922FF"/>
    <w:rsid w:val="00B9281E"/>
    <w:rsid w:val="00B93925"/>
    <w:rsid w:val="00B95187"/>
    <w:rsid w:val="00BA2D55"/>
    <w:rsid w:val="00BA71B1"/>
    <w:rsid w:val="00BB0637"/>
    <w:rsid w:val="00BB345F"/>
    <w:rsid w:val="00BB68EA"/>
    <w:rsid w:val="00BC0B99"/>
    <w:rsid w:val="00BC1C27"/>
    <w:rsid w:val="00BC6BBF"/>
    <w:rsid w:val="00BD053C"/>
    <w:rsid w:val="00BD1572"/>
    <w:rsid w:val="00BE14E3"/>
    <w:rsid w:val="00BE3774"/>
    <w:rsid w:val="00BE41E5"/>
    <w:rsid w:val="00BF118F"/>
    <w:rsid w:val="00BF4109"/>
    <w:rsid w:val="00BF4CC3"/>
    <w:rsid w:val="00C054C7"/>
    <w:rsid w:val="00C057B5"/>
    <w:rsid w:val="00C07D0E"/>
    <w:rsid w:val="00C115C3"/>
    <w:rsid w:val="00C15547"/>
    <w:rsid w:val="00C1672D"/>
    <w:rsid w:val="00C22687"/>
    <w:rsid w:val="00C26A92"/>
    <w:rsid w:val="00C26B1C"/>
    <w:rsid w:val="00C32E4D"/>
    <w:rsid w:val="00C333A0"/>
    <w:rsid w:val="00C36A81"/>
    <w:rsid w:val="00C41974"/>
    <w:rsid w:val="00C44A2C"/>
    <w:rsid w:val="00C44F09"/>
    <w:rsid w:val="00C477F7"/>
    <w:rsid w:val="00C509A6"/>
    <w:rsid w:val="00C53F4A"/>
    <w:rsid w:val="00C54125"/>
    <w:rsid w:val="00C55B54"/>
    <w:rsid w:val="00C6098E"/>
    <w:rsid w:val="00C6152C"/>
    <w:rsid w:val="00C74810"/>
    <w:rsid w:val="00C806ED"/>
    <w:rsid w:val="00C90D68"/>
    <w:rsid w:val="00C939FE"/>
    <w:rsid w:val="00CA4BDA"/>
    <w:rsid w:val="00CB13E3"/>
    <w:rsid w:val="00CB1F66"/>
    <w:rsid w:val="00CB232C"/>
    <w:rsid w:val="00CB2951"/>
    <w:rsid w:val="00CB4277"/>
    <w:rsid w:val="00CC5067"/>
    <w:rsid w:val="00CD11D3"/>
    <w:rsid w:val="00CD282B"/>
    <w:rsid w:val="00CD447B"/>
    <w:rsid w:val="00CD4C35"/>
    <w:rsid w:val="00CD7369"/>
    <w:rsid w:val="00CE0B0E"/>
    <w:rsid w:val="00CE3831"/>
    <w:rsid w:val="00CF2397"/>
    <w:rsid w:val="00D00ABB"/>
    <w:rsid w:val="00D02EEC"/>
    <w:rsid w:val="00D03551"/>
    <w:rsid w:val="00D06A63"/>
    <w:rsid w:val="00D07E0E"/>
    <w:rsid w:val="00D10CD6"/>
    <w:rsid w:val="00D11478"/>
    <w:rsid w:val="00D15ED0"/>
    <w:rsid w:val="00D164BF"/>
    <w:rsid w:val="00D21B3E"/>
    <w:rsid w:val="00D21FED"/>
    <w:rsid w:val="00D23048"/>
    <w:rsid w:val="00D24251"/>
    <w:rsid w:val="00D26E72"/>
    <w:rsid w:val="00D343E2"/>
    <w:rsid w:val="00D361A2"/>
    <w:rsid w:val="00D37272"/>
    <w:rsid w:val="00D44C2E"/>
    <w:rsid w:val="00D45414"/>
    <w:rsid w:val="00D50A0A"/>
    <w:rsid w:val="00D53548"/>
    <w:rsid w:val="00D566BD"/>
    <w:rsid w:val="00D57A4D"/>
    <w:rsid w:val="00D60AA7"/>
    <w:rsid w:val="00D6435F"/>
    <w:rsid w:val="00D66471"/>
    <w:rsid w:val="00D70641"/>
    <w:rsid w:val="00D74888"/>
    <w:rsid w:val="00D75E28"/>
    <w:rsid w:val="00D772C2"/>
    <w:rsid w:val="00D8008E"/>
    <w:rsid w:val="00D82C45"/>
    <w:rsid w:val="00D908A8"/>
    <w:rsid w:val="00D977B6"/>
    <w:rsid w:val="00DA1223"/>
    <w:rsid w:val="00DA4A31"/>
    <w:rsid w:val="00DA7B04"/>
    <w:rsid w:val="00DB36C2"/>
    <w:rsid w:val="00DC169B"/>
    <w:rsid w:val="00DC2AB9"/>
    <w:rsid w:val="00DC63F0"/>
    <w:rsid w:val="00DD37EA"/>
    <w:rsid w:val="00DD6EE5"/>
    <w:rsid w:val="00DE386C"/>
    <w:rsid w:val="00DE4D35"/>
    <w:rsid w:val="00DF098B"/>
    <w:rsid w:val="00DF11C4"/>
    <w:rsid w:val="00DF210C"/>
    <w:rsid w:val="00DF4B6A"/>
    <w:rsid w:val="00E004C0"/>
    <w:rsid w:val="00E02C09"/>
    <w:rsid w:val="00E04D59"/>
    <w:rsid w:val="00E07DA1"/>
    <w:rsid w:val="00E123CB"/>
    <w:rsid w:val="00E13B09"/>
    <w:rsid w:val="00E20E13"/>
    <w:rsid w:val="00E21DBC"/>
    <w:rsid w:val="00E275D7"/>
    <w:rsid w:val="00E27DBE"/>
    <w:rsid w:val="00E32AB1"/>
    <w:rsid w:val="00E36C71"/>
    <w:rsid w:val="00E40404"/>
    <w:rsid w:val="00E4126A"/>
    <w:rsid w:val="00E42A06"/>
    <w:rsid w:val="00E459C6"/>
    <w:rsid w:val="00E47589"/>
    <w:rsid w:val="00E63EC7"/>
    <w:rsid w:val="00E64915"/>
    <w:rsid w:val="00E64D3A"/>
    <w:rsid w:val="00E661D4"/>
    <w:rsid w:val="00E67565"/>
    <w:rsid w:val="00E70091"/>
    <w:rsid w:val="00E70D2E"/>
    <w:rsid w:val="00E720F5"/>
    <w:rsid w:val="00E76D47"/>
    <w:rsid w:val="00E827BC"/>
    <w:rsid w:val="00E849F7"/>
    <w:rsid w:val="00E90302"/>
    <w:rsid w:val="00E91D05"/>
    <w:rsid w:val="00E95C1E"/>
    <w:rsid w:val="00E97396"/>
    <w:rsid w:val="00EA185E"/>
    <w:rsid w:val="00EA592A"/>
    <w:rsid w:val="00EB14E4"/>
    <w:rsid w:val="00EB32A5"/>
    <w:rsid w:val="00EB34ED"/>
    <w:rsid w:val="00EB447C"/>
    <w:rsid w:val="00EB7BE0"/>
    <w:rsid w:val="00EC315E"/>
    <w:rsid w:val="00ED077C"/>
    <w:rsid w:val="00ED10A9"/>
    <w:rsid w:val="00ED1190"/>
    <w:rsid w:val="00ED34AC"/>
    <w:rsid w:val="00ED6544"/>
    <w:rsid w:val="00EE0277"/>
    <w:rsid w:val="00EE2899"/>
    <w:rsid w:val="00EE3E00"/>
    <w:rsid w:val="00EE5DD2"/>
    <w:rsid w:val="00EF36C5"/>
    <w:rsid w:val="00EF3DB4"/>
    <w:rsid w:val="00F00A79"/>
    <w:rsid w:val="00F00D13"/>
    <w:rsid w:val="00F00E86"/>
    <w:rsid w:val="00F07C1E"/>
    <w:rsid w:val="00F105DB"/>
    <w:rsid w:val="00F132BC"/>
    <w:rsid w:val="00F13D80"/>
    <w:rsid w:val="00F15B4D"/>
    <w:rsid w:val="00F16A7C"/>
    <w:rsid w:val="00F16AAA"/>
    <w:rsid w:val="00F1709C"/>
    <w:rsid w:val="00F21161"/>
    <w:rsid w:val="00F218EF"/>
    <w:rsid w:val="00F21BC7"/>
    <w:rsid w:val="00F266A2"/>
    <w:rsid w:val="00F32269"/>
    <w:rsid w:val="00F34857"/>
    <w:rsid w:val="00F35B7A"/>
    <w:rsid w:val="00F56A6F"/>
    <w:rsid w:val="00F5709C"/>
    <w:rsid w:val="00F60B85"/>
    <w:rsid w:val="00F64EF1"/>
    <w:rsid w:val="00F72B14"/>
    <w:rsid w:val="00F7349B"/>
    <w:rsid w:val="00F8765F"/>
    <w:rsid w:val="00F90767"/>
    <w:rsid w:val="00F9263C"/>
    <w:rsid w:val="00FA1637"/>
    <w:rsid w:val="00FA685B"/>
    <w:rsid w:val="00FB0C01"/>
    <w:rsid w:val="00FB5934"/>
    <w:rsid w:val="00FC18F2"/>
    <w:rsid w:val="00FC2A17"/>
    <w:rsid w:val="00FC38CF"/>
    <w:rsid w:val="00FC39E5"/>
    <w:rsid w:val="00FC3A78"/>
    <w:rsid w:val="00FC57AD"/>
    <w:rsid w:val="00FD1005"/>
    <w:rsid w:val="00FD1F7F"/>
    <w:rsid w:val="00FD6C75"/>
    <w:rsid w:val="00FD7972"/>
    <w:rsid w:val="00FE0401"/>
    <w:rsid w:val="00FE71B3"/>
    <w:rsid w:val="00FF42C5"/>
    <w:rsid w:val="00FF7F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3ED3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8"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E67565"/>
    <w:rPr>
      <w:sz w:val="24"/>
      <w:szCs w:val="24"/>
      <w:lang w:val="en-GB"/>
    </w:rPr>
  </w:style>
  <w:style w:type="paragraph" w:styleId="Heading1">
    <w:name w:val="heading 1"/>
    <w:basedOn w:val="Normal"/>
    <w:next w:val="Normal"/>
    <w:link w:val="Heading1Char"/>
    <w:uiPriority w:val="98"/>
    <w:semiHidden/>
    <w:rsid w:val="00E67565"/>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8"/>
    <w:semiHidden/>
    <w:rsid w:val="00E67565"/>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8"/>
    <w:semiHidden/>
    <w:rsid w:val="00E67565"/>
    <w:pPr>
      <w:spacing w:before="200" w:line="271" w:lineRule="auto"/>
      <w:outlineLvl w:val="2"/>
    </w:pPr>
    <w:rPr>
      <w:rFonts w:asciiTheme="majorHAnsi" w:eastAsiaTheme="majorEastAsia" w:hAnsiTheme="majorHAnsi" w:cstheme="majorBidi"/>
      <w:b/>
      <w:bCs/>
      <w:color w:val="5F5F5F"/>
      <w:sz w:val="22"/>
      <w:szCs w:val="22"/>
    </w:rPr>
  </w:style>
  <w:style w:type="paragraph" w:styleId="Heading4">
    <w:name w:val="heading 4"/>
    <w:basedOn w:val="Normal"/>
    <w:next w:val="Normal"/>
    <w:link w:val="Heading4Char"/>
    <w:uiPriority w:val="98"/>
    <w:semiHidden/>
    <w:rsid w:val="00E67565"/>
    <w:pPr>
      <w:spacing w:before="200"/>
      <w:outlineLvl w:val="3"/>
    </w:pPr>
    <w:rPr>
      <w:rFonts w:asciiTheme="majorHAnsi" w:eastAsiaTheme="majorEastAsia" w:hAnsiTheme="majorHAnsi" w:cstheme="majorBidi"/>
      <w:b/>
      <w:bCs/>
      <w:i/>
      <w:iCs/>
      <w:color w:val="777777"/>
      <w:sz w:val="22"/>
      <w:szCs w:val="22"/>
    </w:rPr>
  </w:style>
  <w:style w:type="paragraph" w:styleId="Heading5">
    <w:name w:val="heading 5"/>
    <w:basedOn w:val="Normal"/>
    <w:next w:val="Normal"/>
    <w:link w:val="Heading5Char"/>
    <w:uiPriority w:val="98"/>
    <w:semiHidden/>
    <w:qFormat/>
    <w:rsid w:val="00E67565"/>
    <w:pPr>
      <w:spacing w:before="200"/>
      <w:outlineLvl w:val="4"/>
    </w:pPr>
    <w:rPr>
      <w:rFonts w:asciiTheme="majorHAnsi" w:eastAsiaTheme="majorEastAsia" w:hAnsiTheme="majorHAnsi" w:cstheme="majorBidi"/>
      <w:b/>
      <w:bCs/>
      <w:color w:val="808080"/>
      <w:sz w:val="22"/>
      <w:szCs w:val="22"/>
    </w:rPr>
  </w:style>
  <w:style w:type="paragraph" w:styleId="Heading6">
    <w:name w:val="heading 6"/>
    <w:basedOn w:val="Normal"/>
    <w:next w:val="Normal"/>
    <w:link w:val="Heading6Char"/>
    <w:uiPriority w:val="98"/>
    <w:semiHidden/>
    <w:rsid w:val="00E67565"/>
    <w:pPr>
      <w:spacing w:line="271" w:lineRule="auto"/>
      <w:outlineLvl w:val="5"/>
    </w:pPr>
    <w:rPr>
      <w:rFonts w:asciiTheme="majorHAnsi" w:eastAsiaTheme="majorEastAsia" w:hAnsiTheme="majorHAnsi" w:cstheme="majorBidi"/>
      <w:b/>
      <w:bCs/>
      <w:i/>
      <w:iCs/>
      <w:color w:val="7F7F7F" w:themeColor="text1" w:themeTint="80"/>
      <w:sz w:val="22"/>
      <w:szCs w:val="22"/>
      <w:lang w:bidi="en-US"/>
    </w:rPr>
  </w:style>
  <w:style w:type="paragraph" w:styleId="Heading7">
    <w:name w:val="heading 7"/>
    <w:basedOn w:val="Normal"/>
    <w:next w:val="Normal"/>
    <w:link w:val="Heading7Char"/>
    <w:uiPriority w:val="98"/>
    <w:semiHidden/>
    <w:qFormat/>
    <w:rsid w:val="00E67565"/>
    <w:pPr>
      <w:outlineLvl w:val="6"/>
    </w:pPr>
    <w:rPr>
      <w:rFonts w:asciiTheme="majorHAnsi" w:eastAsiaTheme="majorEastAsia" w:hAnsiTheme="majorHAnsi" w:cstheme="majorBidi"/>
      <w:i/>
      <w:iCs/>
      <w:sz w:val="22"/>
      <w:szCs w:val="22"/>
      <w:lang w:bidi="en-US"/>
    </w:rPr>
  </w:style>
  <w:style w:type="paragraph" w:styleId="Heading8">
    <w:name w:val="heading 8"/>
    <w:basedOn w:val="Normal"/>
    <w:next w:val="Normal"/>
    <w:link w:val="Heading8Char"/>
    <w:uiPriority w:val="98"/>
    <w:semiHidden/>
    <w:qFormat/>
    <w:rsid w:val="00E67565"/>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8"/>
    <w:semiHidden/>
    <w:qFormat/>
    <w:rsid w:val="00E67565"/>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8"/>
    <w:semiHidden/>
    <w:rsid w:val="00E67565"/>
    <w:rPr>
      <w:rFonts w:ascii="Tahoma" w:hAnsi="Tahoma" w:cs="Tahoma"/>
      <w:sz w:val="16"/>
      <w:szCs w:val="16"/>
    </w:rPr>
  </w:style>
  <w:style w:type="character" w:customStyle="1" w:styleId="BalloonTextChar">
    <w:name w:val="Balloon Text Char"/>
    <w:basedOn w:val="DefaultParagraphFont"/>
    <w:link w:val="BalloonText"/>
    <w:uiPriority w:val="98"/>
    <w:semiHidden/>
    <w:rsid w:val="00E67565"/>
    <w:rPr>
      <w:rFonts w:ascii="Tahoma" w:hAnsi="Tahoma" w:cs="Tahoma"/>
      <w:sz w:val="16"/>
      <w:szCs w:val="16"/>
      <w:lang w:val="en-GB"/>
    </w:rPr>
  </w:style>
  <w:style w:type="character" w:styleId="BookTitle">
    <w:name w:val="Book Title"/>
    <w:uiPriority w:val="98"/>
    <w:semiHidden/>
    <w:qFormat/>
    <w:rsid w:val="00E67565"/>
    <w:rPr>
      <w:i/>
      <w:iCs/>
      <w:smallCaps/>
      <w:spacing w:val="5"/>
    </w:rPr>
  </w:style>
  <w:style w:type="paragraph" w:customStyle="1" w:styleId="JuHeader">
    <w:name w:val="Ju_Header"/>
    <w:aliases w:val="_Header"/>
    <w:basedOn w:val="Header"/>
    <w:uiPriority w:val="29"/>
    <w:qFormat/>
    <w:rsid w:val="00E67565"/>
    <w:pPr>
      <w:tabs>
        <w:tab w:val="clear" w:pos="4536"/>
        <w:tab w:val="clear" w:pos="9072"/>
      </w:tabs>
      <w:jc w:val="center"/>
    </w:pPr>
    <w:rPr>
      <w:sz w:val="18"/>
    </w:rPr>
  </w:style>
  <w:style w:type="paragraph" w:customStyle="1" w:styleId="NormalJustified">
    <w:name w:val="Normal_Justified"/>
    <w:basedOn w:val="Normal"/>
    <w:semiHidden/>
    <w:rsid w:val="00E67565"/>
    <w:pPr>
      <w:jc w:val="both"/>
    </w:pPr>
  </w:style>
  <w:style w:type="character" w:styleId="Strong">
    <w:name w:val="Strong"/>
    <w:uiPriority w:val="98"/>
    <w:semiHidden/>
    <w:qFormat/>
    <w:rsid w:val="00E67565"/>
    <w:rPr>
      <w:b/>
      <w:bCs/>
    </w:rPr>
  </w:style>
  <w:style w:type="paragraph" w:styleId="NoSpacing">
    <w:name w:val="No Spacing"/>
    <w:basedOn w:val="Normal"/>
    <w:link w:val="NoSpacingChar"/>
    <w:uiPriority w:val="98"/>
    <w:semiHidden/>
    <w:qFormat/>
    <w:rsid w:val="00E67565"/>
  </w:style>
  <w:style w:type="character" w:customStyle="1" w:styleId="NoSpacingChar">
    <w:name w:val="No Spacing Char"/>
    <w:basedOn w:val="DefaultParagraphFont"/>
    <w:link w:val="NoSpacing"/>
    <w:uiPriority w:val="98"/>
    <w:semiHidden/>
    <w:rsid w:val="00E67565"/>
    <w:rPr>
      <w:sz w:val="24"/>
      <w:szCs w:val="24"/>
      <w:lang w:val="en-GB"/>
    </w:rPr>
  </w:style>
  <w:style w:type="paragraph" w:customStyle="1" w:styleId="JuQuot">
    <w:name w:val="Ju_Quot"/>
    <w:aliases w:val="_Quote"/>
    <w:basedOn w:val="NormalJustified"/>
    <w:uiPriority w:val="20"/>
    <w:qFormat/>
    <w:rsid w:val="00E67565"/>
    <w:pPr>
      <w:spacing w:before="120" w:after="120"/>
      <w:ind w:left="425" w:firstLine="142"/>
    </w:pPr>
    <w:rPr>
      <w:sz w:val="20"/>
    </w:rPr>
  </w:style>
  <w:style w:type="paragraph" w:customStyle="1" w:styleId="DummyStyle">
    <w:name w:val="Dummy_Style"/>
    <w:aliases w:val="_Dummy"/>
    <w:basedOn w:val="Normal"/>
    <w:semiHidden/>
    <w:qFormat/>
    <w:rsid w:val="00E67565"/>
    <w:rPr>
      <w:color w:val="00B050"/>
      <w:sz w:val="22"/>
    </w:rPr>
  </w:style>
  <w:style w:type="paragraph" w:customStyle="1" w:styleId="JuList">
    <w:name w:val="Ju_List"/>
    <w:aliases w:val="_List_1"/>
    <w:basedOn w:val="NormalJustified"/>
    <w:uiPriority w:val="23"/>
    <w:qFormat/>
    <w:rsid w:val="00E67565"/>
    <w:pPr>
      <w:numPr>
        <w:numId w:val="10"/>
      </w:numPr>
      <w:spacing w:before="280" w:after="60"/>
    </w:pPr>
  </w:style>
  <w:style w:type="paragraph" w:customStyle="1" w:styleId="JuLista">
    <w:name w:val="Ju_List_a"/>
    <w:aliases w:val="_List_2"/>
    <w:basedOn w:val="NormalJustified"/>
    <w:uiPriority w:val="23"/>
    <w:rsid w:val="00E67565"/>
    <w:pPr>
      <w:numPr>
        <w:ilvl w:val="1"/>
        <w:numId w:val="10"/>
      </w:numPr>
    </w:pPr>
  </w:style>
  <w:style w:type="paragraph" w:customStyle="1" w:styleId="JuListi">
    <w:name w:val="Ju_List_i"/>
    <w:aliases w:val="_List_3"/>
    <w:basedOn w:val="NormalJustified"/>
    <w:uiPriority w:val="23"/>
    <w:rsid w:val="00E67565"/>
    <w:pPr>
      <w:numPr>
        <w:ilvl w:val="2"/>
        <w:numId w:val="10"/>
      </w:numPr>
    </w:pPr>
  </w:style>
  <w:style w:type="paragraph" w:customStyle="1" w:styleId="JuHArticle">
    <w:name w:val="Ju_H_Article"/>
    <w:aliases w:val="_Title_Quote"/>
    <w:basedOn w:val="Normal"/>
    <w:next w:val="JuQuot"/>
    <w:uiPriority w:val="19"/>
    <w:qFormat/>
    <w:rsid w:val="00E67565"/>
    <w:pPr>
      <w:keepNext/>
      <w:spacing w:before="100" w:beforeAutospacing="1" w:after="120"/>
      <w:contextualSpacing/>
      <w:jc w:val="center"/>
    </w:pPr>
    <w:rPr>
      <w:b/>
      <w:sz w:val="20"/>
    </w:rPr>
  </w:style>
  <w:style w:type="paragraph" w:customStyle="1" w:styleId="DecHTitle">
    <w:name w:val="Dec_H_Title"/>
    <w:aliases w:val="_Title_1"/>
    <w:basedOn w:val="JuPara"/>
    <w:next w:val="JuPara"/>
    <w:uiPriority w:val="38"/>
    <w:qFormat/>
    <w:rsid w:val="00E67565"/>
    <w:pPr>
      <w:keepNext/>
      <w:keepLines/>
      <w:spacing w:after="240"/>
      <w:ind w:firstLine="0"/>
      <w:jc w:val="center"/>
      <w:outlineLvl w:val="0"/>
    </w:pPr>
    <w:rPr>
      <w:rFonts w:asciiTheme="majorHAnsi" w:hAnsiTheme="majorHAnsi"/>
      <w:sz w:val="28"/>
    </w:rPr>
  </w:style>
  <w:style w:type="paragraph" w:customStyle="1" w:styleId="ECHRCoverTitle4">
    <w:name w:val="ECHR_Cover_Title_4"/>
    <w:aliases w:val="_Title_4"/>
    <w:basedOn w:val="JuPara"/>
    <w:next w:val="JuPara"/>
    <w:uiPriority w:val="38"/>
    <w:qFormat/>
    <w:rsid w:val="00E67565"/>
    <w:pPr>
      <w:keepNext/>
      <w:keepLines/>
      <w:tabs>
        <w:tab w:val="right" w:pos="7938"/>
      </w:tabs>
      <w:ind w:firstLine="0"/>
      <w:jc w:val="center"/>
    </w:pPr>
    <w:rPr>
      <w:i/>
    </w:rPr>
  </w:style>
  <w:style w:type="paragraph" w:customStyle="1" w:styleId="JuHHead">
    <w:name w:val="Ju_H_Head"/>
    <w:aliases w:val="_Head_1"/>
    <w:basedOn w:val="Heading1"/>
    <w:next w:val="JuPara"/>
    <w:uiPriority w:val="17"/>
    <w:qFormat/>
    <w:rsid w:val="00E67565"/>
    <w:pPr>
      <w:keepNext/>
      <w:keepLines/>
      <w:numPr>
        <w:numId w:val="9"/>
      </w:numPr>
      <w:spacing w:before="100" w:beforeAutospacing="1" w:after="240"/>
      <w:contextualSpacing w:val="0"/>
      <w:jc w:val="both"/>
    </w:pPr>
    <w:rPr>
      <w:b w:val="0"/>
      <w:caps/>
      <w:color w:val="auto"/>
    </w:rPr>
  </w:style>
  <w:style w:type="numbering" w:customStyle="1" w:styleId="ECHRA1StyleBulletedSquare">
    <w:name w:val="ECHR_A1_Style_Bulleted_Square"/>
    <w:basedOn w:val="NoList"/>
    <w:rsid w:val="00E67565"/>
    <w:pPr>
      <w:numPr>
        <w:numId w:val="4"/>
      </w:numPr>
    </w:pPr>
  </w:style>
  <w:style w:type="paragraph" w:customStyle="1" w:styleId="JuSigned">
    <w:name w:val="Ju_Signed"/>
    <w:aliases w:val="_Signature"/>
    <w:basedOn w:val="Normal"/>
    <w:next w:val="JuPara"/>
    <w:uiPriority w:val="31"/>
    <w:qFormat/>
    <w:rsid w:val="00E67565"/>
    <w:pPr>
      <w:tabs>
        <w:tab w:val="center" w:pos="851"/>
        <w:tab w:val="center" w:pos="6407"/>
      </w:tabs>
      <w:spacing w:before="720"/>
    </w:pPr>
  </w:style>
  <w:style w:type="paragraph" w:styleId="Title">
    <w:name w:val="Title"/>
    <w:basedOn w:val="Normal"/>
    <w:next w:val="Normal"/>
    <w:link w:val="TitleChar"/>
    <w:uiPriority w:val="98"/>
    <w:semiHidden/>
    <w:qFormat/>
    <w:rsid w:val="00E67565"/>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8"/>
    <w:semiHidden/>
    <w:rsid w:val="00E67565"/>
    <w:rPr>
      <w:rFonts w:asciiTheme="majorHAnsi" w:eastAsiaTheme="majorEastAsia" w:hAnsiTheme="majorHAnsi" w:cstheme="majorBidi"/>
      <w:spacing w:val="5"/>
      <w:sz w:val="52"/>
      <w:szCs w:val="52"/>
      <w:lang w:val="en-GB" w:bidi="en-US"/>
    </w:rPr>
  </w:style>
  <w:style w:type="numbering" w:customStyle="1" w:styleId="ECHRA1StyleList">
    <w:name w:val="ECHR_A1_Style_List"/>
    <w:basedOn w:val="NoList"/>
    <w:uiPriority w:val="99"/>
    <w:rsid w:val="00E67565"/>
    <w:pPr>
      <w:numPr>
        <w:numId w:val="5"/>
      </w:numPr>
    </w:pPr>
  </w:style>
  <w:style w:type="numbering" w:customStyle="1" w:styleId="ECHRA1StyleNumberedList">
    <w:name w:val="ECHR_A1_Style_Numbered_List"/>
    <w:basedOn w:val="NoList"/>
    <w:rsid w:val="00E67565"/>
    <w:pPr>
      <w:numPr>
        <w:numId w:val="6"/>
      </w:numPr>
    </w:pPr>
  </w:style>
  <w:style w:type="table" w:customStyle="1" w:styleId="ECHRTable2019">
    <w:name w:val="ECHR_Table_2019"/>
    <w:basedOn w:val="TableNormal"/>
    <w:uiPriority w:val="99"/>
    <w:rsid w:val="00E67565"/>
    <w:rPr>
      <w:sz w:val="24"/>
      <w:szCs w:val="24"/>
    </w:rPr>
    <w:tblPr>
      <w:tblStyleRowBandSize w:val="1"/>
      <w:tblStyleColBandSize w:val="1"/>
      <w:jc w:val="center"/>
      <w:tblBorders>
        <w:top w:val="single" w:sz="4" w:space="0" w:color="5F5F5F" w:themeColor="accent3"/>
        <w:left w:val="single" w:sz="4" w:space="0" w:color="5F5F5F" w:themeColor="accent3"/>
        <w:bottom w:val="single" w:sz="4" w:space="0" w:color="5F5F5F" w:themeColor="accent3"/>
        <w:right w:val="single" w:sz="4" w:space="0" w:color="5F5F5F" w:themeColor="accent3"/>
        <w:insideH w:val="single" w:sz="4" w:space="0" w:color="5F5F5F" w:themeColor="accent3"/>
        <w:insideV w:val="single" w:sz="4" w:space="0" w:color="5F5F5F" w:themeColor="accent3"/>
      </w:tblBorders>
    </w:tblPr>
    <w:trPr>
      <w:jc w:val="center"/>
    </w:trPr>
    <w:tblStylePr w:type="firstRow">
      <w:rPr>
        <w:rFonts w:asciiTheme="majorHAnsi" w:hAnsiTheme="majorHAnsi"/>
        <w:b/>
        <w:i w:val="0"/>
        <w:color w:val="auto"/>
        <w:sz w:val="22"/>
      </w:rPr>
      <w:tblPr/>
      <w:tcPr>
        <w:shd w:val="clear" w:color="auto" w:fill="DFDFDF" w:themeFill="accent3" w:themeFillTint="33"/>
      </w:tcPr>
    </w:tblStylePr>
    <w:tblStylePr w:type="lastRow">
      <w:rPr>
        <w:b/>
        <w:i w:val="0"/>
      </w:rPr>
      <w:tblPr/>
      <w:tcPr>
        <w:tcBorders>
          <w:top w:val="single" w:sz="8" w:space="0" w:color="5F5F5F" w:themeColor="accent3"/>
          <w:left w:val="single" w:sz="4" w:space="0" w:color="5F5F5F" w:themeColor="accent3"/>
          <w:bottom w:val="single" w:sz="8" w:space="0" w:color="5F5F5F" w:themeColor="accent3"/>
          <w:right w:val="single" w:sz="4" w:space="0" w:color="5F5F5F" w:themeColor="accent3"/>
          <w:insideH w:val="nil"/>
          <w:insideV w:val="single" w:sz="4" w:space="0" w:color="5F5F5F" w:themeColor="accent3"/>
          <w:tl2br w:val="nil"/>
          <w:tr2bl w:val="nil"/>
        </w:tcBorders>
      </w:tcPr>
    </w:tblStylePr>
    <w:tblStylePr w:type="firstCol">
      <w:rPr>
        <w:rFonts w:asciiTheme="majorHAnsi" w:hAnsiTheme="majorHAnsi"/>
        <w:b/>
        <w:i w:val="0"/>
        <w:color w:val="3E3E3E" w:themeColor="background2" w:themeShade="40"/>
        <w:sz w:val="22"/>
      </w:rPr>
      <w:tblPr/>
      <w:tcPr>
        <w:tcBorders>
          <w:top w:val="single" w:sz="4" w:space="0" w:color="5F5F5F" w:themeColor="accent3"/>
          <w:left w:val="single" w:sz="4" w:space="0" w:color="5F5F5F" w:themeColor="accent3"/>
          <w:bottom w:val="single" w:sz="4" w:space="0" w:color="5F5F5F" w:themeColor="accent3"/>
          <w:right w:val="single" w:sz="4" w:space="0" w:color="5F5F5F" w:themeColor="accent3"/>
          <w:insideH w:val="nil"/>
          <w:insideV w:val="nil"/>
          <w:tl2br w:val="nil"/>
          <w:tr2bl w:val="nil"/>
        </w:tcBorders>
        <w:shd w:val="clear" w:color="auto" w:fill="F3F3F3" w:themeFill="text2" w:themeFillTint="33"/>
      </w:tcPr>
    </w:tblStylePr>
    <w:tblStylePr w:type="lastCol">
      <w:rPr>
        <w:b/>
        <w:i w:val="0"/>
      </w:rPr>
    </w:tblStylePr>
    <w:tblStylePr w:type="band2Vert">
      <w:tblPr/>
      <w:tcPr>
        <w:tcBorders>
          <w:top w:val="single" w:sz="4" w:space="0" w:color="5F5F5F" w:themeColor="accent3"/>
          <w:left w:val="single" w:sz="4" w:space="0" w:color="5F5F5F" w:themeColor="accent3"/>
          <w:bottom w:val="single" w:sz="4" w:space="0" w:color="5F5F5F" w:themeColor="accent3"/>
          <w:right w:val="single" w:sz="4" w:space="0" w:color="5F5F5F" w:themeColor="accent3"/>
          <w:insideH w:val="nil"/>
          <w:insideV w:val="nil"/>
          <w:tl2br w:val="nil"/>
          <w:tr2bl w:val="nil"/>
        </w:tcBorders>
        <w:shd w:val="clear" w:color="auto" w:fill="F3F3F3" w:themeFill="text2" w:themeFillTint="33"/>
      </w:tcPr>
    </w:tblStylePr>
    <w:tblStylePr w:type="band2Horz">
      <w:tblPr/>
      <w:tcPr>
        <w:tcBorders>
          <w:top w:val="single" w:sz="4" w:space="0" w:color="5F5F5F" w:themeColor="accent3"/>
          <w:left w:val="single" w:sz="4" w:space="0" w:color="5F5F5F" w:themeColor="accent3"/>
          <w:bottom w:val="single" w:sz="4" w:space="0" w:color="5F5F5F" w:themeColor="accent3"/>
          <w:right w:val="single" w:sz="4" w:space="0" w:color="5F5F5F" w:themeColor="accent3"/>
          <w:insideH w:val="single" w:sz="4" w:space="0" w:color="5F5F5F" w:themeColor="accent3"/>
          <w:insideV w:val="single" w:sz="4" w:space="0" w:color="5F5F5F" w:themeColor="accent3"/>
          <w:tl2br w:val="nil"/>
          <w:tr2bl w:val="nil"/>
        </w:tcBorders>
        <w:shd w:val="clear" w:color="auto" w:fill="F3F3F3" w:themeFill="text2" w:themeFillTint="33"/>
      </w:tcPr>
    </w:tblStylePr>
  </w:style>
  <w:style w:type="paragraph" w:customStyle="1" w:styleId="Footer">
    <w:name w:val="_Footer"/>
    <w:aliases w:val="Footer_"/>
    <w:basedOn w:val="Footer0"/>
    <w:uiPriority w:val="57"/>
    <w:semiHidden/>
    <w:rsid w:val="007D3701"/>
    <w:rPr>
      <w:sz w:val="8"/>
    </w:rPr>
  </w:style>
  <w:style w:type="paragraph" w:customStyle="1" w:styleId="JuCourt">
    <w:name w:val="Ju_Court"/>
    <w:aliases w:val="_Court_Names"/>
    <w:basedOn w:val="Normal"/>
    <w:next w:val="Normal"/>
    <w:uiPriority w:val="32"/>
    <w:qFormat/>
    <w:rsid w:val="00E67565"/>
    <w:pPr>
      <w:tabs>
        <w:tab w:val="left" w:pos="907"/>
        <w:tab w:val="left" w:pos="1701"/>
        <w:tab w:val="right" w:pos="7371"/>
      </w:tabs>
      <w:spacing w:before="240"/>
      <w:ind w:left="397" w:hanging="397"/>
    </w:pPr>
    <w:rPr>
      <w:lang w:bidi="en-US"/>
    </w:rPr>
  </w:style>
  <w:style w:type="paragraph" w:customStyle="1" w:styleId="JuHIRoman">
    <w:name w:val="Ju_H_I_Roman"/>
    <w:aliases w:val="_Head_2"/>
    <w:basedOn w:val="Heading2"/>
    <w:next w:val="JuPara"/>
    <w:uiPriority w:val="17"/>
    <w:qFormat/>
    <w:rsid w:val="00E67565"/>
    <w:pPr>
      <w:keepNext/>
      <w:keepLines/>
      <w:numPr>
        <w:ilvl w:val="1"/>
        <w:numId w:val="9"/>
      </w:numPr>
      <w:tabs>
        <w:tab w:val="left" w:pos="454"/>
        <w:tab w:val="left" w:pos="567"/>
        <w:tab w:val="left" w:pos="680"/>
      </w:tabs>
      <w:spacing w:before="100" w:beforeAutospacing="1" w:after="240"/>
      <w:jc w:val="both"/>
    </w:pPr>
    <w:rPr>
      <w:b w:val="0"/>
      <w:caps/>
      <w:color w:val="auto"/>
      <w:sz w:val="24"/>
    </w:rPr>
  </w:style>
  <w:style w:type="paragraph" w:customStyle="1" w:styleId="JuHA">
    <w:name w:val="Ju_H_A"/>
    <w:aliases w:val="_Head_3"/>
    <w:basedOn w:val="Heading3"/>
    <w:next w:val="JuPara"/>
    <w:uiPriority w:val="17"/>
    <w:qFormat/>
    <w:rsid w:val="00E67565"/>
    <w:pPr>
      <w:keepNext/>
      <w:keepLines/>
      <w:numPr>
        <w:ilvl w:val="2"/>
        <w:numId w:val="9"/>
      </w:numPr>
      <w:spacing w:before="100" w:beforeAutospacing="1" w:after="240" w:line="240" w:lineRule="auto"/>
      <w:jc w:val="both"/>
    </w:pPr>
    <w:rPr>
      <w:color w:val="auto"/>
      <w:sz w:val="24"/>
    </w:rPr>
  </w:style>
  <w:style w:type="paragraph" w:customStyle="1" w:styleId="JuH1">
    <w:name w:val="Ju_H_1."/>
    <w:aliases w:val="_Head_4"/>
    <w:basedOn w:val="Heading4"/>
    <w:next w:val="JuPara"/>
    <w:uiPriority w:val="17"/>
    <w:rsid w:val="00E67565"/>
    <w:pPr>
      <w:keepNext/>
      <w:keepLines/>
      <w:numPr>
        <w:ilvl w:val="3"/>
        <w:numId w:val="9"/>
      </w:numPr>
      <w:spacing w:before="100" w:beforeAutospacing="1" w:after="120"/>
      <w:jc w:val="both"/>
    </w:pPr>
    <w:rPr>
      <w:b w:val="0"/>
      <w:color w:val="auto"/>
      <w:sz w:val="24"/>
    </w:rPr>
  </w:style>
  <w:style w:type="paragraph" w:styleId="Header">
    <w:name w:val="header"/>
    <w:basedOn w:val="Normal"/>
    <w:link w:val="HeaderChar"/>
    <w:uiPriority w:val="98"/>
    <w:semiHidden/>
    <w:rsid w:val="00E67565"/>
    <w:pPr>
      <w:tabs>
        <w:tab w:val="center" w:pos="4536"/>
        <w:tab w:val="right" w:pos="9072"/>
      </w:tabs>
    </w:pPr>
  </w:style>
  <w:style w:type="character" w:customStyle="1" w:styleId="HeaderChar">
    <w:name w:val="Header Char"/>
    <w:basedOn w:val="DefaultParagraphFont"/>
    <w:link w:val="Header"/>
    <w:uiPriority w:val="98"/>
    <w:semiHidden/>
    <w:rsid w:val="00E67565"/>
    <w:rPr>
      <w:sz w:val="24"/>
      <w:szCs w:val="24"/>
      <w:lang w:val="en-GB"/>
    </w:rPr>
  </w:style>
  <w:style w:type="character" w:customStyle="1" w:styleId="Heading1Char">
    <w:name w:val="Heading 1 Char"/>
    <w:basedOn w:val="DefaultParagraphFont"/>
    <w:link w:val="Heading1"/>
    <w:uiPriority w:val="98"/>
    <w:semiHidden/>
    <w:rsid w:val="00E67565"/>
    <w:rPr>
      <w:rFonts w:asciiTheme="majorHAnsi" w:eastAsiaTheme="majorEastAsia" w:hAnsiTheme="majorHAnsi" w:cstheme="majorBidi"/>
      <w:b/>
      <w:bCs/>
      <w:color w:val="333333"/>
      <w:sz w:val="28"/>
      <w:szCs w:val="28"/>
      <w:lang w:val="en-GB"/>
    </w:rPr>
  </w:style>
  <w:style w:type="paragraph" w:customStyle="1" w:styleId="JuHa0">
    <w:name w:val="Ju_H_a"/>
    <w:aliases w:val="_Head_5"/>
    <w:basedOn w:val="Heading5"/>
    <w:next w:val="JuPara"/>
    <w:uiPriority w:val="17"/>
    <w:rsid w:val="00E67565"/>
    <w:pPr>
      <w:keepNext/>
      <w:keepLines/>
      <w:numPr>
        <w:ilvl w:val="4"/>
        <w:numId w:val="9"/>
      </w:numPr>
      <w:spacing w:before="100" w:beforeAutospacing="1" w:after="120"/>
      <w:jc w:val="both"/>
    </w:pPr>
    <w:rPr>
      <w:color w:val="auto"/>
      <w:sz w:val="20"/>
    </w:rPr>
  </w:style>
  <w:style w:type="paragraph" w:customStyle="1" w:styleId="JuHi">
    <w:name w:val="Ju_H_i"/>
    <w:aliases w:val="_Head_6"/>
    <w:basedOn w:val="Heading6"/>
    <w:next w:val="JuPara"/>
    <w:uiPriority w:val="17"/>
    <w:rsid w:val="00E67565"/>
    <w:pPr>
      <w:keepNext/>
      <w:keepLines/>
      <w:numPr>
        <w:ilvl w:val="5"/>
        <w:numId w:val="9"/>
      </w:numPr>
      <w:tabs>
        <w:tab w:val="left" w:pos="1077"/>
        <w:tab w:val="left" w:pos="1134"/>
        <w:tab w:val="left" w:pos="1191"/>
        <w:tab w:val="left" w:pos="1247"/>
      </w:tabs>
      <w:spacing w:before="100" w:beforeAutospacing="1" w:after="120"/>
      <w:jc w:val="both"/>
    </w:pPr>
    <w:rPr>
      <w:b w:val="0"/>
      <w:color w:val="auto"/>
      <w:sz w:val="20"/>
    </w:rPr>
  </w:style>
  <w:style w:type="character" w:customStyle="1" w:styleId="Heading2Char">
    <w:name w:val="Heading 2 Char"/>
    <w:basedOn w:val="DefaultParagraphFont"/>
    <w:link w:val="Heading2"/>
    <w:uiPriority w:val="98"/>
    <w:semiHidden/>
    <w:rsid w:val="00E67565"/>
    <w:rPr>
      <w:rFonts w:asciiTheme="majorHAnsi" w:eastAsiaTheme="majorEastAsia" w:hAnsiTheme="majorHAnsi" w:cstheme="majorBidi"/>
      <w:b/>
      <w:bCs/>
      <w:color w:val="4D4D4D"/>
      <w:sz w:val="26"/>
      <w:szCs w:val="26"/>
      <w:lang w:val="en-GB"/>
    </w:rPr>
  </w:style>
  <w:style w:type="paragraph" w:customStyle="1" w:styleId="JuHalpha">
    <w:name w:val="Ju_H_alpha"/>
    <w:aliases w:val="_Head_7"/>
    <w:basedOn w:val="Heading7"/>
    <w:next w:val="JuPara"/>
    <w:uiPriority w:val="17"/>
    <w:rsid w:val="00E67565"/>
    <w:pPr>
      <w:keepNext/>
      <w:keepLines/>
      <w:numPr>
        <w:ilvl w:val="6"/>
        <w:numId w:val="9"/>
      </w:numPr>
      <w:tabs>
        <w:tab w:val="left" w:pos="1361"/>
      </w:tabs>
      <w:spacing w:before="100" w:beforeAutospacing="1" w:after="120"/>
      <w:jc w:val="both"/>
    </w:pPr>
    <w:rPr>
      <w:i w:val="0"/>
      <w:sz w:val="20"/>
    </w:rPr>
  </w:style>
  <w:style w:type="paragraph" w:customStyle="1" w:styleId="JuH">
    <w:name w:val="Ju_H_–"/>
    <w:aliases w:val="_Head_8"/>
    <w:basedOn w:val="Heading8"/>
    <w:next w:val="JuPara"/>
    <w:uiPriority w:val="17"/>
    <w:rsid w:val="00E67565"/>
    <w:pPr>
      <w:keepNext/>
      <w:keepLines/>
      <w:numPr>
        <w:ilvl w:val="7"/>
        <w:numId w:val="9"/>
      </w:numPr>
      <w:spacing w:before="100" w:beforeAutospacing="1" w:after="120"/>
      <w:jc w:val="both"/>
    </w:pPr>
    <w:rPr>
      <w:i/>
    </w:rPr>
  </w:style>
  <w:style w:type="character" w:customStyle="1" w:styleId="Heading3Char">
    <w:name w:val="Heading 3 Char"/>
    <w:basedOn w:val="DefaultParagraphFont"/>
    <w:link w:val="Heading3"/>
    <w:uiPriority w:val="98"/>
    <w:semiHidden/>
    <w:rsid w:val="00E67565"/>
    <w:rPr>
      <w:rFonts w:asciiTheme="majorHAnsi" w:eastAsiaTheme="majorEastAsia" w:hAnsiTheme="majorHAnsi" w:cstheme="majorBidi"/>
      <w:b/>
      <w:bCs/>
      <w:color w:val="5F5F5F"/>
      <w:lang w:val="en-GB"/>
    </w:rPr>
  </w:style>
  <w:style w:type="paragraph" w:customStyle="1" w:styleId="JuParaLast">
    <w:name w:val="Ju_Para_Last"/>
    <w:aliases w:val="_Para_Spaced"/>
    <w:basedOn w:val="NormalJustified"/>
    <w:uiPriority w:val="5"/>
    <w:qFormat/>
    <w:rsid w:val="00E67565"/>
    <w:pPr>
      <w:keepNext/>
      <w:keepLines/>
      <w:spacing w:before="240" w:after="240"/>
      <w:ind w:firstLine="284"/>
    </w:pPr>
  </w:style>
  <w:style w:type="paragraph" w:customStyle="1" w:styleId="JuJudges">
    <w:name w:val="Ju_Judges"/>
    <w:aliases w:val="_Judges"/>
    <w:basedOn w:val="Normal"/>
    <w:uiPriority w:val="32"/>
    <w:qFormat/>
    <w:rsid w:val="00E67565"/>
    <w:pPr>
      <w:tabs>
        <w:tab w:val="left" w:pos="567"/>
        <w:tab w:val="left" w:pos="1134"/>
      </w:tabs>
    </w:pPr>
  </w:style>
  <w:style w:type="character" w:customStyle="1" w:styleId="Heading4Char">
    <w:name w:val="Heading 4 Char"/>
    <w:basedOn w:val="DefaultParagraphFont"/>
    <w:link w:val="Heading4"/>
    <w:uiPriority w:val="98"/>
    <w:semiHidden/>
    <w:rsid w:val="00E67565"/>
    <w:rPr>
      <w:rFonts w:asciiTheme="majorHAnsi" w:eastAsiaTheme="majorEastAsia" w:hAnsiTheme="majorHAnsi" w:cstheme="majorBidi"/>
      <w:b/>
      <w:bCs/>
      <w:i/>
      <w:iCs/>
      <w:color w:val="777777"/>
      <w:lang w:val="en-GB"/>
    </w:rPr>
  </w:style>
  <w:style w:type="paragraph" w:customStyle="1" w:styleId="JuInitialled">
    <w:name w:val="Ju_Initialled"/>
    <w:aliases w:val="_Right"/>
    <w:basedOn w:val="Normal"/>
    <w:uiPriority w:val="30"/>
    <w:qFormat/>
    <w:rsid w:val="00E67565"/>
    <w:pPr>
      <w:tabs>
        <w:tab w:val="center" w:pos="6407"/>
      </w:tabs>
      <w:spacing w:before="720"/>
      <w:jc w:val="right"/>
    </w:pPr>
  </w:style>
  <w:style w:type="character" w:customStyle="1" w:styleId="Heading5Char">
    <w:name w:val="Heading 5 Char"/>
    <w:basedOn w:val="DefaultParagraphFont"/>
    <w:link w:val="Heading5"/>
    <w:uiPriority w:val="98"/>
    <w:semiHidden/>
    <w:rsid w:val="00E67565"/>
    <w:rPr>
      <w:rFonts w:asciiTheme="majorHAnsi" w:eastAsiaTheme="majorEastAsia" w:hAnsiTheme="majorHAnsi" w:cstheme="majorBidi"/>
      <w:b/>
      <w:bCs/>
      <w:color w:val="808080"/>
      <w:lang w:val="en-GB"/>
    </w:rPr>
  </w:style>
  <w:style w:type="character" w:customStyle="1" w:styleId="JuITMark">
    <w:name w:val="Ju_ITMark"/>
    <w:aliases w:val="_ITMark"/>
    <w:basedOn w:val="DefaultParagraphFont"/>
    <w:uiPriority w:val="54"/>
    <w:qFormat/>
    <w:rsid w:val="00E67565"/>
    <w:rPr>
      <w:vanish w:val="0"/>
      <w:color w:val="auto"/>
      <w:sz w:val="14"/>
      <w:bdr w:val="none" w:sz="0" w:space="0" w:color="auto"/>
      <w:shd w:val="clear" w:color="auto" w:fill="BEE5FF" w:themeFill="background1" w:themeFillTint="33"/>
    </w:rPr>
  </w:style>
  <w:style w:type="character" w:customStyle="1" w:styleId="JUNAMES">
    <w:name w:val="JU_NAMES"/>
    <w:aliases w:val="_Ju_Names"/>
    <w:uiPriority w:val="33"/>
    <w:qFormat/>
    <w:rsid w:val="00E67565"/>
    <w:rPr>
      <w:caps w:val="0"/>
      <w:smallCaps/>
    </w:rPr>
  </w:style>
  <w:style w:type="character" w:styleId="SubtleEmphasis">
    <w:name w:val="Subtle Emphasis"/>
    <w:uiPriority w:val="98"/>
    <w:semiHidden/>
    <w:qFormat/>
    <w:rsid w:val="00E67565"/>
    <w:rPr>
      <w:i/>
      <w:iCs/>
    </w:rPr>
  </w:style>
  <w:style w:type="table" w:customStyle="1" w:styleId="ECHRTable">
    <w:name w:val="ECHR_Table"/>
    <w:basedOn w:val="TableNormal"/>
    <w:rsid w:val="00E67565"/>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E67565"/>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character" w:styleId="Emphasis">
    <w:name w:val="Emphasis"/>
    <w:uiPriority w:val="20"/>
    <w:qFormat/>
    <w:rsid w:val="00E67565"/>
    <w:rPr>
      <w:b/>
      <w:bCs/>
      <w:i/>
      <w:iCs/>
      <w:spacing w:val="10"/>
      <w:bdr w:val="none" w:sz="0" w:space="0" w:color="auto"/>
      <w:shd w:val="clear" w:color="auto" w:fill="auto"/>
    </w:rPr>
  </w:style>
  <w:style w:type="paragraph" w:styleId="Footer0">
    <w:name w:val="footer"/>
    <w:basedOn w:val="Normal"/>
    <w:link w:val="FooterChar"/>
    <w:uiPriority w:val="98"/>
    <w:semiHidden/>
    <w:rsid w:val="00E67565"/>
    <w:pPr>
      <w:tabs>
        <w:tab w:val="center" w:pos="3686"/>
        <w:tab w:val="right" w:pos="7371"/>
      </w:tabs>
    </w:pPr>
  </w:style>
  <w:style w:type="character" w:customStyle="1" w:styleId="FooterChar">
    <w:name w:val="Footer Char"/>
    <w:basedOn w:val="DefaultParagraphFont"/>
    <w:link w:val="Footer0"/>
    <w:uiPriority w:val="98"/>
    <w:semiHidden/>
    <w:rsid w:val="00E67565"/>
    <w:rPr>
      <w:sz w:val="24"/>
      <w:szCs w:val="24"/>
      <w:lang w:val="en-GB"/>
    </w:rPr>
  </w:style>
  <w:style w:type="character" w:styleId="FootnoteReference">
    <w:name w:val="footnote reference"/>
    <w:basedOn w:val="DefaultParagraphFont"/>
    <w:uiPriority w:val="98"/>
    <w:semiHidden/>
    <w:rsid w:val="00E67565"/>
    <w:rPr>
      <w:vertAlign w:val="superscript"/>
    </w:rPr>
  </w:style>
  <w:style w:type="paragraph" w:styleId="FootnoteText">
    <w:name w:val="footnote text"/>
    <w:basedOn w:val="Normal"/>
    <w:link w:val="FootnoteTextChar"/>
    <w:uiPriority w:val="98"/>
    <w:semiHidden/>
    <w:rsid w:val="00E67565"/>
    <w:rPr>
      <w:sz w:val="20"/>
      <w:szCs w:val="20"/>
    </w:rPr>
  </w:style>
  <w:style w:type="character" w:customStyle="1" w:styleId="FootnoteTextChar">
    <w:name w:val="Footnote Text Char"/>
    <w:basedOn w:val="DefaultParagraphFont"/>
    <w:link w:val="FootnoteText"/>
    <w:uiPriority w:val="98"/>
    <w:semiHidden/>
    <w:rsid w:val="00E67565"/>
    <w:rPr>
      <w:sz w:val="20"/>
      <w:szCs w:val="20"/>
      <w:lang w:val="en-GB"/>
    </w:rPr>
  </w:style>
  <w:style w:type="character" w:customStyle="1" w:styleId="Heading6Char">
    <w:name w:val="Heading 6 Char"/>
    <w:basedOn w:val="DefaultParagraphFont"/>
    <w:link w:val="Heading6"/>
    <w:uiPriority w:val="98"/>
    <w:semiHidden/>
    <w:rsid w:val="00E67565"/>
    <w:rPr>
      <w:rFonts w:asciiTheme="majorHAnsi" w:eastAsiaTheme="majorEastAsia" w:hAnsiTheme="majorHAnsi" w:cstheme="majorBidi"/>
      <w:b/>
      <w:bCs/>
      <w:i/>
      <w:iCs/>
      <w:color w:val="7F7F7F" w:themeColor="text1" w:themeTint="80"/>
      <w:lang w:val="en-GB" w:bidi="en-US"/>
    </w:rPr>
  </w:style>
  <w:style w:type="character" w:customStyle="1" w:styleId="Heading7Char">
    <w:name w:val="Heading 7 Char"/>
    <w:basedOn w:val="DefaultParagraphFont"/>
    <w:link w:val="Heading7"/>
    <w:uiPriority w:val="98"/>
    <w:semiHidden/>
    <w:rsid w:val="00E67565"/>
    <w:rPr>
      <w:rFonts w:asciiTheme="majorHAnsi" w:eastAsiaTheme="majorEastAsia" w:hAnsiTheme="majorHAnsi" w:cstheme="majorBidi"/>
      <w:i/>
      <w:iCs/>
      <w:lang w:val="en-GB" w:bidi="en-US"/>
    </w:rPr>
  </w:style>
  <w:style w:type="character" w:customStyle="1" w:styleId="Heading8Char">
    <w:name w:val="Heading 8 Char"/>
    <w:basedOn w:val="DefaultParagraphFont"/>
    <w:link w:val="Heading8"/>
    <w:uiPriority w:val="98"/>
    <w:semiHidden/>
    <w:rsid w:val="00E67565"/>
    <w:rPr>
      <w:rFonts w:asciiTheme="majorHAnsi" w:eastAsiaTheme="majorEastAsia" w:hAnsiTheme="majorHAnsi" w:cstheme="majorBidi"/>
      <w:sz w:val="20"/>
      <w:szCs w:val="20"/>
      <w:lang w:val="en-GB" w:bidi="en-US"/>
    </w:rPr>
  </w:style>
  <w:style w:type="character" w:customStyle="1" w:styleId="Heading9Char">
    <w:name w:val="Heading 9 Char"/>
    <w:basedOn w:val="DefaultParagraphFont"/>
    <w:link w:val="Heading9"/>
    <w:uiPriority w:val="98"/>
    <w:semiHidden/>
    <w:rsid w:val="00E67565"/>
    <w:rPr>
      <w:rFonts w:asciiTheme="majorHAnsi" w:eastAsiaTheme="majorEastAsia" w:hAnsiTheme="majorHAnsi" w:cstheme="majorBidi"/>
      <w:i/>
      <w:iCs/>
      <w:spacing w:val="5"/>
      <w:sz w:val="20"/>
      <w:szCs w:val="20"/>
      <w:lang w:val="en-GB" w:bidi="en-US"/>
    </w:rPr>
  </w:style>
  <w:style w:type="character" w:styleId="Hyperlink">
    <w:name w:val="Hyperlink"/>
    <w:basedOn w:val="DefaultParagraphFont"/>
    <w:uiPriority w:val="98"/>
    <w:semiHidden/>
    <w:rsid w:val="00E67565"/>
    <w:rPr>
      <w:color w:val="0072BC" w:themeColor="hyperlink"/>
      <w:u w:val="single"/>
    </w:rPr>
  </w:style>
  <w:style w:type="character" w:styleId="IntenseEmphasis">
    <w:name w:val="Intense Emphasis"/>
    <w:uiPriority w:val="98"/>
    <w:semiHidden/>
    <w:qFormat/>
    <w:rsid w:val="00E67565"/>
    <w:rPr>
      <w:b/>
      <w:bCs/>
    </w:rPr>
  </w:style>
  <w:style w:type="paragraph" w:styleId="IntenseQuote">
    <w:name w:val="Intense Quote"/>
    <w:basedOn w:val="Normal"/>
    <w:next w:val="Normal"/>
    <w:link w:val="IntenseQuoteChar"/>
    <w:uiPriority w:val="98"/>
    <w:semiHidden/>
    <w:qFormat/>
    <w:rsid w:val="00E67565"/>
    <w:pPr>
      <w:pBdr>
        <w:bottom w:val="single" w:sz="4" w:space="1" w:color="auto"/>
      </w:pBdr>
      <w:spacing w:before="200" w:after="280"/>
      <w:ind w:left="1008" w:right="1152"/>
    </w:pPr>
    <w:rPr>
      <w:b/>
      <w:bCs/>
      <w:i/>
      <w:iCs/>
      <w:lang w:bidi="en-US"/>
    </w:rPr>
  </w:style>
  <w:style w:type="character" w:customStyle="1" w:styleId="IntenseQuoteChar">
    <w:name w:val="Intense Quote Char"/>
    <w:basedOn w:val="DefaultParagraphFont"/>
    <w:link w:val="IntenseQuote"/>
    <w:uiPriority w:val="98"/>
    <w:semiHidden/>
    <w:rsid w:val="00E67565"/>
    <w:rPr>
      <w:b/>
      <w:bCs/>
      <w:i/>
      <w:iCs/>
      <w:sz w:val="24"/>
      <w:szCs w:val="24"/>
      <w:lang w:val="en-GB" w:bidi="en-US"/>
    </w:rPr>
  </w:style>
  <w:style w:type="character" w:styleId="IntenseReference">
    <w:name w:val="Intense Reference"/>
    <w:uiPriority w:val="98"/>
    <w:semiHidden/>
    <w:qFormat/>
    <w:rsid w:val="00E67565"/>
    <w:rPr>
      <w:smallCaps/>
      <w:spacing w:val="5"/>
      <w:u w:val="single"/>
    </w:rPr>
  </w:style>
  <w:style w:type="paragraph" w:styleId="ListParagraph">
    <w:name w:val="List Paragraph"/>
    <w:basedOn w:val="Normal"/>
    <w:uiPriority w:val="98"/>
    <w:semiHidden/>
    <w:qFormat/>
    <w:rsid w:val="00E67565"/>
    <w:pPr>
      <w:ind w:left="720"/>
      <w:contextualSpacing/>
    </w:pPr>
  </w:style>
  <w:style w:type="table" w:customStyle="1" w:styleId="LtrTableAddress">
    <w:name w:val="Ltr_Table_Address"/>
    <w:aliases w:val="ECHR_Ltr_Table_Address"/>
    <w:basedOn w:val="TableNormal"/>
    <w:uiPriority w:val="99"/>
    <w:rsid w:val="00E67565"/>
    <w:rPr>
      <w:sz w:val="24"/>
      <w:szCs w:val="24"/>
    </w:rPr>
    <w:tblPr>
      <w:tblInd w:w="5103" w:type="dxa"/>
    </w:tblPr>
  </w:style>
  <w:style w:type="paragraph" w:styleId="Quote">
    <w:name w:val="Quote"/>
    <w:basedOn w:val="Normal"/>
    <w:next w:val="Normal"/>
    <w:link w:val="QuoteChar"/>
    <w:uiPriority w:val="98"/>
    <w:semiHidden/>
    <w:qFormat/>
    <w:rsid w:val="00E67565"/>
    <w:pPr>
      <w:spacing w:before="200"/>
      <w:ind w:left="360" w:right="360"/>
    </w:pPr>
    <w:rPr>
      <w:i/>
      <w:iCs/>
      <w:lang w:bidi="en-US"/>
    </w:rPr>
  </w:style>
  <w:style w:type="character" w:customStyle="1" w:styleId="QuoteChar">
    <w:name w:val="Quote Char"/>
    <w:basedOn w:val="DefaultParagraphFont"/>
    <w:link w:val="Quote"/>
    <w:uiPriority w:val="98"/>
    <w:semiHidden/>
    <w:rsid w:val="00E67565"/>
    <w:rPr>
      <w:i/>
      <w:iCs/>
      <w:sz w:val="24"/>
      <w:szCs w:val="24"/>
      <w:lang w:val="en-GB" w:bidi="en-US"/>
    </w:rPr>
  </w:style>
  <w:style w:type="character" w:styleId="SubtleReference">
    <w:name w:val="Subtle Reference"/>
    <w:uiPriority w:val="98"/>
    <w:semiHidden/>
    <w:qFormat/>
    <w:rsid w:val="00E67565"/>
    <w:rPr>
      <w:smallCaps/>
    </w:rPr>
  </w:style>
  <w:style w:type="table" w:styleId="TableGrid">
    <w:name w:val="Table Grid"/>
    <w:basedOn w:val="TableNormal"/>
    <w:uiPriority w:val="59"/>
    <w:semiHidden/>
    <w:rsid w:val="00E67565"/>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8"/>
    <w:semiHidden/>
    <w:rsid w:val="00E67565"/>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8"/>
    <w:semiHidden/>
    <w:rsid w:val="00E67565"/>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8"/>
    <w:semiHidden/>
    <w:rsid w:val="00E67565"/>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8"/>
    <w:semiHidden/>
    <w:rsid w:val="00E67565"/>
    <w:pPr>
      <w:keepNext/>
      <w:tabs>
        <w:tab w:val="right" w:leader="dot" w:pos="7371"/>
      </w:tabs>
      <w:spacing w:after="60" w:line="240" w:lineRule="exact"/>
      <w:ind w:left="1361" w:right="567" w:hanging="340"/>
    </w:pPr>
    <w:rPr>
      <w:sz w:val="20"/>
    </w:rPr>
  </w:style>
  <w:style w:type="paragraph" w:styleId="TOC5">
    <w:name w:val="toc 5"/>
    <w:basedOn w:val="Normal"/>
    <w:next w:val="Normal"/>
    <w:autoRedefine/>
    <w:uiPriority w:val="98"/>
    <w:semiHidden/>
    <w:rsid w:val="00E67565"/>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8"/>
    <w:semiHidden/>
    <w:qFormat/>
    <w:rsid w:val="00E67565"/>
    <w:pPr>
      <w:keepNext/>
      <w:keepLines/>
      <w:spacing w:before="240"/>
      <w:contextualSpacing/>
      <w:jc w:val="center"/>
    </w:pPr>
    <w:rPr>
      <w:rFonts w:asciiTheme="majorHAnsi" w:hAnsiTheme="majorHAnsi"/>
      <w:b/>
      <w:color w:val="474747" w:themeColor="accent3" w:themeShade="BF"/>
      <w:sz w:val="28"/>
    </w:rPr>
  </w:style>
  <w:style w:type="table" w:customStyle="1" w:styleId="UGTable">
    <w:name w:val="UG_Table"/>
    <w:aliases w:val="ECHR_UG_Table"/>
    <w:basedOn w:val="TableNormal"/>
    <w:uiPriority w:val="99"/>
    <w:rsid w:val="00E67565"/>
    <w:rPr>
      <w:rFonts w:eastAsiaTheme="minorEastAsia"/>
      <w:sz w:val="20"/>
      <w:szCs w:val="24"/>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aliases w:val="ECHR_UG_Table_White_Box"/>
    <w:basedOn w:val="TableNormal"/>
    <w:uiPriority w:val="99"/>
    <w:rsid w:val="00E67565"/>
    <w:rPr>
      <w:rFonts w:eastAsiaTheme="minorEastAsia"/>
      <w:sz w:val="24"/>
      <w:szCs w:val="24"/>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aliases w:val="ECHR_PCF_Table_Style"/>
    <w:basedOn w:val="TableNormal"/>
    <w:uiPriority w:val="99"/>
    <w:rsid w:val="00E67565"/>
    <w:rPr>
      <w:color w:val="000000" w:themeColor="text1"/>
      <w:sz w:val="18"/>
      <w:szCs w:val="24"/>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E67565"/>
    <w:rPr>
      <w:color w:val="000000" w:themeColor="text1"/>
      <w:sz w:val="24"/>
      <w:szCs w:val="24"/>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E67565"/>
    <w:rPr>
      <w:sz w:val="24"/>
      <w:szCs w:val="24"/>
    </w:rPr>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basedOn w:val="TableNormal"/>
    <w:uiPriority w:val="99"/>
    <w:rsid w:val="00E67565"/>
    <w:rPr>
      <w:sz w:val="24"/>
      <w:szCs w:val="24"/>
    </w:rPr>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8"/>
    <w:semiHidden/>
    <w:rsid w:val="00E67565"/>
    <w:pPr>
      <w:keepNext/>
      <w:keepLines/>
      <w:spacing w:before="240"/>
      <w:contextualSpacing/>
      <w:jc w:val="center"/>
    </w:pPr>
    <w:rPr>
      <w:rFonts w:asciiTheme="majorHAnsi" w:eastAsiaTheme="majorEastAsia" w:hAnsiTheme="majorHAnsi" w:cstheme="majorBidi"/>
      <w:b/>
      <w:bCs/>
      <w:color w:val="474747" w:themeColor="accent3" w:themeShade="BF"/>
      <w:sz w:val="28"/>
    </w:rPr>
  </w:style>
  <w:style w:type="paragraph" w:styleId="Subtitle">
    <w:name w:val="Subtitle"/>
    <w:basedOn w:val="Normal"/>
    <w:next w:val="Normal"/>
    <w:link w:val="SubtitleChar"/>
    <w:uiPriority w:val="98"/>
    <w:semiHidden/>
    <w:qFormat/>
    <w:rsid w:val="00E67565"/>
    <w:pPr>
      <w:spacing w:after="600"/>
    </w:pPr>
    <w:rPr>
      <w:rFonts w:asciiTheme="majorHAnsi" w:eastAsiaTheme="majorEastAsia" w:hAnsiTheme="majorHAnsi" w:cstheme="majorBidi"/>
      <w:i/>
      <w:iCs/>
      <w:spacing w:val="13"/>
      <w:lang w:bidi="en-US"/>
    </w:rPr>
  </w:style>
  <w:style w:type="character" w:customStyle="1" w:styleId="SubtitleChar">
    <w:name w:val="Subtitle Char"/>
    <w:basedOn w:val="DefaultParagraphFont"/>
    <w:link w:val="Subtitle"/>
    <w:uiPriority w:val="98"/>
    <w:semiHidden/>
    <w:rsid w:val="00E67565"/>
    <w:rPr>
      <w:rFonts w:asciiTheme="majorHAnsi" w:eastAsiaTheme="majorEastAsia" w:hAnsiTheme="majorHAnsi" w:cstheme="majorBidi"/>
      <w:i/>
      <w:iCs/>
      <w:spacing w:val="13"/>
      <w:sz w:val="24"/>
      <w:szCs w:val="24"/>
      <w:lang w:val="en-GB" w:bidi="en-US"/>
    </w:rPr>
  </w:style>
  <w:style w:type="numbering" w:styleId="111111">
    <w:name w:val="Outline List 2"/>
    <w:basedOn w:val="NoList"/>
    <w:uiPriority w:val="99"/>
    <w:semiHidden/>
    <w:unhideWhenUsed/>
    <w:rsid w:val="00E67565"/>
    <w:pPr>
      <w:numPr>
        <w:numId w:val="1"/>
      </w:numPr>
    </w:pPr>
  </w:style>
  <w:style w:type="paragraph" w:customStyle="1" w:styleId="JuPara">
    <w:name w:val="Ju_Para"/>
    <w:aliases w:val="_Para"/>
    <w:basedOn w:val="NormalJustified"/>
    <w:link w:val="JuParaChar"/>
    <w:uiPriority w:val="4"/>
    <w:qFormat/>
    <w:rsid w:val="00E67565"/>
    <w:pPr>
      <w:ind w:firstLine="284"/>
    </w:pPr>
  </w:style>
  <w:style w:type="numbering" w:styleId="1ai">
    <w:name w:val="Outline List 1"/>
    <w:basedOn w:val="NoList"/>
    <w:uiPriority w:val="99"/>
    <w:semiHidden/>
    <w:unhideWhenUsed/>
    <w:rsid w:val="00E67565"/>
    <w:pPr>
      <w:numPr>
        <w:numId w:val="2"/>
      </w:numPr>
    </w:pPr>
  </w:style>
  <w:style w:type="table" w:customStyle="1" w:styleId="ECHRTableSimpleBox">
    <w:name w:val="ECHR_Table_Simple_Box"/>
    <w:basedOn w:val="TableNormal"/>
    <w:uiPriority w:val="99"/>
    <w:rsid w:val="00E67565"/>
    <w:rPr>
      <w:sz w:val="24"/>
      <w:szCs w:val="24"/>
    </w:rPr>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E67565"/>
    <w:rPr>
      <w:sz w:val="24"/>
      <w:szCs w:val="24"/>
    </w:rPr>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numbering" w:styleId="ArticleSection">
    <w:name w:val="Outline List 3"/>
    <w:basedOn w:val="NoList"/>
    <w:uiPriority w:val="99"/>
    <w:semiHidden/>
    <w:unhideWhenUsed/>
    <w:rsid w:val="00E67565"/>
    <w:pPr>
      <w:numPr>
        <w:numId w:val="3"/>
      </w:numPr>
    </w:pPr>
  </w:style>
  <w:style w:type="table" w:customStyle="1" w:styleId="ECHRTableForInternalUse">
    <w:name w:val="ECHR_Table_For_Internal_Use"/>
    <w:basedOn w:val="TableNormal"/>
    <w:uiPriority w:val="99"/>
    <w:rsid w:val="00E67565"/>
    <w:rPr>
      <w:color w:val="636363" w:themeColor="text2" w:themeShade="80"/>
      <w:sz w:val="18"/>
      <w:szCs w:val="24"/>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E67565"/>
    <w:rPr>
      <w:sz w:val="24"/>
      <w:szCs w:val="24"/>
    </w:rPr>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paragraph" w:styleId="Bibliography">
    <w:name w:val="Bibliography"/>
    <w:basedOn w:val="Normal"/>
    <w:next w:val="Normal"/>
    <w:uiPriority w:val="98"/>
    <w:semiHidden/>
    <w:rsid w:val="00E67565"/>
  </w:style>
  <w:style w:type="paragraph" w:styleId="BlockText">
    <w:name w:val="Block Text"/>
    <w:basedOn w:val="Normal"/>
    <w:uiPriority w:val="98"/>
    <w:semiHidden/>
    <w:rsid w:val="00E67565"/>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table" w:customStyle="1" w:styleId="ECHRHeaderTable">
    <w:name w:val="ECHR_Header_Table"/>
    <w:basedOn w:val="TableNormal"/>
    <w:uiPriority w:val="99"/>
    <w:rsid w:val="00E67565"/>
    <w:rPr>
      <w:sz w:val="24"/>
      <w:szCs w:val="24"/>
    </w:rPr>
    <w:tblPr>
      <w:tblInd w:w="-1474"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paragraph" w:styleId="BodyText">
    <w:name w:val="Body Text"/>
    <w:basedOn w:val="Normal"/>
    <w:link w:val="BodyTextChar"/>
    <w:uiPriority w:val="98"/>
    <w:semiHidden/>
    <w:rsid w:val="00E67565"/>
    <w:pPr>
      <w:spacing w:after="120"/>
    </w:pPr>
  </w:style>
  <w:style w:type="character" w:customStyle="1" w:styleId="BodyTextChar">
    <w:name w:val="Body Text Char"/>
    <w:basedOn w:val="DefaultParagraphFont"/>
    <w:link w:val="BodyText"/>
    <w:uiPriority w:val="98"/>
    <w:semiHidden/>
    <w:rsid w:val="00E67565"/>
    <w:rPr>
      <w:sz w:val="24"/>
      <w:szCs w:val="24"/>
      <w:lang w:val="en-GB"/>
    </w:rPr>
  </w:style>
  <w:style w:type="table" w:customStyle="1" w:styleId="ECHRTableOddBanded">
    <w:name w:val="ECHR_Table_Odd_Banded"/>
    <w:basedOn w:val="TableNormal"/>
    <w:uiPriority w:val="99"/>
    <w:rsid w:val="00E67565"/>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styleId="BodyText2">
    <w:name w:val="Body Text 2"/>
    <w:basedOn w:val="Normal"/>
    <w:link w:val="BodyText2Char"/>
    <w:uiPriority w:val="98"/>
    <w:semiHidden/>
    <w:rsid w:val="00E67565"/>
    <w:pPr>
      <w:spacing w:after="120" w:line="480" w:lineRule="auto"/>
    </w:pPr>
  </w:style>
  <w:style w:type="table" w:customStyle="1" w:styleId="ECHRHeaderTableReduced">
    <w:name w:val="ECHR_Header_Table_Reduced"/>
    <w:basedOn w:val="TableNormal"/>
    <w:uiPriority w:val="99"/>
    <w:rsid w:val="00E67565"/>
    <w:rPr>
      <w:sz w:val="24"/>
      <w:szCs w:val="24"/>
    </w:rPr>
    <w:tblPr>
      <w:tblInd w:w="-1474" w:type="dxa"/>
      <w:tblCellMar>
        <w:left w:w="0" w:type="dxa"/>
        <w:right w:w="0" w:type="dxa"/>
      </w:tblCellMar>
    </w:tblPr>
    <w:tcPr>
      <w:vAlign w:val="bottom"/>
    </w:tcPr>
    <w:tblStylePr w:type="firstRow">
      <w:rPr>
        <w:sz w:val="18"/>
      </w:rPr>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Case">
    <w:name w:val="Ju_Case"/>
    <w:aliases w:val="_Case_Name"/>
    <w:basedOn w:val="Normal"/>
    <w:next w:val="JuPara"/>
    <w:uiPriority w:val="32"/>
    <w:rsid w:val="00E67565"/>
    <w:pPr>
      <w:ind w:firstLine="284"/>
    </w:pPr>
    <w:rPr>
      <w:b/>
    </w:rPr>
  </w:style>
  <w:style w:type="character" w:styleId="PageNumber">
    <w:name w:val="page number"/>
    <w:uiPriority w:val="98"/>
    <w:semiHidden/>
    <w:rsid w:val="00E67565"/>
    <w:rPr>
      <w:sz w:val="18"/>
    </w:rPr>
  </w:style>
  <w:style w:type="paragraph" w:styleId="ListBullet">
    <w:name w:val="List Bullet"/>
    <w:basedOn w:val="Normal"/>
    <w:uiPriority w:val="98"/>
    <w:semiHidden/>
    <w:rsid w:val="00E67565"/>
    <w:pPr>
      <w:numPr>
        <w:numId w:val="11"/>
      </w:numPr>
    </w:pPr>
  </w:style>
  <w:style w:type="paragraph" w:styleId="ListBullet3">
    <w:name w:val="List Bullet 3"/>
    <w:basedOn w:val="Normal"/>
    <w:uiPriority w:val="98"/>
    <w:semiHidden/>
    <w:rsid w:val="00E67565"/>
    <w:pPr>
      <w:numPr>
        <w:numId w:val="13"/>
      </w:numPr>
      <w:contextualSpacing/>
    </w:pPr>
  </w:style>
  <w:style w:type="character" w:customStyle="1" w:styleId="BodyText2Char">
    <w:name w:val="Body Text 2 Char"/>
    <w:basedOn w:val="DefaultParagraphFont"/>
    <w:link w:val="BodyText2"/>
    <w:uiPriority w:val="98"/>
    <w:semiHidden/>
    <w:rsid w:val="00E67565"/>
    <w:rPr>
      <w:sz w:val="24"/>
      <w:szCs w:val="24"/>
      <w:lang w:val="en-GB"/>
    </w:rPr>
  </w:style>
  <w:style w:type="paragraph" w:styleId="BodyText3">
    <w:name w:val="Body Text 3"/>
    <w:basedOn w:val="Normal"/>
    <w:link w:val="BodyText3Char"/>
    <w:uiPriority w:val="98"/>
    <w:semiHidden/>
    <w:rsid w:val="00E67565"/>
    <w:pPr>
      <w:spacing w:after="120"/>
    </w:pPr>
    <w:rPr>
      <w:sz w:val="16"/>
      <w:szCs w:val="16"/>
    </w:rPr>
  </w:style>
  <w:style w:type="character" w:customStyle="1" w:styleId="BodyText3Char">
    <w:name w:val="Body Text 3 Char"/>
    <w:basedOn w:val="DefaultParagraphFont"/>
    <w:link w:val="BodyText3"/>
    <w:uiPriority w:val="98"/>
    <w:semiHidden/>
    <w:rsid w:val="00E67565"/>
    <w:rPr>
      <w:sz w:val="16"/>
      <w:szCs w:val="16"/>
      <w:lang w:val="en-GB"/>
    </w:rPr>
  </w:style>
  <w:style w:type="paragraph" w:styleId="BodyTextFirstIndent">
    <w:name w:val="Body Text First Indent"/>
    <w:basedOn w:val="BodyText"/>
    <w:link w:val="BodyTextFirstIndentChar"/>
    <w:uiPriority w:val="98"/>
    <w:semiHidden/>
    <w:rsid w:val="00E67565"/>
    <w:pPr>
      <w:spacing w:after="0"/>
      <w:ind w:firstLine="360"/>
    </w:pPr>
  </w:style>
  <w:style w:type="character" w:customStyle="1" w:styleId="BodyTextFirstIndentChar">
    <w:name w:val="Body Text First Indent Char"/>
    <w:basedOn w:val="BodyTextChar"/>
    <w:link w:val="BodyTextFirstIndent"/>
    <w:uiPriority w:val="98"/>
    <w:semiHidden/>
    <w:rsid w:val="00E67565"/>
    <w:rPr>
      <w:sz w:val="24"/>
      <w:szCs w:val="24"/>
      <w:lang w:val="en-GB"/>
    </w:rPr>
  </w:style>
  <w:style w:type="paragraph" w:styleId="BodyTextIndent">
    <w:name w:val="Body Text Indent"/>
    <w:basedOn w:val="Normal"/>
    <w:link w:val="BodyTextIndentChar"/>
    <w:uiPriority w:val="98"/>
    <w:semiHidden/>
    <w:rsid w:val="00E67565"/>
    <w:pPr>
      <w:spacing w:after="120"/>
      <w:ind w:left="283"/>
    </w:pPr>
  </w:style>
  <w:style w:type="character" w:customStyle="1" w:styleId="BodyTextIndentChar">
    <w:name w:val="Body Text Indent Char"/>
    <w:basedOn w:val="DefaultParagraphFont"/>
    <w:link w:val="BodyTextIndent"/>
    <w:uiPriority w:val="98"/>
    <w:semiHidden/>
    <w:rsid w:val="00E67565"/>
    <w:rPr>
      <w:sz w:val="24"/>
      <w:szCs w:val="24"/>
      <w:lang w:val="en-GB"/>
    </w:rPr>
  </w:style>
  <w:style w:type="paragraph" w:styleId="BodyTextFirstIndent2">
    <w:name w:val="Body Text First Indent 2"/>
    <w:basedOn w:val="BodyTextIndent"/>
    <w:link w:val="BodyTextFirstIndent2Char"/>
    <w:uiPriority w:val="98"/>
    <w:semiHidden/>
    <w:rsid w:val="00E67565"/>
    <w:pPr>
      <w:spacing w:after="0"/>
      <w:ind w:left="360" w:firstLine="360"/>
    </w:pPr>
  </w:style>
  <w:style w:type="character" w:customStyle="1" w:styleId="BodyTextFirstIndent2Char">
    <w:name w:val="Body Text First Indent 2 Char"/>
    <w:basedOn w:val="BodyTextIndentChar"/>
    <w:link w:val="BodyTextFirstIndent2"/>
    <w:uiPriority w:val="98"/>
    <w:semiHidden/>
    <w:rsid w:val="00E67565"/>
    <w:rPr>
      <w:sz w:val="24"/>
      <w:szCs w:val="24"/>
      <w:lang w:val="en-GB"/>
    </w:rPr>
  </w:style>
  <w:style w:type="paragraph" w:styleId="BodyTextIndent2">
    <w:name w:val="Body Text Indent 2"/>
    <w:basedOn w:val="Normal"/>
    <w:link w:val="BodyTextIndent2Char"/>
    <w:uiPriority w:val="98"/>
    <w:semiHidden/>
    <w:rsid w:val="00E67565"/>
    <w:pPr>
      <w:spacing w:after="120" w:line="480" w:lineRule="auto"/>
      <w:ind w:left="283"/>
    </w:pPr>
  </w:style>
  <w:style w:type="character" w:customStyle="1" w:styleId="BodyTextIndent2Char">
    <w:name w:val="Body Text Indent 2 Char"/>
    <w:basedOn w:val="DefaultParagraphFont"/>
    <w:link w:val="BodyTextIndent2"/>
    <w:uiPriority w:val="98"/>
    <w:semiHidden/>
    <w:rsid w:val="00E67565"/>
    <w:rPr>
      <w:sz w:val="24"/>
      <w:szCs w:val="24"/>
      <w:lang w:val="en-GB"/>
    </w:rPr>
  </w:style>
  <w:style w:type="paragraph" w:styleId="BodyTextIndent3">
    <w:name w:val="Body Text Indent 3"/>
    <w:basedOn w:val="Normal"/>
    <w:link w:val="BodyTextIndent3Char"/>
    <w:uiPriority w:val="98"/>
    <w:semiHidden/>
    <w:rsid w:val="00E67565"/>
    <w:pPr>
      <w:spacing w:after="120"/>
      <w:ind w:left="283"/>
    </w:pPr>
    <w:rPr>
      <w:sz w:val="16"/>
      <w:szCs w:val="16"/>
    </w:rPr>
  </w:style>
  <w:style w:type="character" w:customStyle="1" w:styleId="BodyTextIndent3Char">
    <w:name w:val="Body Text Indent 3 Char"/>
    <w:basedOn w:val="DefaultParagraphFont"/>
    <w:link w:val="BodyTextIndent3"/>
    <w:uiPriority w:val="98"/>
    <w:semiHidden/>
    <w:rsid w:val="00E67565"/>
    <w:rPr>
      <w:sz w:val="16"/>
      <w:szCs w:val="16"/>
      <w:lang w:val="en-GB"/>
    </w:rPr>
  </w:style>
  <w:style w:type="paragraph" w:styleId="Caption">
    <w:name w:val="caption"/>
    <w:basedOn w:val="Normal"/>
    <w:next w:val="Normal"/>
    <w:uiPriority w:val="98"/>
    <w:semiHidden/>
    <w:qFormat/>
    <w:rsid w:val="00E67565"/>
    <w:pPr>
      <w:spacing w:after="200"/>
    </w:pPr>
    <w:rPr>
      <w:b/>
      <w:bCs/>
      <w:color w:val="0072BC" w:themeColor="accent1"/>
      <w:sz w:val="18"/>
      <w:szCs w:val="18"/>
    </w:rPr>
  </w:style>
  <w:style w:type="paragraph" w:styleId="Closing">
    <w:name w:val="Closing"/>
    <w:basedOn w:val="Normal"/>
    <w:link w:val="ClosingChar"/>
    <w:uiPriority w:val="98"/>
    <w:semiHidden/>
    <w:rsid w:val="00E67565"/>
    <w:pPr>
      <w:ind w:left="4252"/>
    </w:pPr>
  </w:style>
  <w:style w:type="character" w:customStyle="1" w:styleId="ClosingChar">
    <w:name w:val="Closing Char"/>
    <w:basedOn w:val="DefaultParagraphFont"/>
    <w:link w:val="Closing"/>
    <w:uiPriority w:val="98"/>
    <w:semiHidden/>
    <w:rsid w:val="00E67565"/>
    <w:rPr>
      <w:sz w:val="24"/>
      <w:szCs w:val="24"/>
      <w:lang w:val="en-GB"/>
    </w:rPr>
  </w:style>
  <w:style w:type="table" w:styleId="ColorfulGrid">
    <w:name w:val="Colorful Grid"/>
    <w:basedOn w:val="TableNormal"/>
    <w:uiPriority w:val="73"/>
    <w:semiHidden/>
    <w:rsid w:val="00E67565"/>
    <w:rPr>
      <w:color w:val="000000" w:themeColor="text1"/>
      <w:sz w:val="24"/>
      <w:szCs w:val="24"/>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E67565"/>
    <w:rPr>
      <w:color w:val="000000" w:themeColor="text1"/>
      <w:sz w:val="24"/>
      <w:szCs w:val="24"/>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73"/>
    <w:semiHidden/>
    <w:rsid w:val="00E67565"/>
    <w:rPr>
      <w:color w:val="000000" w:themeColor="text1"/>
      <w:sz w:val="24"/>
      <w:szCs w:val="24"/>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73"/>
    <w:semiHidden/>
    <w:rsid w:val="00E67565"/>
    <w:rPr>
      <w:color w:val="000000" w:themeColor="text1"/>
      <w:sz w:val="24"/>
      <w:szCs w:val="24"/>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73"/>
    <w:semiHidden/>
    <w:rsid w:val="00E67565"/>
    <w:rPr>
      <w:color w:val="000000" w:themeColor="text1"/>
      <w:sz w:val="24"/>
      <w:szCs w:val="24"/>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73"/>
    <w:semiHidden/>
    <w:rsid w:val="00E67565"/>
    <w:rPr>
      <w:color w:val="000000" w:themeColor="text1"/>
      <w:sz w:val="24"/>
      <w:szCs w:val="24"/>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rsid w:val="00E67565"/>
    <w:rPr>
      <w:color w:val="000000" w:themeColor="text1"/>
      <w:sz w:val="24"/>
      <w:szCs w:val="24"/>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rsid w:val="00E67565"/>
    <w:rPr>
      <w:color w:val="000000" w:themeColor="text1"/>
      <w:sz w:val="24"/>
      <w:szCs w:val="24"/>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E67565"/>
    <w:rPr>
      <w:color w:val="000000" w:themeColor="text1"/>
      <w:sz w:val="24"/>
      <w:szCs w:val="24"/>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72"/>
    <w:semiHidden/>
    <w:rsid w:val="00E67565"/>
    <w:rPr>
      <w:color w:val="000000" w:themeColor="text1"/>
      <w:sz w:val="24"/>
      <w:szCs w:val="24"/>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72"/>
    <w:semiHidden/>
    <w:rsid w:val="00E67565"/>
    <w:rPr>
      <w:color w:val="000000" w:themeColor="text1"/>
      <w:sz w:val="24"/>
      <w:szCs w:val="24"/>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72"/>
    <w:semiHidden/>
    <w:rsid w:val="00E67565"/>
    <w:rPr>
      <w:color w:val="000000" w:themeColor="text1"/>
      <w:sz w:val="24"/>
      <w:szCs w:val="24"/>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72"/>
    <w:semiHidden/>
    <w:rsid w:val="00E67565"/>
    <w:rPr>
      <w:color w:val="000000" w:themeColor="text1"/>
      <w:sz w:val="24"/>
      <w:szCs w:val="24"/>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rsid w:val="00E67565"/>
    <w:rPr>
      <w:color w:val="000000" w:themeColor="text1"/>
      <w:sz w:val="24"/>
      <w:szCs w:val="24"/>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rsid w:val="00E67565"/>
    <w:rPr>
      <w:color w:val="000000" w:themeColor="text1"/>
      <w:sz w:val="24"/>
      <w:szCs w:val="24"/>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E67565"/>
    <w:rPr>
      <w:color w:val="000000" w:themeColor="text1"/>
      <w:sz w:val="24"/>
      <w:szCs w:val="24"/>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E67565"/>
    <w:rPr>
      <w:color w:val="000000" w:themeColor="text1"/>
      <w:sz w:val="24"/>
      <w:szCs w:val="24"/>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E67565"/>
    <w:rPr>
      <w:color w:val="000000" w:themeColor="text1"/>
      <w:sz w:val="24"/>
      <w:szCs w:val="24"/>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71"/>
    <w:semiHidden/>
    <w:rsid w:val="00E67565"/>
    <w:rPr>
      <w:color w:val="000000" w:themeColor="text1"/>
      <w:sz w:val="24"/>
      <w:szCs w:val="24"/>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E67565"/>
    <w:rPr>
      <w:color w:val="000000" w:themeColor="text1"/>
      <w:sz w:val="24"/>
      <w:szCs w:val="24"/>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E67565"/>
    <w:rPr>
      <w:color w:val="000000" w:themeColor="text1"/>
      <w:sz w:val="24"/>
      <w:szCs w:val="24"/>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8"/>
    <w:semiHidden/>
    <w:rsid w:val="00E67565"/>
    <w:rPr>
      <w:sz w:val="16"/>
      <w:szCs w:val="16"/>
    </w:rPr>
  </w:style>
  <w:style w:type="paragraph" w:styleId="CommentText">
    <w:name w:val="annotation text"/>
    <w:basedOn w:val="Normal"/>
    <w:link w:val="CommentTextChar"/>
    <w:uiPriority w:val="98"/>
    <w:semiHidden/>
    <w:rsid w:val="00E67565"/>
    <w:rPr>
      <w:sz w:val="20"/>
      <w:szCs w:val="20"/>
    </w:rPr>
  </w:style>
  <w:style w:type="character" w:customStyle="1" w:styleId="CommentTextChar">
    <w:name w:val="Comment Text Char"/>
    <w:basedOn w:val="DefaultParagraphFont"/>
    <w:link w:val="CommentText"/>
    <w:uiPriority w:val="98"/>
    <w:semiHidden/>
    <w:rsid w:val="00E67565"/>
    <w:rPr>
      <w:sz w:val="20"/>
      <w:szCs w:val="20"/>
      <w:lang w:val="en-GB"/>
    </w:rPr>
  </w:style>
  <w:style w:type="paragraph" w:styleId="CommentSubject">
    <w:name w:val="annotation subject"/>
    <w:basedOn w:val="CommentText"/>
    <w:next w:val="CommentText"/>
    <w:link w:val="CommentSubjectChar"/>
    <w:uiPriority w:val="98"/>
    <w:semiHidden/>
    <w:rsid w:val="00E67565"/>
    <w:rPr>
      <w:b/>
      <w:bCs/>
    </w:rPr>
  </w:style>
  <w:style w:type="character" w:customStyle="1" w:styleId="CommentSubjectChar">
    <w:name w:val="Comment Subject Char"/>
    <w:basedOn w:val="CommentTextChar"/>
    <w:link w:val="CommentSubject"/>
    <w:uiPriority w:val="98"/>
    <w:semiHidden/>
    <w:rsid w:val="00E67565"/>
    <w:rPr>
      <w:b/>
      <w:bCs/>
      <w:sz w:val="20"/>
      <w:szCs w:val="20"/>
      <w:lang w:val="en-GB"/>
    </w:rPr>
  </w:style>
  <w:style w:type="table" w:styleId="DarkList">
    <w:name w:val="Dark List"/>
    <w:basedOn w:val="TableNormal"/>
    <w:uiPriority w:val="70"/>
    <w:semiHidden/>
    <w:rsid w:val="00E67565"/>
    <w:rPr>
      <w:color w:val="0072BC" w:themeColor="background1"/>
      <w:sz w:val="24"/>
      <w:szCs w:val="24"/>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E67565"/>
    <w:rPr>
      <w:color w:val="0072BC" w:themeColor="background1"/>
      <w:sz w:val="24"/>
      <w:szCs w:val="24"/>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70"/>
    <w:semiHidden/>
    <w:rsid w:val="00E67565"/>
    <w:rPr>
      <w:color w:val="0072BC" w:themeColor="background1"/>
      <w:sz w:val="24"/>
      <w:szCs w:val="24"/>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70"/>
    <w:semiHidden/>
    <w:rsid w:val="00E67565"/>
    <w:rPr>
      <w:color w:val="0072BC" w:themeColor="background1"/>
      <w:sz w:val="24"/>
      <w:szCs w:val="24"/>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70"/>
    <w:semiHidden/>
    <w:rsid w:val="00E67565"/>
    <w:rPr>
      <w:color w:val="0072BC" w:themeColor="background1"/>
      <w:sz w:val="24"/>
      <w:szCs w:val="24"/>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70"/>
    <w:semiHidden/>
    <w:rsid w:val="00E67565"/>
    <w:rPr>
      <w:color w:val="0072BC" w:themeColor="background1"/>
      <w:sz w:val="24"/>
      <w:szCs w:val="24"/>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rsid w:val="00E67565"/>
    <w:rPr>
      <w:color w:val="0072BC" w:themeColor="background1"/>
      <w:sz w:val="24"/>
      <w:szCs w:val="24"/>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8"/>
    <w:semiHidden/>
    <w:rsid w:val="00E67565"/>
  </w:style>
  <w:style w:type="character" w:customStyle="1" w:styleId="DateChar">
    <w:name w:val="Date Char"/>
    <w:basedOn w:val="DefaultParagraphFont"/>
    <w:link w:val="Date"/>
    <w:uiPriority w:val="98"/>
    <w:semiHidden/>
    <w:rsid w:val="00E67565"/>
    <w:rPr>
      <w:sz w:val="24"/>
      <w:szCs w:val="24"/>
      <w:lang w:val="en-GB"/>
    </w:rPr>
  </w:style>
  <w:style w:type="paragraph" w:styleId="DocumentMap">
    <w:name w:val="Document Map"/>
    <w:basedOn w:val="Normal"/>
    <w:link w:val="DocumentMapChar"/>
    <w:uiPriority w:val="98"/>
    <w:semiHidden/>
    <w:rsid w:val="00E67565"/>
    <w:rPr>
      <w:rFonts w:ascii="Tahoma" w:hAnsi="Tahoma" w:cs="Tahoma"/>
      <w:sz w:val="16"/>
      <w:szCs w:val="16"/>
    </w:rPr>
  </w:style>
  <w:style w:type="character" w:customStyle="1" w:styleId="DocumentMapChar">
    <w:name w:val="Document Map Char"/>
    <w:basedOn w:val="DefaultParagraphFont"/>
    <w:link w:val="DocumentMap"/>
    <w:uiPriority w:val="98"/>
    <w:semiHidden/>
    <w:rsid w:val="00E67565"/>
    <w:rPr>
      <w:rFonts w:ascii="Tahoma" w:hAnsi="Tahoma" w:cs="Tahoma"/>
      <w:sz w:val="16"/>
      <w:szCs w:val="16"/>
      <w:lang w:val="en-GB"/>
    </w:rPr>
  </w:style>
  <w:style w:type="paragraph" w:styleId="E-mailSignature">
    <w:name w:val="E-mail Signature"/>
    <w:basedOn w:val="Normal"/>
    <w:link w:val="E-mailSignatureChar"/>
    <w:uiPriority w:val="98"/>
    <w:semiHidden/>
    <w:rsid w:val="00E67565"/>
  </w:style>
  <w:style w:type="character" w:customStyle="1" w:styleId="E-mailSignatureChar">
    <w:name w:val="E-mail Signature Char"/>
    <w:basedOn w:val="DefaultParagraphFont"/>
    <w:link w:val="E-mailSignature"/>
    <w:uiPriority w:val="98"/>
    <w:semiHidden/>
    <w:rsid w:val="00E67565"/>
    <w:rPr>
      <w:sz w:val="24"/>
      <w:szCs w:val="24"/>
      <w:lang w:val="en-GB"/>
    </w:rPr>
  </w:style>
  <w:style w:type="character" w:styleId="EndnoteReference">
    <w:name w:val="endnote reference"/>
    <w:basedOn w:val="DefaultParagraphFont"/>
    <w:uiPriority w:val="98"/>
    <w:semiHidden/>
    <w:rsid w:val="00E67565"/>
    <w:rPr>
      <w:vertAlign w:val="superscript"/>
    </w:rPr>
  </w:style>
  <w:style w:type="paragraph" w:styleId="EndnoteText">
    <w:name w:val="endnote text"/>
    <w:basedOn w:val="Normal"/>
    <w:link w:val="EndnoteTextChar"/>
    <w:uiPriority w:val="98"/>
    <w:semiHidden/>
    <w:rsid w:val="00E67565"/>
    <w:rPr>
      <w:sz w:val="20"/>
      <w:szCs w:val="20"/>
    </w:rPr>
  </w:style>
  <w:style w:type="character" w:customStyle="1" w:styleId="EndnoteTextChar">
    <w:name w:val="Endnote Text Char"/>
    <w:basedOn w:val="DefaultParagraphFont"/>
    <w:link w:val="EndnoteText"/>
    <w:uiPriority w:val="98"/>
    <w:semiHidden/>
    <w:rsid w:val="00E67565"/>
    <w:rPr>
      <w:sz w:val="20"/>
      <w:szCs w:val="20"/>
      <w:lang w:val="en-GB"/>
    </w:rPr>
  </w:style>
  <w:style w:type="paragraph" w:styleId="EnvelopeAddress">
    <w:name w:val="envelope address"/>
    <w:basedOn w:val="Normal"/>
    <w:uiPriority w:val="98"/>
    <w:semiHidden/>
    <w:rsid w:val="00E67565"/>
    <w:pPr>
      <w:framePr w:w="7938" w:h="1985" w:hRule="exact" w:hSpace="141" w:wrap="auto" w:hAnchor="page" w:xAlign="center" w:yAlign="bottom"/>
      <w:ind w:left="2835"/>
    </w:pPr>
    <w:rPr>
      <w:rFonts w:asciiTheme="majorHAnsi" w:eastAsiaTheme="majorEastAsia" w:hAnsiTheme="majorHAnsi" w:cstheme="majorBidi"/>
    </w:rPr>
  </w:style>
  <w:style w:type="paragraph" w:styleId="EnvelopeReturn">
    <w:name w:val="envelope return"/>
    <w:basedOn w:val="Normal"/>
    <w:uiPriority w:val="98"/>
    <w:semiHidden/>
    <w:rsid w:val="00E67565"/>
    <w:rPr>
      <w:rFonts w:asciiTheme="majorHAnsi" w:eastAsiaTheme="majorEastAsia" w:hAnsiTheme="majorHAnsi" w:cstheme="majorBidi"/>
      <w:sz w:val="20"/>
      <w:szCs w:val="20"/>
    </w:rPr>
  </w:style>
  <w:style w:type="character" w:styleId="FollowedHyperlink">
    <w:name w:val="FollowedHyperlink"/>
    <w:basedOn w:val="DefaultParagraphFont"/>
    <w:uiPriority w:val="98"/>
    <w:semiHidden/>
    <w:rsid w:val="00E67565"/>
    <w:rPr>
      <w:color w:val="7030A0" w:themeColor="followedHyperlink"/>
      <w:u w:val="single"/>
    </w:rPr>
  </w:style>
  <w:style w:type="character" w:styleId="HTMLAcronym">
    <w:name w:val="HTML Acronym"/>
    <w:basedOn w:val="DefaultParagraphFont"/>
    <w:uiPriority w:val="98"/>
    <w:semiHidden/>
    <w:rsid w:val="00E67565"/>
  </w:style>
  <w:style w:type="paragraph" w:styleId="HTMLAddress">
    <w:name w:val="HTML Address"/>
    <w:basedOn w:val="Normal"/>
    <w:link w:val="HTMLAddressChar"/>
    <w:uiPriority w:val="98"/>
    <w:semiHidden/>
    <w:rsid w:val="00E67565"/>
    <w:rPr>
      <w:i/>
      <w:iCs/>
    </w:rPr>
  </w:style>
  <w:style w:type="character" w:customStyle="1" w:styleId="HTMLAddressChar">
    <w:name w:val="HTML Address Char"/>
    <w:basedOn w:val="DefaultParagraphFont"/>
    <w:link w:val="HTMLAddress"/>
    <w:uiPriority w:val="98"/>
    <w:semiHidden/>
    <w:rsid w:val="00E67565"/>
    <w:rPr>
      <w:i/>
      <w:iCs/>
      <w:sz w:val="24"/>
      <w:szCs w:val="24"/>
      <w:lang w:val="en-GB"/>
    </w:rPr>
  </w:style>
  <w:style w:type="character" w:styleId="HTMLCite">
    <w:name w:val="HTML Cite"/>
    <w:basedOn w:val="DefaultParagraphFont"/>
    <w:uiPriority w:val="98"/>
    <w:semiHidden/>
    <w:rsid w:val="00E67565"/>
    <w:rPr>
      <w:i/>
      <w:iCs/>
    </w:rPr>
  </w:style>
  <w:style w:type="character" w:styleId="HTMLCode">
    <w:name w:val="HTML Code"/>
    <w:basedOn w:val="DefaultParagraphFont"/>
    <w:uiPriority w:val="98"/>
    <w:semiHidden/>
    <w:rsid w:val="00E67565"/>
    <w:rPr>
      <w:rFonts w:ascii="Consolas" w:hAnsi="Consolas" w:cs="Consolas"/>
      <w:sz w:val="20"/>
      <w:szCs w:val="20"/>
    </w:rPr>
  </w:style>
  <w:style w:type="character" w:styleId="HTMLDefinition">
    <w:name w:val="HTML Definition"/>
    <w:basedOn w:val="DefaultParagraphFont"/>
    <w:uiPriority w:val="98"/>
    <w:semiHidden/>
    <w:rsid w:val="00E67565"/>
    <w:rPr>
      <w:i/>
      <w:iCs/>
    </w:rPr>
  </w:style>
  <w:style w:type="character" w:styleId="HTMLKeyboard">
    <w:name w:val="HTML Keyboard"/>
    <w:basedOn w:val="DefaultParagraphFont"/>
    <w:uiPriority w:val="98"/>
    <w:semiHidden/>
    <w:rsid w:val="00E67565"/>
    <w:rPr>
      <w:rFonts w:ascii="Consolas" w:hAnsi="Consolas" w:cs="Consolas"/>
      <w:sz w:val="20"/>
      <w:szCs w:val="20"/>
    </w:rPr>
  </w:style>
  <w:style w:type="paragraph" w:styleId="HTMLPreformatted">
    <w:name w:val="HTML Preformatted"/>
    <w:basedOn w:val="Normal"/>
    <w:link w:val="HTMLPreformattedChar"/>
    <w:uiPriority w:val="98"/>
    <w:semiHidden/>
    <w:rsid w:val="00E67565"/>
    <w:rPr>
      <w:rFonts w:ascii="Consolas" w:hAnsi="Consolas" w:cs="Consolas"/>
      <w:sz w:val="20"/>
      <w:szCs w:val="20"/>
    </w:rPr>
  </w:style>
  <w:style w:type="character" w:customStyle="1" w:styleId="HTMLPreformattedChar">
    <w:name w:val="HTML Preformatted Char"/>
    <w:basedOn w:val="DefaultParagraphFont"/>
    <w:link w:val="HTMLPreformatted"/>
    <w:uiPriority w:val="98"/>
    <w:semiHidden/>
    <w:rsid w:val="00E67565"/>
    <w:rPr>
      <w:rFonts w:ascii="Consolas" w:hAnsi="Consolas" w:cs="Consolas"/>
      <w:sz w:val="20"/>
      <w:szCs w:val="20"/>
      <w:lang w:val="en-GB"/>
    </w:rPr>
  </w:style>
  <w:style w:type="character" w:styleId="HTMLSample">
    <w:name w:val="HTML Sample"/>
    <w:basedOn w:val="DefaultParagraphFont"/>
    <w:uiPriority w:val="98"/>
    <w:semiHidden/>
    <w:rsid w:val="00E67565"/>
    <w:rPr>
      <w:rFonts w:ascii="Consolas" w:hAnsi="Consolas" w:cs="Consolas"/>
      <w:sz w:val="24"/>
      <w:szCs w:val="24"/>
    </w:rPr>
  </w:style>
  <w:style w:type="character" w:styleId="HTMLTypewriter">
    <w:name w:val="HTML Typewriter"/>
    <w:basedOn w:val="DefaultParagraphFont"/>
    <w:uiPriority w:val="98"/>
    <w:semiHidden/>
    <w:rsid w:val="00E67565"/>
    <w:rPr>
      <w:rFonts w:ascii="Consolas" w:hAnsi="Consolas" w:cs="Consolas"/>
      <w:sz w:val="20"/>
      <w:szCs w:val="20"/>
    </w:rPr>
  </w:style>
  <w:style w:type="character" w:styleId="HTMLVariable">
    <w:name w:val="HTML Variable"/>
    <w:basedOn w:val="DefaultParagraphFont"/>
    <w:uiPriority w:val="98"/>
    <w:semiHidden/>
    <w:rsid w:val="00E67565"/>
    <w:rPr>
      <w:i/>
      <w:iCs/>
    </w:rPr>
  </w:style>
  <w:style w:type="paragraph" w:styleId="Index1">
    <w:name w:val="index 1"/>
    <w:basedOn w:val="Normal"/>
    <w:next w:val="Normal"/>
    <w:autoRedefine/>
    <w:uiPriority w:val="98"/>
    <w:semiHidden/>
    <w:rsid w:val="00E67565"/>
    <w:pPr>
      <w:ind w:left="240" w:hanging="240"/>
    </w:pPr>
  </w:style>
  <w:style w:type="paragraph" w:styleId="Index2">
    <w:name w:val="index 2"/>
    <w:basedOn w:val="Normal"/>
    <w:next w:val="Normal"/>
    <w:autoRedefine/>
    <w:uiPriority w:val="98"/>
    <w:semiHidden/>
    <w:rsid w:val="00E67565"/>
    <w:pPr>
      <w:ind w:left="480" w:hanging="240"/>
    </w:pPr>
  </w:style>
  <w:style w:type="paragraph" w:styleId="Index3">
    <w:name w:val="index 3"/>
    <w:basedOn w:val="Normal"/>
    <w:next w:val="Normal"/>
    <w:autoRedefine/>
    <w:uiPriority w:val="98"/>
    <w:semiHidden/>
    <w:rsid w:val="00E67565"/>
    <w:pPr>
      <w:ind w:left="720" w:hanging="240"/>
    </w:pPr>
  </w:style>
  <w:style w:type="paragraph" w:styleId="Index4">
    <w:name w:val="index 4"/>
    <w:basedOn w:val="Normal"/>
    <w:next w:val="Normal"/>
    <w:autoRedefine/>
    <w:uiPriority w:val="98"/>
    <w:semiHidden/>
    <w:rsid w:val="00E67565"/>
    <w:pPr>
      <w:ind w:left="960" w:hanging="240"/>
    </w:pPr>
  </w:style>
  <w:style w:type="paragraph" w:styleId="Index5">
    <w:name w:val="index 5"/>
    <w:basedOn w:val="Normal"/>
    <w:next w:val="Normal"/>
    <w:autoRedefine/>
    <w:uiPriority w:val="98"/>
    <w:semiHidden/>
    <w:rsid w:val="00E67565"/>
    <w:pPr>
      <w:ind w:left="1200" w:hanging="240"/>
    </w:pPr>
  </w:style>
  <w:style w:type="paragraph" w:styleId="Index6">
    <w:name w:val="index 6"/>
    <w:basedOn w:val="Normal"/>
    <w:next w:val="Normal"/>
    <w:autoRedefine/>
    <w:uiPriority w:val="98"/>
    <w:semiHidden/>
    <w:rsid w:val="00E67565"/>
    <w:pPr>
      <w:ind w:left="1440" w:hanging="240"/>
    </w:pPr>
  </w:style>
  <w:style w:type="paragraph" w:styleId="Index7">
    <w:name w:val="index 7"/>
    <w:basedOn w:val="Normal"/>
    <w:next w:val="Normal"/>
    <w:autoRedefine/>
    <w:uiPriority w:val="98"/>
    <w:semiHidden/>
    <w:rsid w:val="00E67565"/>
    <w:pPr>
      <w:ind w:left="1680" w:hanging="240"/>
    </w:pPr>
  </w:style>
  <w:style w:type="paragraph" w:styleId="Index8">
    <w:name w:val="index 8"/>
    <w:basedOn w:val="Normal"/>
    <w:next w:val="Normal"/>
    <w:autoRedefine/>
    <w:uiPriority w:val="98"/>
    <w:semiHidden/>
    <w:rsid w:val="00E67565"/>
    <w:pPr>
      <w:ind w:left="1920" w:hanging="240"/>
    </w:pPr>
  </w:style>
  <w:style w:type="paragraph" w:styleId="Index9">
    <w:name w:val="index 9"/>
    <w:basedOn w:val="Normal"/>
    <w:next w:val="Normal"/>
    <w:autoRedefine/>
    <w:uiPriority w:val="98"/>
    <w:semiHidden/>
    <w:rsid w:val="00E67565"/>
    <w:pPr>
      <w:ind w:left="2160" w:hanging="240"/>
    </w:pPr>
  </w:style>
  <w:style w:type="paragraph" w:styleId="IndexHeading">
    <w:name w:val="index heading"/>
    <w:basedOn w:val="Normal"/>
    <w:next w:val="Index1"/>
    <w:uiPriority w:val="98"/>
    <w:semiHidden/>
    <w:rsid w:val="00E67565"/>
    <w:rPr>
      <w:rFonts w:asciiTheme="majorHAnsi" w:eastAsiaTheme="majorEastAsia" w:hAnsiTheme="majorHAnsi" w:cstheme="majorBidi"/>
      <w:b/>
      <w:bCs/>
    </w:rPr>
  </w:style>
  <w:style w:type="table" w:styleId="LightGrid">
    <w:name w:val="Light Grid"/>
    <w:basedOn w:val="TableNormal"/>
    <w:uiPriority w:val="62"/>
    <w:semiHidden/>
    <w:rsid w:val="00E67565"/>
    <w:rPr>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E67565"/>
    <w:rPr>
      <w:sz w:val="24"/>
      <w:szCs w:val="24"/>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62"/>
    <w:semiHidden/>
    <w:rsid w:val="00E67565"/>
    <w:rPr>
      <w:sz w:val="24"/>
      <w:szCs w:val="24"/>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62"/>
    <w:semiHidden/>
    <w:rsid w:val="00E67565"/>
    <w:rPr>
      <w:sz w:val="24"/>
      <w:szCs w:val="24"/>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62"/>
    <w:semiHidden/>
    <w:rsid w:val="00E67565"/>
    <w:rPr>
      <w:sz w:val="24"/>
      <w:szCs w:val="24"/>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62"/>
    <w:semiHidden/>
    <w:rsid w:val="00E67565"/>
    <w:rPr>
      <w:sz w:val="24"/>
      <w:szCs w:val="24"/>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rsid w:val="00E67565"/>
    <w:rPr>
      <w:sz w:val="24"/>
      <w:szCs w:val="24"/>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rsid w:val="00E67565"/>
    <w:rPr>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E67565"/>
    <w:rPr>
      <w:sz w:val="24"/>
      <w:szCs w:val="24"/>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61"/>
    <w:semiHidden/>
    <w:rsid w:val="00E67565"/>
    <w:rPr>
      <w:sz w:val="24"/>
      <w:szCs w:val="24"/>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61"/>
    <w:semiHidden/>
    <w:rsid w:val="00E67565"/>
    <w:rPr>
      <w:sz w:val="24"/>
      <w:szCs w:val="24"/>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61"/>
    <w:semiHidden/>
    <w:rsid w:val="00E67565"/>
    <w:rPr>
      <w:sz w:val="24"/>
      <w:szCs w:val="24"/>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61"/>
    <w:semiHidden/>
    <w:rsid w:val="00E67565"/>
    <w:rPr>
      <w:sz w:val="24"/>
      <w:szCs w:val="24"/>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rsid w:val="00E67565"/>
    <w:rPr>
      <w:sz w:val="24"/>
      <w:szCs w:val="24"/>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rsid w:val="00E67565"/>
    <w:rPr>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E67565"/>
    <w:rPr>
      <w:color w:val="00548C" w:themeColor="accent1" w:themeShade="BF"/>
      <w:sz w:val="24"/>
      <w:szCs w:val="24"/>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60"/>
    <w:semiHidden/>
    <w:rsid w:val="00E67565"/>
    <w:rPr>
      <w:color w:val="8F0000" w:themeColor="accent2" w:themeShade="BF"/>
      <w:sz w:val="24"/>
      <w:szCs w:val="24"/>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60"/>
    <w:semiHidden/>
    <w:rsid w:val="00E67565"/>
    <w:rPr>
      <w:color w:val="474747" w:themeColor="accent3" w:themeShade="BF"/>
      <w:sz w:val="24"/>
      <w:szCs w:val="24"/>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60"/>
    <w:semiHidden/>
    <w:rsid w:val="00E67565"/>
    <w:rPr>
      <w:color w:val="707070" w:themeColor="accent4" w:themeShade="BF"/>
      <w:sz w:val="24"/>
      <w:szCs w:val="24"/>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60"/>
    <w:semiHidden/>
    <w:rsid w:val="00E67565"/>
    <w:rPr>
      <w:color w:val="474747" w:themeColor="accent5" w:themeShade="BF"/>
      <w:sz w:val="24"/>
      <w:szCs w:val="24"/>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rsid w:val="00E67565"/>
    <w:rPr>
      <w:color w:val="393939" w:themeColor="accent6" w:themeShade="BF"/>
      <w:sz w:val="24"/>
      <w:szCs w:val="24"/>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8"/>
    <w:semiHidden/>
    <w:rsid w:val="00E67565"/>
  </w:style>
  <w:style w:type="paragraph" w:styleId="List">
    <w:name w:val="List"/>
    <w:basedOn w:val="Normal"/>
    <w:uiPriority w:val="98"/>
    <w:semiHidden/>
    <w:rsid w:val="00E67565"/>
    <w:pPr>
      <w:ind w:left="283" w:hanging="283"/>
      <w:contextualSpacing/>
    </w:pPr>
  </w:style>
  <w:style w:type="paragraph" w:styleId="List2">
    <w:name w:val="List 2"/>
    <w:basedOn w:val="Normal"/>
    <w:uiPriority w:val="98"/>
    <w:semiHidden/>
    <w:rsid w:val="00E67565"/>
    <w:pPr>
      <w:ind w:left="566" w:hanging="283"/>
      <w:contextualSpacing/>
    </w:pPr>
  </w:style>
  <w:style w:type="paragraph" w:styleId="List3">
    <w:name w:val="List 3"/>
    <w:basedOn w:val="Normal"/>
    <w:uiPriority w:val="98"/>
    <w:semiHidden/>
    <w:rsid w:val="00E67565"/>
    <w:pPr>
      <w:ind w:left="849" w:hanging="283"/>
      <w:contextualSpacing/>
    </w:pPr>
  </w:style>
  <w:style w:type="paragraph" w:styleId="List4">
    <w:name w:val="List 4"/>
    <w:basedOn w:val="Normal"/>
    <w:uiPriority w:val="98"/>
    <w:semiHidden/>
    <w:rsid w:val="00E67565"/>
    <w:pPr>
      <w:ind w:left="1132" w:hanging="283"/>
      <w:contextualSpacing/>
    </w:pPr>
  </w:style>
  <w:style w:type="paragraph" w:styleId="List5">
    <w:name w:val="List 5"/>
    <w:basedOn w:val="Normal"/>
    <w:uiPriority w:val="98"/>
    <w:semiHidden/>
    <w:rsid w:val="00E67565"/>
    <w:pPr>
      <w:ind w:left="1415" w:hanging="283"/>
      <w:contextualSpacing/>
    </w:pPr>
  </w:style>
  <w:style w:type="paragraph" w:styleId="ListBullet2">
    <w:name w:val="List Bullet 2"/>
    <w:basedOn w:val="Normal"/>
    <w:uiPriority w:val="98"/>
    <w:semiHidden/>
    <w:rsid w:val="00E67565"/>
    <w:pPr>
      <w:numPr>
        <w:numId w:val="12"/>
      </w:numPr>
      <w:contextualSpacing/>
    </w:pPr>
  </w:style>
  <w:style w:type="paragraph" w:styleId="ListBullet4">
    <w:name w:val="List Bullet 4"/>
    <w:basedOn w:val="Normal"/>
    <w:uiPriority w:val="98"/>
    <w:semiHidden/>
    <w:rsid w:val="00E67565"/>
    <w:pPr>
      <w:numPr>
        <w:numId w:val="14"/>
      </w:numPr>
      <w:contextualSpacing/>
    </w:pPr>
  </w:style>
  <w:style w:type="paragraph" w:styleId="ListBullet5">
    <w:name w:val="List Bullet 5"/>
    <w:basedOn w:val="Normal"/>
    <w:uiPriority w:val="98"/>
    <w:semiHidden/>
    <w:rsid w:val="00E67565"/>
    <w:pPr>
      <w:numPr>
        <w:numId w:val="15"/>
      </w:numPr>
      <w:contextualSpacing/>
    </w:pPr>
  </w:style>
  <w:style w:type="paragraph" w:styleId="ListContinue">
    <w:name w:val="List Continue"/>
    <w:basedOn w:val="Normal"/>
    <w:uiPriority w:val="98"/>
    <w:semiHidden/>
    <w:rsid w:val="00E67565"/>
    <w:pPr>
      <w:spacing w:after="120"/>
      <w:ind w:left="283"/>
      <w:contextualSpacing/>
    </w:pPr>
  </w:style>
  <w:style w:type="paragraph" w:styleId="ListContinue2">
    <w:name w:val="List Continue 2"/>
    <w:basedOn w:val="Normal"/>
    <w:uiPriority w:val="98"/>
    <w:semiHidden/>
    <w:rsid w:val="00E67565"/>
    <w:pPr>
      <w:spacing w:after="120"/>
      <w:ind w:left="566"/>
      <w:contextualSpacing/>
    </w:pPr>
  </w:style>
  <w:style w:type="paragraph" w:styleId="ListContinue3">
    <w:name w:val="List Continue 3"/>
    <w:basedOn w:val="Normal"/>
    <w:uiPriority w:val="98"/>
    <w:semiHidden/>
    <w:rsid w:val="00E67565"/>
    <w:pPr>
      <w:spacing w:after="120"/>
      <w:ind w:left="849"/>
      <w:contextualSpacing/>
    </w:pPr>
  </w:style>
  <w:style w:type="paragraph" w:styleId="ListContinue4">
    <w:name w:val="List Continue 4"/>
    <w:basedOn w:val="Normal"/>
    <w:uiPriority w:val="98"/>
    <w:semiHidden/>
    <w:rsid w:val="00E67565"/>
    <w:pPr>
      <w:spacing w:after="120"/>
      <w:ind w:left="1132"/>
      <w:contextualSpacing/>
    </w:pPr>
  </w:style>
  <w:style w:type="paragraph" w:styleId="ListContinue5">
    <w:name w:val="List Continue 5"/>
    <w:basedOn w:val="Normal"/>
    <w:uiPriority w:val="98"/>
    <w:semiHidden/>
    <w:rsid w:val="00E67565"/>
    <w:pPr>
      <w:spacing w:after="120"/>
      <w:ind w:left="1415"/>
      <w:contextualSpacing/>
    </w:pPr>
  </w:style>
  <w:style w:type="paragraph" w:styleId="ListNumber">
    <w:name w:val="List Number"/>
    <w:basedOn w:val="Normal"/>
    <w:uiPriority w:val="98"/>
    <w:semiHidden/>
    <w:rsid w:val="00E67565"/>
    <w:pPr>
      <w:numPr>
        <w:numId w:val="16"/>
      </w:numPr>
      <w:contextualSpacing/>
    </w:pPr>
  </w:style>
  <w:style w:type="paragraph" w:styleId="ListNumber2">
    <w:name w:val="List Number 2"/>
    <w:basedOn w:val="Normal"/>
    <w:uiPriority w:val="98"/>
    <w:semiHidden/>
    <w:rsid w:val="00E67565"/>
    <w:pPr>
      <w:numPr>
        <w:numId w:val="17"/>
      </w:numPr>
      <w:contextualSpacing/>
    </w:pPr>
  </w:style>
  <w:style w:type="paragraph" w:styleId="ListNumber3">
    <w:name w:val="List Number 3"/>
    <w:basedOn w:val="Normal"/>
    <w:uiPriority w:val="98"/>
    <w:semiHidden/>
    <w:rsid w:val="00E67565"/>
    <w:pPr>
      <w:numPr>
        <w:numId w:val="18"/>
      </w:numPr>
      <w:contextualSpacing/>
    </w:pPr>
  </w:style>
  <w:style w:type="paragraph" w:styleId="ListNumber4">
    <w:name w:val="List Number 4"/>
    <w:basedOn w:val="Normal"/>
    <w:uiPriority w:val="98"/>
    <w:semiHidden/>
    <w:rsid w:val="00E67565"/>
    <w:pPr>
      <w:numPr>
        <w:numId w:val="19"/>
      </w:numPr>
      <w:contextualSpacing/>
    </w:pPr>
  </w:style>
  <w:style w:type="paragraph" w:styleId="ListNumber5">
    <w:name w:val="List Number 5"/>
    <w:basedOn w:val="Normal"/>
    <w:uiPriority w:val="98"/>
    <w:semiHidden/>
    <w:rsid w:val="00E67565"/>
    <w:pPr>
      <w:numPr>
        <w:numId w:val="20"/>
      </w:numPr>
      <w:contextualSpacing/>
    </w:pPr>
  </w:style>
  <w:style w:type="paragraph" w:styleId="MacroText">
    <w:name w:val="macro"/>
    <w:link w:val="MacroTextChar"/>
    <w:uiPriority w:val="98"/>
    <w:semiHidden/>
    <w:rsid w:val="00E67565"/>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8"/>
    <w:semiHidden/>
    <w:rsid w:val="00E67565"/>
    <w:rPr>
      <w:rFonts w:ascii="Consolas" w:eastAsiaTheme="minorEastAsia" w:hAnsi="Consolas" w:cs="Consolas"/>
      <w:sz w:val="20"/>
      <w:szCs w:val="20"/>
    </w:rPr>
  </w:style>
  <w:style w:type="table" w:styleId="MediumGrid1">
    <w:name w:val="Medium Grid 1"/>
    <w:basedOn w:val="TableNormal"/>
    <w:uiPriority w:val="67"/>
    <w:semiHidden/>
    <w:rsid w:val="00E67565"/>
    <w:rPr>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E67565"/>
    <w:rPr>
      <w:sz w:val="24"/>
      <w:szCs w:val="24"/>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67"/>
    <w:semiHidden/>
    <w:rsid w:val="00E67565"/>
    <w:rPr>
      <w:sz w:val="24"/>
      <w:szCs w:val="24"/>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67"/>
    <w:semiHidden/>
    <w:rsid w:val="00E67565"/>
    <w:rPr>
      <w:sz w:val="24"/>
      <w:szCs w:val="24"/>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67"/>
    <w:semiHidden/>
    <w:rsid w:val="00E67565"/>
    <w:rPr>
      <w:sz w:val="24"/>
      <w:szCs w:val="24"/>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67"/>
    <w:semiHidden/>
    <w:rsid w:val="00E67565"/>
    <w:rPr>
      <w:sz w:val="24"/>
      <w:szCs w:val="24"/>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rsid w:val="00E67565"/>
    <w:rPr>
      <w:sz w:val="24"/>
      <w:szCs w:val="24"/>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rsid w:val="00E67565"/>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68"/>
    <w:semiHidden/>
    <w:rsid w:val="00E67565"/>
    <w:rPr>
      <w:rFonts w:asciiTheme="majorHAnsi" w:eastAsiaTheme="majorEastAsia" w:hAnsiTheme="majorHAnsi" w:cstheme="majorBidi"/>
      <w:color w:val="000000" w:themeColor="text1"/>
      <w:sz w:val="24"/>
      <w:szCs w:val="24"/>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68"/>
    <w:semiHidden/>
    <w:rsid w:val="00E67565"/>
    <w:rPr>
      <w:rFonts w:asciiTheme="majorHAnsi" w:eastAsiaTheme="majorEastAsia" w:hAnsiTheme="majorHAnsi" w:cstheme="majorBidi"/>
      <w:color w:val="000000" w:themeColor="text1"/>
      <w:sz w:val="24"/>
      <w:szCs w:val="24"/>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68"/>
    <w:semiHidden/>
    <w:rsid w:val="00E67565"/>
    <w:rPr>
      <w:rFonts w:asciiTheme="majorHAnsi" w:eastAsiaTheme="majorEastAsia" w:hAnsiTheme="majorHAnsi" w:cstheme="majorBidi"/>
      <w:color w:val="000000" w:themeColor="text1"/>
      <w:sz w:val="24"/>
      <w:szCs w:val="24"/>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68"/>
    <w:semiHidden/>
    <w:rsid w:val="00E67565"/>
    <w:rPr>
      <w:rFonts w:asciiTheme="majorHAnsi" w:eastAsiaTheme="majorEastAsia" w:hAnsiTheme="majorHAnsi" w:cstheme="majorBidi"/>
      <w:color w:val="000000" w:themeColor="text1"/>
      <w:sz w:val="24"/>
      <w:szCs w:val="24"/>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68"/>
    <w:semiHidden/>
    <w:rsid w:val="00E67565"/>
    <w:rPr>
      <w:rFonts w:asciiTheme="majorHAnsi" w:eastAsiaTheme="majorEastAsia" w:hAnsiTheme="majorHAnsi" w:cstheme="majorBidi"/>
      <w:color w:val="000000" w:themeColor="text1"/>
      <w:sz w:val="24"/>
      <w:szCs w:val="24"/>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68"/>
    <w:semiHidden/>
    <w:rsid w:val="00E67565"/>
    <w:rPr>
      <w:rFonts w:asciiTheme="majorHAnsi" w:eastAsiaTheme="majorEastAsia" w:hAnsiTheme="majorHAnsi" w:cstheme="majorBidi"/>
      <w:color w:val="000000" w:themeColor="text1"/>
      <w:sz w:val="24"/>
      <w:szCs w:val="24"/>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69"/>
    <w:semiHidden/>
    <w:rsid w:val="00E67565"/>
    <w:rPr>
      <w:sz w:val="24"/>
      <w:szCs w:val="24"/>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69"/>
    <w:semiHidden/>
    <w:rsid w:val="00E67565"/>
    <w:rPr>
      <w:sz w:val="24"/>
      <w:szCs w:val="24"/>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69"/>
    <w:semiHidden/>
    <w:rsid w:val="00E67565"/>
    <w:rPr>
      <w:sz w:val="24"/>
      <w:szCs w:val="24"/>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69"/>
    <w:semiHidden/>
    <w:rsid w:val="00E67565"/>
    <w:rPr>
      <w:sz w:val="24"/>
      <w:szCs w:val="24"/>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69"/>
    <w:semiHidden/>
    <w:rsid w:val="00E67565"/>
    <w:rPr>
      <w:sz w:val="24"/>
      <w:szCs w:val="24"/>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69"/>
    <w:semiHidden/>
    <w:rsid w:val="00E67565"/>
    <w:rPr>
      <w:sz w:val="24"/>
      <w:szCs w:val="24"/>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69"/>
    <w:semiHidden/>
    <w:rsid w:val="00E67565"/>
    <w:rPr>
      <w:sz w:val="24"/>
      <w:szCs w:val="24"/>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65"/>
    <w:semiHidden/>
    <w:rsid w:val="00E67565"/>
    <w:rPr>
      <w:color w:val="000000" w:themeColor="text1"/>
      <w:sz w:val="24"/>
      <w:szCs w:val="24"/>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E67565"/>
    <w:rPr>
      <w:color w:val="000000" w:themeColor="text1"/>
      <w:sz w:val="24"/>
      <w:szCs w:val="24"/>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65"/>
    <w:semiHidden/>
    <w:rsid w:val="00E67565"/>
    <w:rPr>
      <w:color w:val="000000" w:themeColor="text1"/>
      <w:sz w:val="24"/>
      <w:szCs w:val="24"/>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65"/>
    <w:semiHidden/>
    <w:rsid w:val="00E67565"/>
    <w:rPr>
      <w:color w:val="000000" w:themeColor="text1"/>
      <w:sz w:val="24"/>
      <w:szCs w:val="24"/>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65"/>
    <w:semiHidden/>
    <w:rsid w:val="00E67565"/>
    <w:rPr>
      <w:color w:val="000000" w:themeColor="text1"/>
      <w:sz w:val="24"/>
      <w:szCs w:val="24"/>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65"/>
    <w:semiHidden/>
    <w:rsid w:val="00E67565"/>
    <w:rPr>
      <w:color w:val="000000" w:themeColor="text1"/>
      <w:sz w:val="24"/>
      <w:szCs w:val="24"/>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rsid w:val="00E67565"/>
    <w:rPr>
      <w:color w:val="000000" w:themeColor="text1"/>
      <w:sz w:val="24"/>
      <w:szCs w:val="24"/>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rsid w:val="00E67565"/>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E67565"/>
    <w:rPr>
      <w:rFonts w:asciiTheme="majorHAnsi" w:eastAsiaTheme="majorEastAsia" w:hAnsiTheme="majorHAnsi" w:cstheme="majorBidi"/>
      <w:color w:val="000000" w:themeColor="text1"/>
      <w:sz w:val="24"/>
      <w:szCs w:val="24"/>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E67565"/>
    <w:rPr>
      <w:rFonts w:asciiTheme="majorHAnsi" w:eastAsiaTheme="majorEastAsia" w:hAnsiTheme="majorHAnsi" w:cstheme="majorBidi"/>
      <w:color w:val="000000" w:themeColor="text1"/>
      <w:sz w:val="24"/>
      <w:szCs w:val="24"/>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E67565"/>
    <w:rPr>
      <w:rFonts w:asciiTheme="majorHAnsi" w:eastAsiaTheme="majorEastAsia" w:hAnsiTheme="majorHAnsi" w:cstheme="majorBidi"/>
      <w:color w:val="000000" w:themeColor="text1"/>
      <w:sz w:val="24"/>
      <w:szCs w:val="24"/>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E67565"/>
    <w:rPr>
      <w:rFonts w:asciiTheme="majorHAnsi" w:eastAsiaTheme="majorEastAsia" w:hAnsiTheme="majorHAnsi" w:cstheme="majorBidi"/>
      <w:color w:val="000000" w:themeColor="text1"/>
      <w:sz w:val="24"/>
      <w:szCs w:val="24"/>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E67565"/>
    <w:rPr>
      <w:rFonts w:asciiTheme="majorHAnsi" w:eastAsiaTheme="majorEastAsia" w:hAnsiTheme="majorHAnsi" w:cstheme="majorBidi"/>
      <w:color w:val="000000" w:themeColor="text1"/>
      <w:sz w:val="24"/>
      <w:szCs w:val="24"/>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E67565"/>
    <w:rPr>
      <w:rFonts w:asciiTheme="majorHAnsi" w:eastAsiaTheme="majorEastAsia" w:hAnsiTheme="majorHAnsi" w:cstheme="majorBidi"/>
      <w:color w:val="000000" w:themeColor="text1"/>
      <w:sz w:val="24"/>
      <w:szCs w:val="24"/>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63"/>
    <w:semiHidden/>
    <w:rsid w:val="00E67565"/>
    <w:rPr>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E67565"/>
    <w:rPr>
      <w:sz w:val="24"/>
      <w:szCs w:val="24"/>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E67565"/>
    <w:rPr>
      <w:sz w:val="24"/>
      <w:szCs w:val="24"/>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E67565"/>
    <w:rPr>
      <w:sz w:val="24"/>
      <w:szCs w:val="24"/>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E67565"/>
    <w:rPr>
      <w:sz w:val="24"/>
      <w:szCs w:val="24"/>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E67565"/>
    <w:rPr>
      <w:sz w:val="24"/>
      <w:szCs w:val="24"/>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E67565"/>
    <w:rPr>
      <w:sz w:val="24"/>
      <w:szCs w:val="24"/>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E67565"/>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E67565"/>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E67565"/>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E67565"/>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E67565"/>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E67565"/>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E67565"/>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8"/>
    <w:semiHidden/>
    <w:rsid w:val="00E6756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8"/>
    <w:semiHidden/>
    <w:rsid w:val="00E67565"/>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8"/>
    <w:semiHidden/>
    <w:rsid w:val="00E67565"/>
    <w:rPr>
      <w:rFonts w:ascii="Times New Roman" w:hAnsi="Times New Roman" w:cs="Times New Roman"/>
    </w:rPr>
  </w:style>
  <w:style w:type="paragraph" w:styleId="NormalIndent">
    <w:name w:val="Normal Indent"/>
    <w:basedOn w:val="Normal"/>
    <w:uiPriority w:val="98"/>
    <w:semiHidden/>
    <w:rsid w:val="00E67565"/>
    <w:pPr>
      <w:ind w:left="720"/>
    </w:pPr>
  </w:style>
  <w:style w:type="paragraph" w:styleId="NoteHeading">
    <w:name w:val="Note Heading"/>
    <w:basedOn w:val="Normal"/>
    <w:next w:val="Normal"/>
    <w:link w:val="NoteHeadingChar"/>
    <w:uiPriority w:val="98"/>
    <w:semiHidden/>
    <w:rsid w:val="00E67565"/>
  </w:style>
  <w:style w:type="character" w:customStyle="1" w:styleId="NoteHeadingChar">
    <w:name w:val="Note Heading Char"/>
    <w:basedOn w:val="DefaultParagraphFont"/>
    <w:link w:val="NoteHeading"/>
    <w:uiPriority w:val="98"/>
    <w:semiHidden/>
    <w:rsid w:val="00E67565"/>
    <w:rPr>
      <w:sz w:val="24"/>
      <w:szCs w:val="24"/>
      <w:lang w:val="en-GB"/>
    </w:rPr>
  </w:style>
  <w:style w:type="character" w:styleId="PlaceholderText">
    <w:name w:val="Placeholder Text"/>
    <w:basedOn w:val="DefaultParagraphFont"/>
    <w:uiPriority w:val="98"/>
    <w:semiHidden/>
    <w:rsid w:val="00E67565"/>
    <w:rPr>
      <w:color w:val="auto"/>
      <w:bdr w:val="none" w:sz="0" w:space="0" w:color="auto"/>
      <w:shd w:val="clear" w:color="auto" w:fill="DFDFDF" w:themeFill="background2" w:themeFillShade="E6"/>
    </w:rPr>
  </w:style>
  <w:style w:type="paragraph" w:styleId="PlainText">
    <w:name w:val="Plain Text"/>
    <w:basedOn w:val="Normal"/>
    <w:link w:val="PlainTextChar"/>
    <w:uiPriority w:val="98"/>
    <w:semiHidden/>
    <w:rsid w:val="00E67565"/>
    <w:rPr>
      <w:rFonts w:ascii="Consolas" w:hAnsi="Consolas" w:cs="Consolas"/>
      <w:sz w:val="21"/>
      <w:szCs w:val="21"/>
    </w:rPr>
  </w:style>
  <w:style w:type="character" w:customStyle="1" w:styleId="PlainTextChar">
    <w:name w:val="Plain Text Char"/>
    <w:basedOn w:val="DefaultParagraphFont"/>
    <w:link w:val="PlainText"/>
    <w:uiPriority w:val="98"/>
    <w:semiHidden/>
    <w:rsid w:val="00E67565"/>
    <w:rPr>
      <w:rFonts w:ascii="Consolas" w:hAnsi="Consolas" w:cs="Consolas"/>
      <w:sz w:val="21"/>
      <w:szCs w:val="21"/>
      <w:lang w:val="en-GB"/>
    </w:rPr>
  </w:style>
  <w:style w:type="paragraph" w:styleId="Salutation">
    <w:name w:val="Salutation"/>
    <w:basedOn w:val="Normal"/>
    <w:next w:val="Normal"/>
    <w:link w:val="SalutationChar"/>
    <w:uiPriority w:val="98"/>
    <w:semiHidden/>
    <w:rsid w:val="00E67565"/>
  </w:style>
  <w:style w:type="character" w:customStyle="1" w:styleId="SalutationChar">
    <w:name w:val="Salutation Char"/>
    <w:basedOn w:val="DefaultParagraphFont"/>
    <w:link w:val="Salutation"/>
    <w:uiPriority w:val="98"/>
    <w:semiHidden/>
    <w:rsid w:val="00E67565"/>
    <w:rPr>
      <w:sz w:val="24"/>
      <w:szCs w:val="24"/>
      <w:lang w:val="en-GB"/>
    </w:rPr>
  </w:style>
  <w:style w:type="paragraph" w:styleId="Signature">
    <w:name w:val="Signature"/>
    <w:basedOn w:val="Normal"/>
    <w:link w:val="SignatureChar"/>
    <w:uiPriority w:val="98"/>
    <w:semiHidden/>
    <w:rsid w:val="00E67565"/>
    <w:pPr>
      <w:ind w:left="4252"/>
    </w:pPr>
  </w:style>
  <w:style w:type="character" w:customStyle="1" w:styleId="SignatureChar">
    <w:name w:val="Signature Char"/>
    <w:basedOn w:val="DefaultParagraphFont"/>
    <w:link w:val="Signature"/>
    <w:uiPriority w:val="98"/>
    <w:semiHidden/>
    <w:rsid w:val="00E67565"/>
    <w:rPr>
      <w:sz w:val="24"/>
      <w:szCs w:val="24"/>
      <w:lang w:val="en-GB"/>
    </w:rPr>
  </w:style>
  <w:style w:type="table" w:styleId="Table3Deffects1">
    <w:name w:val="Table 3D effects 1"/>
    <w:basedOn w:val="TableNormal"/>
    <w:uiPriority w:val="99"/>
    <w:semiHidden/>
    <w:unhideWhenUsed/>
    <w:rsid w:val="00E67565"/>
    <w:pPr>
      <w:jc w:val="both"/>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67565"/>
    <w:pPr>
      <w:jc w:val="both"/>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67565"/>
    <w:pPr>
      <w:jc w:val="both"/>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67565"/>
    <w:pPr>
      <w:jc w:val="both"/>
    </w:pPr>
    <w:rPr>
      <w:sz w:val="24"/>
      <w:szCs w:val="24"/>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67565"/>
    <w:pPr>
      <w:jc w:val="both"/>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67565"/>
    <w:pPr>
      <w:jc w:val="both"/>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67565"/>
    <w:pPr>
      <w:jc w:val="both"/>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67565"/>
    <w:pPr>
      <w:jc w:val="both"/>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67565"/>
    <w:pPr>
      <w:jc w:val="both"/>
    </w:pPr>
    <w:rPr>
      <w:sz w:val="24"/>
      <w:szCs w:val="24"/>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67565"/>
    <w:pPr>
      <w:jc w:val="both"/>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67565"/>
    <w:pPr>
      <w:jc w:val="both"/>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67565"/>
    <w:pPr>
      <w:jc w:val="both"/>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67565"/>
    <w:pPr>
      <w:jc w:val="both"/>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67565"/>
    <w:pPr>
      <w:jc w:val="both"/>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67565"/>
    <w:pPr>
      <w:jc w:val="both"/>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67565"/>
    <w:pPr>
      <w:jc w:val="both"/>
    </w:pPr>
    <w:rPr>
      <w:sz w:val="24"/>
      <w:szCs w:val="24"/>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67565"/>
    <w:pPr>
      <w:jc w:val="both"/>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67565"/>
    <w:pPr>
      <w:jc w:val="both"/>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67565"/>
    <w:pPr>
      <w:jc w:val="both"/>
    </w:pPr>
    <w:rPr>
      <w:sz w:val="24"/>
      <w:szCs w:val="24"/>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67565"/>
    <w:pPr>
      <w:jc w:val="both"/>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67565"/>
    <w:pPr>
      <w:jc w:val="both"/>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67565"/>
    <w:pPr>
      <w:jc w:val="both"/>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67565"/>
    <w:pPr>
      <w:jc w:val="both"/>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67565"/>
    <w:pPr>
      <w:jc w:val="both"/>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67565"/>
    <w:pPr>
      <w:jc w:val="both"/>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E67565"/>
    <w:pPr>
      <w:jc w:val="both"/>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67565"/>
    <w:pPr>
      <w:jc w:val="both"/>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67565"/>
    <w:pPr>
      <w:jc w:val="both"/>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67565"/>
    <w:pPr>
      <w:jc w:val="both"/>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67565"/>
    <w:pPr>
      <w:jc w:val="both"/>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67565"/>
    <w:pPr>
      <w:jc w:val="both"/>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67565"/>
    <w:pPr>
      <w:jc w:val="both"/>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67565"/>
    <w:pPr>
      <w:jc w:val="both"/>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8"/>
    <w:semiHidden/>
    <w:rsid w:val="00E67565"/>
    <w:pPr>
      <w:ind w:left="240" w:hanging="240"/>
    </w:pPr>
  </w:style>
  <w:style w:type="paragraph" w:styleId="TableofFigures">
    <w:name w:val="table of figures"/>
    <w:basedOn w:val="Normal"/>
    <w:next w:val="Normal"/>
    <w:uiPriority w:val="98"/>
    <w:semiHidden/>
    <w:rsid w:val="00E67565"/>
  </w:style>
  <w:style w:type="table" w:styleId="TableProfessional">
    <w:name w:val="Table Professional"/>
    <w:basedOn w:val="TableNormal"/>
    <w:uiPriority w:val="99"/>
    <w:semiHidden/>
    <w:unhideWhenUsed/>
    <w:rsid w:val="00E67565"/>
    <w:pPr>
      <w:jc w:val="both"/>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67565"/>
    <w:pPr>
      <w:jc w:val="both"/>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67565"/>
    <w:pPr>
      <w:jc w:val="both"/>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67565"/>
    <w:pPr>
      <w:jc w:val="both"/>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67565"/>
    <w:pPr>
      <w:jc w:val="both"/>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67565"/>
    <w:pPr>
      <w:jc w:val="both"/>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67565"/>
    <w:pPr>
      <w:jc w:val="both"/>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67565"/>
    <w:pPr>
      <w:jc w:val="both"/>
    </w:pPr>
    <w:rPr>
      <w:sz w:val="24"/>
      <w:szCs w:val="24"/>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67565"/>
    <w:pPr>
      <w:jc w:val="both"/>
    </w:pPr>
    <w:rPr>
      <w:sz w:val="24"/>
      <w:szCs w:val="24"/>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67565"/>
    <w:pPr>
      <w:jc w:val="both"/>
    </w:pPr>
    <w:rPr>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8"/>
    <w:semiHidden/>
    <w:rsid w:val="00E67565"/>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8"/>
    <w:semiHidden/>
    <w:rsid w:val="00E67565"/>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8"/>
    <w:semiHidden/>
    <w:rsid w:val="00E67565"/>
    <w:pPr>
      <w:spacing w:after="100"/>
      <w:ind w:left="1680"/>
    </w:pPr>
  </w:style>
  <w:style w:type="paragraph" w:styleId="TOC9">
    <w:name w:val="toc 9"/>
    <w:basedOn w:val="Normal"/>
    <w:next w:val="Normal"/>
    <w:autoRedefine/>
    <w:uiPriority w:val="98"/>
    <w:semiHidden/>
    <w:rsid w:val="00E67565"/>
    <w:pPr>
      <w:spacing w:after="100"/>
      <w:ind w:left="1920"/>
    </w:pPr>
  </w:style>
  <w:style w:type="paragraph" w:customStyle="1" w:styleId="ECHRFooter">
    <w:name w:val="ECHR_Footer"/>
    <w:aliases w:val="Footer_ECHR"/>
    <w:basedOn w:val="Footer0"/>
    <w:uiPriority w:val="57"/>
    <w:semiHidden/>
    <w:rsid w:val="0064393B"/>
    <w:rPr>
      <w:sz w:val="8"/>
    </w:rPr>
  </w:style>
  <w:style w:type="paragraph" w:customStyle="1" w:styleId="ECHRFooterLine">
    <w:name w:val="ECHR_Footer_Line"/>
    <w:aliases w:val="_Footer_Line"/>
    <w:basedOn w:val="Normal"/>
    <w:next w:val="Normal"/>
    <w:uiPriority w:val="30"/>
    <w:semiHidden/>
    <w:rsid w:val="00E67565"/>
    <w:pPr>
      <w:pBdr>
        <w:top w:val="single" w:sz="6" w:space="1" w:color="5F5F5F"/>
      </w:pBdr>
      <w:tabs>
        <w:tab w:val="center" w:pos="3686"/>
        <w:tab w:val="right" w:pos="7371"/>
      </w:tabs>
      <w:ind w:left="-1474" w:right="-1474"/>
    </w:pPr>
    <w:rPr>
      <w:color w:val="5F5F5F"/>
    </w:rPr>
  </w:style>
  <w:style w:type="paragraph" w:customStyle="1" w:styleId="DecHCase">
    <w:name w:val="Dec_H_Case"/>
    <w:aliases w:val="_Title_3"/>
    <w:basedOn w:val="JuPara"/>
    <w:next w:val="JuPara"/>
    <w:uiPriority w:val="38"/>
    <w:qFormat/>
    <w:rsid w:val="00E67565"/>
    <w:pPr>
      <w:keepNext/>
      <w:keepLines/>
      <w:spacing w:after="280"/>
      <w:ind w:firstLine="0"/>
      <w:jc w:val="center"/>
    </w:pPr>
    <w:rPr>
      <w:rFonts w:asciiTheme="majorHAnsi" w:hAnsiTheme="majorHAnsi"/>
    </w:rPr>
  </w:style>
  <w:style w:type="paragraph" w:customStyle="1" w:styleId="JuTitle">
    <w:name w:val="Ju_Title"/>
    <w:aliases w:val="_Title_2"/>
    <w:basedOn w:val="Normal"/>
    <w:next w:val="JuPara"/>
    <w:uiPriority w:val="38"/>
    <w:qFormat/>
    <w:rsid w:val="00E67565"/>
    <w:pPr>
      <w:keepNext/>
      <w:keepLines/>
      <w:spacing w:before="1320" w:after="280"/>
      <w:contextualSpacing/>
      <w:jc w:val="center"/>
    </w:pPr>
    <w:rPr>
      <w:b/>
    </w:rPr>
  </w:style>
  <w:style w:type="paragraph" w:customStyle="1" w:styleId="ECHRHeaderLandscape">
    <w:name w:val="ECHR_Header_Landscape"/>
    <w:aliases w:val="_Header_Landscape"/>
    <w:basedOn w:val="JuHeader"/>
    <w:uiPriority w:val="29"/>
    <w:semiHidden/>
    <w:rsid w:val="00E67565"/>
    <w:pPr>
      <w:tabs>
        <w:tab w:val="center" w:pos="6146"/>
        <w:tab w:val="right" w:pos="13778"/>
      </w:tabs>
      <w:ind w:left="-1474" w:right="-1474"/>
    </w:pPr>
  </w:style>
  <w:style w:type="paragraph" w:customStyle="1" w:styleId="ECHRBullet1">
    <w:name w:val="ECHR_Bullet_1"/>
    <w:aliases w:val="_Bul_1"/>
    <w:basedOn w:val="NormalJustified"/>
    <w:uiPriority w:val="23"/>
    <w:semiHidden/>
    <w:qFormat/>
    <w:rsid w:val="00E67565"/>
    <w:pPr>
      <w:numPr>
        <w:numId w:val="7"/>
      </w:numPr>
      <w:spacing w:before="60" w:after="60"/>
    </w:pPr>
  </w:style>
  <w:style w:type="paragraph" w:customStyle="1" w:styleId="ECHRBullet2">
    <w:name w:val="ECHR_Bullet_2"/>
    <w:aliases w:val="_Bul_2"/>
    <w:basedOn w:val="ECHRBullet1"/>
    <w:uiPriority w:val="23"/>
    <w:semiHidden/>
    <w:rsid w:val="00E67565"/>
    <w:pPr>
      <w:numPr>
        <w:ilvl w:val="1"/>
      </w:numPr>
    </w:pPr>
  </w:style>
  <w:style w:type="paragraph" w:customStyle="1" w:styleId="ECHRBullet3">
    <w:name w:val="ECHR_Bullet_3"/>
    <w:aliases w:val="_Bul_3"/>
    <w:basedOn w:val="ECHRBullet2"/>
    <w:uiPriority w:val="23"/>
    <w:semiHidden/>
    <w:rsid w:val="00E67565"/>
    <w:pPr>
      <w:numPr>
        <w:ilvl w:val="2"/>
      </w:numPr>
    </w:pPr>
  </w:style>
  <w:style w:type="paragraph" w:customStyle="1" w:styleId="ECHRBullet4">
    <w:name w:val="ECHR_Bullet_4"/>
    <w:aliases w:val="_Bul_4"/>
    <w:basedOn w:val="ECHRBullet3"/>
    <w:uiPriority w:val="23"/>
    <w:semiHidden/>
    <w:rsid w:val="00E67565"/>
    <w:pPr>
      <w:numPr>
        <w:ilvl w:val="3"/>
      </w:numPr>
    </w:pPr>
  </w:style>
  <w:style w:type="paragraph" w:customStyle="1" w:styleId="ECHRConfidential">
    <w:name w:val="ECHR_Confidential"/>
    <w:aliases w:val="_Confidential"/>
    <w:basedOn w:val="Normal"/>
    <w:next w:val="Normal"/>
    <w:uiPriority w:val="42"/>
    <w:semiHidden/>
    <w:qFormat/>
    <w:rsid w:val="00E67565"/>
    <w:pPr>
      <w:jc w:val="right"/>
    </w:pPr>
    <w:rPr>
      <w:color w:val="C00000"/>
      <w:sz w:val="20"/>
    </w:rPr>
  </w:style>
  <w:style w:type="paragraph" w:customStyle="1" w:styleId="ECHRDecisionBody">
    <w:name w:val="ECHR_Decision_Body"/>
    <w:aliases w:val="_Decision_Body"/>
    <w:basedOn w:val="NormalJustified"/>
    <w:uiPriority w:val="54"/>
    <w:semiHidden/>
    <w:rsid w:val="00E67565"/>
    <w:pPr>
      <w:tabs>
        <w:tab w:val="left" w:pos="567"/>
        <w:tab w:val="left" w:pos="1134"/>
      </w:tabs>
      <w:spacing w:line="240" w:lineRule="exact"/>
      <w:jc w:val="left"/>
    </w:pPr>
  </w:style>
  <w:style w:type="paragraph" w:customStyle="1" w:styleId="ECHRDivisionName">
    <w:name w:val="ECHR_DivisionName"/>
    <w:aliases w:val="_Div_Name"/>
    <w:basedOn w:val="Normal"/>
    <w:link w:val="ECHRDivisionNameChar"/>
    <w:uiPriority w:val="41"/>
    <w:semiHidden/>
    <w:qFormat/>
    <w:rsid w:val="00E67565"/>
    <w:pPr>
      <w:contextualSpacing/>
      <w:jc w:val="center"/>
    </w:pPr>
    <w:rPr>
      <w:rFonts w:ascii="Arial" w:hAnsi="Arial"/>
      <w:i/>
      <w:color w:val="002856"/>
      <w:sz w:val="32"/>
    </w:rPr>
  </w:style>
  <w:style w:type="character" w:customStyle="1" w:styleId="ECHRDivisionNameChar">
    <w:name w:val="ECHR_DivisionName Char"/>
    <w:aliases w:val="_Div_Name Char"/>
    <w:basedOn w:val="DefaultParagraphFont"/>
    <w:link w:val="ECHRDivisionName"/>
    <w:uiPriority w:val="41"/>
    <w:semiHidden/>
    <w:rsid w:val="00E67565"/>
    <w:rPr>
      <w:rFonts w:ascii="Arial" w:hAnsi="Arial"/>
      <w:i/>
      <w:color w:val="002856"/>
      <w:sz w:val="32"/>
      <w:szCs w:val="24"/>
      <w:lang w:val="en-GB"/>
    </w:rPr>
  </w:style>
  <w:style w:type="paragraph" w:customStyle="1" w:styleId="ECHRFooterLineLandscape">
    <w:name w:val="ECHR_Footer_Line_Landscape"/>
    <w:aliases w:val="_Footer_Line_Landscape"/>
    <w:basedOn w:val="Normal"/>
    <w:uiPriority w:val="30"/>
    <w:semiHidden/>
    <w:rsid w:val="00E67565"/>
    <w:pPr>
      <w:pBdr>
        <w:top w:val="single" w:sz="8" w:space="1" w:color="7F7F7F" w:themeColor="text1" w:themeTint="80"/>
      </w:pBdr>
      <w:tabs>
        <w:tab w:val="center" w:pos="6146"/>
        <w:tab w:val="right" w:pos="12293"/>
      </w:tabs>
      <w:ind w:left="-1474" w:right="-1474"/>
    </w:pPr>
    <w:rPr>
      <w:color w:val="474747" w:themeColor="accent3" w:themeShade="BF"/>
      <w:sz w:val="22"/>
    </w:rPr>
  </w:style>
  <w:style w:type="paragraph" w:customStyle="1" w:styleId="ECHRHeaderDate">
    <w:name w:val="ECHR_Header_Date"/>
    <w:aliases w:val="_Ref_Date"/>
    <w:basedOn w:val="Normal"/>
    <w:uiPriority w:val="44"/>
    <w:semiHidden/>
    <w:qFormat/>
    <w:rsid w:val="00E67565"/>
    <w:pPr>
      <w:jc w:val="right"/>
    </w:pPr>
    <w:rPr>
      <w:sz w:val="20"/>
    </w:rPr>
  </w:style>
  <w:style w:type="paragraph" w:customStyle="1" w:styleId="ECHRHeaderRefIt">
    <w:name w:val="ECHR_Header_Ref_It"/>
    <w:aliases w:val="_Ref_Ital"/>
    <w:basedOn w:val="Normal"/>
    <w:next w:val="ECHRHeaderDate"/>
    <w:uiPriority w:val="43"/>
    <w:qFormat/>
    <w:rsid w:val="00E67565"/>
    <w:pPr>
      <w:jc w:val="right"/>
    </w:pPr>
    <w:rPr>
      <w:i/>
      <w:sz w:val="20"/>
    </w:rPr>
  </w:style>
  <w:style w:type="paragraph" w:customStyle="1" w:styleId="ECHRHeading9">
    <w:name w:val="ECHR_Heading_9"/>
    <w:aliases w:val="_Head_9"/>
    <w:basedOn w:val="Heading9"/>
    <w:uiPriority w:val="17"/>
    <w:semiHidden/>
    <w:rsid w:val="00E67565"/>
    <w:pPr>
      <w:keepNext/>
      <w:keepLines/>
      <w:numPr>
        <w:ilvl w:val="8"/>
        <w:numId w:val="9"/>
      </w:numPr>
      <w:spacing w:before="100" w:beforeAutospacing="1"/>
      <w:contextualSpacing/>
      <w:jc w:val="both"/>
    </w:pPr>
    <w:rPr>
      <w:i w:val="0"/>
      <w:sz w:val="18"/>
    </w:rPr>
  </w:style>
  <w:style w:type="paragraph" w:customStyle="1" w:styleId="ECHRLine">
    <w:name w:val="ECHR_Line"/>
    <w:aliases w:val="_Line"/>
    <w:basedOn w:val="NormalJustified"/>
    <w:next w:val="Normal"/>
    <w:uiPriority w:val="46"/>
    <w:semiHidden/>
    <w:rsid w:val="00E67565"/>
    <w:pPr>
      <w:pBdr>
        <w:bottom w:val="single" w:sz="12" w:space="1" w:color="949494" w:themeColor="text2" w:themeShade="BF"/>
      </w:pBdr>
      <w:spacing w:after="120"/>
    </w:pPr>
    <w:rPr>
      <w:sz w:val="12"/>
    </w:rPr>
  </w:style>
  <w:style w:type="paragraph" w:customStyle="1" w:styleId="ECHRNumberedList1">
    <w:name w:val="ECHR_Numbered_List_1"/>
    <w:aliases w:val="_Num_1"/>
    <w:basedOn w:val="Normal"/>
    <w:uiPriority w:val="23"/>
    <w:semiHidden/>
    <w:qFormat/>
    <w:rsid w:val="00E67565"/>
    <w:pPr>
      <w:numPr>
        <w:numId w:val="8"/>
      </w:numPr>
      <w:spacing w:before="60" w:after="60"/>
    </w:pPr>
  </w:style>
  <w:style w:type="paragraph" w:customStyle="1" w:styleId="ECHRNumberedList2">
    <w:name w:val="ECHR_Numbered_List_2"/>
    <w:aliases w:val="_Num_2"/>
    <w:basedOn w:val="ECHRNumberedList1"/>
    <w:uiPriority w:val="23"/>
    <w:semiHidden/>
    <w:rsid w:val="00E67565"/>
    <w:pPr>
      <w:numPr>
        <w:ilvl w:val="1"/>
      </w:numPr>
    </w:pPr>
  </w:style>
  <w:style w:type="paragraph" w:customStyle="1" w:styleId="ECHRNumberedList3">
    <w:name w:val="ECHR_Numbered_List_3"/>
    <w:aliases w:val="_Num_3"/>
    <w:basedOn w:val="ECHRNumberedList2"/>
    <w:uiPriority w:val="23"/>
    <w:semiHidden/>
    <w:rsid w:val="00E67565"/>
    <w:pPr>
      <w:numPr>
        <w:ilvl w:val="2"/>
      </w:numPr>
    </w:pPr>
  </w:style>
  <w:style w:type="paragraph" w:customStyle="1" w:styleId="ECHRParaHanging">
    <w:name w:val="ECHR_Para_Hanging"/>
    <w:aliases w:val="_Hanging"/>
    <w:basedOn w:val="Normal"/>
    <w:uiPriority w:val="8"/>
    <w:semiHidden/>
    <w:qFormat/>
    <w:rsid w:val="00E67565"/>
    <w:pPr>
      <w:ind w:left="567" w:hanging="567"/>
      <w:jc w:val="both"/>
    </w:pPr>
  </w:style>
  <w:style w:type="paragraph" w:customStyle="1" w:styleId="ECHRParaIndent">
    <w:name w:val="ECHR_Para_Indent"/>
    <w:aliases w:val="_Indent"/>
    <w:basedOn w:val="Normal"/>
    <w:uiPriority w:val="7"/>
    <w:semiHidden/>
    <w:qFormat/>
    <w:rsid w:val="00E67565"/>
    <w:pPr>
      <w:spacing w:before="120" w:after="120"/>
      <w:ind w:left="284"/>
      <w:jc w:val="both"/>
    </w:pPr>
  </w:style>
  <w:style w:type="character" w:customStyle="1" w:styleId="ECHRRed">
    <w:name w:val="ECHR_Red"/>
    <w:aliases w:val="_Red"/>
    <w:basedOn w:val="DefaultParagraphFont"/>
    <w:uiPriority w:val="15"/>
    <w:semiHidden/>
    <w:qFormat/>
    <w:rsid w:val="00E67565"/>
    <w:rPr>
      <w:color w:val="C00000" w:themeColor="accent2"/>
    </w:rPr>
  </w:style>
  <w:style w:type="paragraph" w:customStyle="1" w:styleId="DecList">
    <w:name w:val="Dec_List"/>
    <w:aliases w:val="_List"/>
    <w:basedOn w:val="JuList"/>
    <w:uiPriority w:val="22"/>
    <w:rsid w:val="00E67565"/>
    <w:pPr>
      <w:numPr>
        <w:numId w:val="0"/>
      </w:numPr>
      <w:ind w:left="284"/>
    </w:pPr>
  </w:style>
  <w:style w:type="table" w:customStyle="1" w:styleId="ECHRTable2">
    <w:name w:val="ECHR_Table_2"/>
    <w:basedOn w:val="TableNormal"/>
    <w:uiPriority w:val="99"/>
    <w:rsid w:val="00E67565"/>
    <w:pPr>
      <w:tabs>
        <w:tab w:val="left" w:pos="567"/>
        <w:tab w:val="left" w:pos="851"/>
        <w:tab w:val="right" w:pos="5273"/>
      </w:tabs>
    </w:pPr>
    <w:rPr>
      <w:color w:val="262626" w:themeColor="text1" w:themeTint="D9"/>
      <w:sz w:val="24"/>
      <w:szCs w:val="24"/>
    </w:rPr>
    <w:tblPr>
      <w:tblStyleRowBandSize w:val="1"/>
      <w:tblStyleColBandSize w:val="1"/>
      <w:tblCellSpacing w:w="28" w:type="dxa"/>
      <w:tblInd w:w="-964" w:type="dxa"/>
      <w:tblCellMar>
        <w:top w:w="85" w:type="dxa"/>
        <w:left w:w="113" w:type="dxa"/>
        <w:bottom w:w="85" w:type="dxa"/>
        <w:right w:w="113" w:type="dxa"/>
      </w:tblCellMar>
    </w:tblPr>
    <w:trPr>
      <w:tblCellSpacing w:w="28" w:type="dxa"/>
    </w:trPr>
    <w:tblStylePr w:type="firstRow">
      <w:pPr>
        <w:jc w:val="center"/>
      </w:pPr>
      <w:rPr>
        <w:b/>
        <w:sz w:val="24"/>
      </w:rPr>
      <w:tblPr/>
      <w:tcPr>
        <w:tcBorders>
          <w:top w:val="nil"/>
          <w:left w:val="nil"/>
          <w:bottom w:val="nil"/>
          <w:right w:val="nil"/>
          <w:insideH w:val="nil"/>
          <w:insideV w:val="nil"/>
          <w:tl2br w:val="nil"/>
          <w:tr2bl w:val="nil"/>
        </w:tcBorders>
        <w:shd w:val="clear" w:color="auto" w:fill="DFDFDF" w:themeFill="background2" w:themeFillShade="E6"/>
      </w:tcPr>
    </w:tblStylePr>
    <w:tblStylePr w:type="lastRow">
      <w:rPr>
        <w:b/>
      </w:rPr>
      <w:tblPr/>
      <w:tcPr>
        <w:tcBorders>
          <w:top w:val="nil"/>
          <w:left w:val="nil"/>
          <w:bottom w:val="nil"/>
          <w:right w:val="nil"/>
          <w:insideH w:val="nil"/>
          <w:insideV w:val="nil"/>
          <w:tl2br w:val="nil"/>
          <w:tr2bl w:val="nil"/>
        </w:tcBorders>
        <w:shd w:val="clear" w:color="auto" w:fill="ECECEC"/>
      </w:tcPr>
    </w:tblStylePr>
    <w:tblStylePr w:type="firstCol">
      <w:tblPr/>
      <w:tcPr>
        <w:tcBorders>
          <w:top w:val="nil"/>
          <w:left w:val="nil"/>
          <w:bottom w:val="nil"/>
          <w:right w:val="nil"/>
          <w:insideH w:val="nil"/>
          <w:insideV w:val="nil"/>
          <w:tl2br w:val="nil"/>
          <w:tr2bl w:val="nil"/>
        </w:tcBorders>
        <w:shd w:val="clear" w:color="auto" w:fill="EFF8FF"/>
      </w:tcPr>
    </w:tblStylePr>
    <w:tblStylePr w:type="lastCol">
      <w:tblPr/>
      <w:tcPr>
        <w:tcBorders>
          <w:top w:val="nil"/>
          <w:left w:val="nil"/>
          <w:bottom w:val="nil"/>
          <w:right w:val="nil"/>
          <w:insideH w:val="nil"/>
          <w:insideV w:val="nil"/>
          <w:tl2br w:val="nil"/>
          <w:tr2bl w:val="nil"/>
        </w:tcBorders>
        <w:shd w:val="clear" w:color="auto" w:fill="F3FCE8"/>
      </w:tcPr>
    </w:tblStylePr>
    <w:tblStylePr w:type="band1Vert">
      <w:pPr>
        <w:jc w:val="center"/>
      </w:pPr>
      <w:rPr>
        <w:b/>
        <w:sz w:val="28"/>
      </w:rPr>
      <w:tblPr/>
      <w:tcPr>
        <w:tcBorders>
          <w:top w:val="nil"/>
          <w:left w:val="nil"/>
          <w:bottom w:val="nil"/>
          <w:right w:val="nil"/>
          <w:insideH w:val="nil"/>
          <w:insideV w:val="nil"/>
          <w:tl2br w:val="nil"/>
          <w:tr2bl w:val="nil"/>
        </w:tcBorders>
        <w:shd w:val="clear" w:color="auto" w:fill="A7DBFF"/>
      </w:tcPr>
    </w:tblStylePr>
    <w:tblStylePr w:type="band2Vert">
      <w:pPr>
        <w:jc w:val="center"/>
      </w:pPr>
      <w:rPr>
        <w:b/>
        <w:sz w:val="28"/>
      </w:rPr>
      <w:tblPr/>
      <w:tcPr>
        <w:tcBorders>
          <w:top w:val="nil"/>
          <w:left w:val="nil"/>
          <w:bottom w:val="nil"/>
          <w:right w:val="nil"/>
          <w:insideH w:val="nil"/>
          <w:insideV w:val="nil"/>
          <w:tl2br w:val="nil"/>
          <w:tr2bl w:val="nil"/>
        </w:tcBorders>
        <w:shd w:val="clear" w:color="auto" w:fill="C6F094"/>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F8F8F8" w:themeFill="background2"/>
      </w:tcPr>
    </w:tblStylePr>
    <w:tblStylePr w:type="neCell">
      <w:pPr>
        <w:jc w:val="center"/>
      </w:pPr>
      <w:rPr>
        <w:b/>
      </w:rPr>
      <w:tblPr/>
      <w:tcPr>
        <w:tcBorders>
          <w:top w:val="nil"/>
          <w:left w:val="nil"/>
          <w:bottom w:val="nil"/>
          <w:right w:val="nil"/>
          <w:insideH w:val="nil"/>
          <w:insideV w:val="nil"/>
          <w:tl2br w:val="nil"/>
          <w:tr2bl w:val="nil"/>
        </w:tcBorders>
        <w:shd w:val="clear" w:color="auto" w:fill="DCF6BC"/>
      </w:tcPr>
    </w:tblStylePr>
    <w:tblStylePr w:type="nwCell">
      <w:pPr>
        <w:jc w:val="center"/>
      </w:pPr>
      <w:rPr>
        <w:b/>
      </w:rPr>
      <w:tblPr/>
      <w:tcPr>
        <w:tcBorders>
          <w:top w:val="nil"/>
          <w:left w:val="nil"/>
          <w:bottom w:val="nil"/>
          <w:right w:val="nil"/>
          <w:insideH w:val="nil"/>
          <w:insideV w:val="nil"/>
          <w:tl2br w:val="nil"/>
          <w:tr2bl w:val="nil"/>
        </w:tcBorders>
        <w:shd w:val="clear" w:color="auto" w:fill="CDEBFF"/>
      </w:tcPr>
    </w:tblStylePr>
    <w:tblStylePr w:type="seCell">
      <w:tblPr/>
      <w:tcPr>
        <w:tcBorders>
          <w:top w:val="nil"/>
          <w:left w:val="nil"/>
          <w:bottom w:val="nil"/>
          <w:right w:val="nil"/>
          <w:insideH w:val="nil"/>
          <w:insideV w:val="nil"/>
          <w:tl2br w:val="nil"/>
          <w:tr2bl w:val="nil"/>
        </w:tcBorders>
        <w:shd w:val="clear" w:color="auto" w:fill="C6F094"/>
      </w:tcPr>
    </w:tblStylePr>
    <w:tblStylePr w:type="swCell">
      <w:tblPr/>
      <w:tcPr>
        <w:tcBorders>
          <w:top w:val="nil"/>
          <w:left w:val="nil"/>
          <w:bottom w:val="nil"/>
          <w:right w:val="nil"/>
          <w:insideH w:val="nil"/>
          <w:insideV w:val="nil"/>
          <w:tl2br w:val="nil"/>
          <w:tr2bl w:val="nil"/>
        </w:tcBorders>
        <w:shd w:val="clear" w:color="auto" w:fill="A7DBFF"/>
      </w:tcPr>
    </w:tblStylePr>
  </w:style>
  <w:style w:type="table" w:customStyle="1" w:styleId="ECHRTable2016">
    <w:name w:val="ECHR_Table_2016"/>
    <w:basedOn w:val="TableNormal"/>
    <w:uiPriority w:val="99"/>
    <w:rsid w:val="00E67565"/>
    <w:rPr>
      <w:sz w:val="24"/>
      <w:szCs w:val="24"/>
    </w:rPr>
    <w:tblPr>
      <w:tblStyleRowBandSize w:val="1"/>
      <w:tblStyleColBandSize w:val="1"/>
      <w:jc w:val="center"/>
      <w:tblBorders>
        <w:top w:val="single" w:sz="4" w:space="0" w:color="5F5F5F" w:themeColor="accent3"/>
        <w:left w:val="single" w:sz="4" w:space="0" w:color="5F5F5F" w:themeColor="accent3"/>
        <w:bottom w:val="single" w:sz="4" w:space="0" w:color="5F5F5F" w:themeColor="accent3"/>
        <w:right w:val="single" w:sz="4" w:space="0" w:color="5F5F5F" w:themeColor="accent3"/>
        <w:insideH w:val="single" w:sz="4" w:space="0" w:color="5F5F5F" w:themeColor="accent3"/>
        <w:insideV w:val="single" w:sz="4" w:space="0" w:color="5F5F5F" w:themeColor="accent3"/>
      </w:tblBorders>
    </w:tblPr>
    <w:trPr>
      <w:jc w:val="center"/>
    </w:trPr>
    <w:tblStylePr w:type="firstRow">
      <w:rPr>
        <w:rFonts w:asciiTheme="majorHAnsi" w:hAnsiTheme="majorHAnsi"/>
        <w:b/>
        <w:i w:val="0"/>
        <w:color w:val="F8F8F8" w:themeColor="background2"/>
        <w:sz w:val="22"/>
      </w:rPr>
      <w:tblPr/>
      <w:trPr>
        <w:tblHeader/>
      </w:trPr>
      <w:tcPr>
        <w:tcBorders>
          <w:top w:val="single" w:sz="4" w:space="0" w:color="5F5F5F" w:themeColor="accent3"/>
          <w:left w:val="single" w:sz="4" w:space="0" w:color="5F5F5F" w:themeColor="accent3"/>
          <w:bottom w:val="single" w:sz="4" w:space="0" w:color="5F5F5F" w:themeColor="accent3"/>
          <w:right w:val="single" w:sz="4" w:space="0" w:color="5F5F5F" w:themeColor="accent3"/>
          <w:insideH w:val="single" w:sz="4" w:space="0" w:color="5F5F5F" w:themeColor="accent3"/>
          <w:insideV w:val="single" w:sz="4" w:space="0" w:color="F8F8F8" w:themeColor="background2"/>
          <w:tl2br w:val="nil"/>
          <w:tr2bl w:val="nil"/>
        </w:tcBorders>
        <w:shd w:val="clear" w:color="auto" w:fill="5F5F5F" w:themeFill="accent3"/>
      </w:tcPr>
    </w:tblStylePr>
    <w:tblStylePr w:type="lastRow">
      <w:rPr>
        <w:b/>
        <w:i w:val="0"/>
      </w:rPr>
      <w:tblPr/>
      <w:tcPr>
        <w:tcBorders>
          <w:top w:val="single" w:sz="8" w:space="0" w:color="5F5F5F" w:themeColor="accent3"/>
          <w:left w:val="single" w:sz="4" w:space="0" w:color="5F5F5F" w:themeColor="accent3"/>
          <w:bottom w:val="single" w:sz="8" w:space="0" w:color="5F5F5F" w:themeColor="accent3"/>
          <w:right w:val="single" w:sz="4" w:space="0" w:color="5F5F5F" w:themeColor="accent3"/>
          <w:insideH w:val="nil"/>
          <w:insideV w:val="single" w:sz="4" w:space="0" w:color="5F5F5F" w:themeColor="accent3"/>
          <w:tl2br w:val="nil"/>
          <w:tr2bl w:val="nil"/>
        </w:tcBorders>
      </w:tcPr>
    </w:tblStylePr>
    <w:tblStylePr w:type="firstCol">
      <w:rPr>
        <w:rFonts w:asciiTheme="majorHAnsi" w:hAnsiTheme="majorHAnsi"/>
        <w:b/>
        <w:i w:val="0"/>
        <w:color w:val="3E3E3E" w:themeColor="background2" w:themeShade="40"/>
        <w:sz w:val="22"/>
      </w:rPr>
      <w:tblPr/>
      <w:tcPr>
        <w:tcBorders>
          <w:top w:val="single" w:sz="4" w:space="0" w:color="5F5F5F" w:themeColor="accent3"/>
          <w:left w:val="single" w:sz="4" w:space="0" w:color="5F5F5F" w:themeColor="accent3"/>
          <w:bottom w:val="single" w:sz="4" w:space="0" w:color="5F5F5F" w:themeColor="accent3"/>
          <w:right w:val="single" w:sz="4" w:space="0" w:color="5F5F5F" w:themeColor="accent3"/>
          <w:insideH w:val="nil"/>
          <w:insideV w:val="nil"/>
          <w:tl2br w:val="nil"/>
          <w:tr2bl w:val="nil"/>
        </w:tcBorders>
        <w:shd w:val="clear" w:color="auto" w:fill="E8E8E8" w:themeFill="text2" w:themeFillTint="66"/>
      </w:tcPr>
    </w:tblStylePr>
    <w:tblStylePr w:type="lastCol">
      <w:rPr>
        <w:b/>
        <w:i w:val="0"/>
      </w:rPr>
    </w:tblStylePr>
    <w:tblStylePr w:type="band2Vert">
      <w:tblPr/>
      <w:tcPr>
        <w:tcBorders>
          <w:top w:val="single" w:sz="4" w:space="0" w:color="5F5F5F" w:themeColor="accent3"/>
          <w:left w:val="single" w:sz="4" w:space="0" w:color="5F5F5F" w:themeColor="accent3"/>
          <w:bottom w:val="single" w:sz="4" w:space="0" w:color="5F5F5F" w:themeColor="accent3"/>
          <w:right w:val="single" w:sz="4" w:space="0" w:color="5F5F5F" w:themeColor="accent3"/>
          <w:insideH w:val="nil"/>
          <w:insideV w:val="nil"/>
          <w:tl2br w:val="nil"/>
          <w:tr2bl w:val="nil"/>
        </w:tcBorders>
        <w:shd w:val="clear" w:color="auto" w:fill="E8E8E8" w:themeFill="text2" w:themeFillTint="66"/>
      </w:tcPr>
    </w:tblStylePr>
    <w:tblStylePr w:type="band2Horz">
      <w:tblPr/>
      <w:tcPr>
        <w:tcBorders>
          <w:top w:val="single" w:sz="4" w:space="0" w:color="0072BC" w:themeColor="accent1"/>
          <w:left w:val="single" w:sz="4" w:space="0" w:color="0072BC" w:themeColor="accent1"/>
          <w:bottom w:val="single" w:sz="4" w:space="0" w:color="0072BC" w:themeColor="accent1"/>
          <w:right w:val="single" w:sz="4" w:space="0" w:color="0072BC" w:themeColor="accent1"/>
          <w:insideH w:val="single" w:sz="4" w:space="0" w:color="0072BC" w:themeColor="accent1"/>
          <w:insideV w:val="single" w:sz="4" w:space="0" w:color="0072BC" w:themeColor="accent1"/>
          <w:tl2br w:val="nil"/>
          <w:tr2bl w:val="nil"/>
        </w:tcBorders>
        <w:shd w:val="clear" w:color="auto" w:fill="E8E8E8" w:themeFill="text2" w:themeFillTint="66"/>
      </w:tcPr>
    </w:tblStylePr>
  </w:style>
  <w:style w:type="paragraph" w:customStyle="1" w:styleId="ECHRTitle1">
    <w:name w:val="ECHR_Title_1"/>
    <w:aliases w:val="_Title_L_1"/>
    <w:basedOn w:val="Normal"/>
    <w:next w:val="Normal"/>
    <w:uiPriority w:val="28"/>
    <w:semiHidden/>
    <w:qFormat/>
    <w:rsid w:val="00E67565"/>
    <w:pPr>
      <w:keepNext/>
      <w:keepLines/>
      <w:spacing w:before="240"/>
      <w:contextualSpacing/>
    </w:pPr>
    <w:rPr>
      <w:rFonts w:asciiTheme="majorHAnsi" w:hAnsiTheme="majorHAnsi"/>
      <w:b/>
      <w:color w:val="2F2F2F" w:themeColor="accent3" w:themeShade="80"/>
      <w:sz w:val="32"/>
    </w:rPr>
  </w:style>
  <w:style w:type="paragraph" w:customStyle="1" w:styleId="ECHRTitle2">
    <w:name w:val="ECHR_Title_2"/>
    <w:aliases w:val="_Title_L_2"/>
    <w:basedOn w:val="Normal"/>
    <w:next w:val="Normal"/>
    <w:uiPriority w:val="28"/>
    <w:semiHidden/>
    <w:qFormat/>
    <w:rsid w:val="00E67565"/>
    <w:pPr>
      <w:keepNext/>
      <w:keepLines/>
      <w:spacing w:before="240"/>
      <w:contextualSpacing/>
    </w:pPr>
    <w:rPr>
      <w:rFonts w:asciiTheme="majorHAnsi" w:hAnsiTheme="majorHAnsi"/>
      <w:b/>
      <w:color w:val="474747" w:themeColor="accent3" w:themeShade="BF"/>
      <w:sz w:val="28"/>
    </w:rPr>
  </w:style>
  <w:style w:type="paragraph" w:customStyle="1" w:styleId="ECHRTitle3">
    <w:name w:val="ECHR_Title_3"/>
    <w:aliases w:val="_Title_L_3"/>
    <w:basedOn w:val="Normal"/>
    <w:next w:val="Normal"/>
    <w:uiPriority w:val="28"/>
    <w:semiHidden/>
    <w:qFormat/>
    <w:rsid w:val="00E67565"/>
    <w:pPr>
      <w:keepNext/>
      <w:keepLines/>
      <w:spacing w:before="240"/>
      <w:contextualSpacing/>
    </w:pPr>
    <w:rPr>
      <w:rFonts w:asciiTheme="majorHAnsi" w:hAnsiTheme="majorHAnsi"/>
      <w:b/>
      <w:color w:val="474747" w:themeColor="accent3" w:themeShade="BF"/>
    </w:rPr>
  </w:style>
  <w:style w:type="paragraph" w:customStyle="1" w:styleId="ECHRTitleCentre1">
    <w:name w:val="ECHR_Title_Centre_1"/>
    <w:aliases w:val="_Title_C_1"/>
    <w:basedOn w:val="Normal"/>
    <w:next w:val="Normal"/>
    <w:uiPriority w:val="26"/>
    <w:semiHidden/>
    <w:qFormat/>
    <w:rsid w:val="00E67565"/>
    <w:pPr>
      <w:keepNext/>
      <w:keepLines/>
      <w:spacing w:before="240"/>
      <w:contextualSpacing/>
      <w:jc w:val="center"/>
    </w:pPr>
    <w:rPr>
      <w:rFonts w:asciiTheme="majorHAnsi" w:hAnsiTheme="majorHAnsi"/>
      <w:b/>
      <w:color w:val="2F2F2F" w:themeColor="accent3" w:themeShade="80"/>
      <w:sz w:val="32"/>
    </w:rPr>
  </w:style>
  <w:style w:type="paragraph" w:customStyle="1" w:styleId="ECHRTitleCentre2">
    <w:name w:val="ECHR_Title_Centre_2"/>
    <w:aliases w:val="_Title_C_2"/>
    <w:basedOn w:val="Normal"/>
    <w:next w:val="Normal"/>
    <w:uiPriority w:val="26"/>
    <w:semiHidden/>
    <w:qFormat/>
    <w:rsid w:val="00E67565"/>
    <w:pPr>
      <w:keepNext/>
      <w:keepLines/>
      <w:spacing w:before="240"/>
      <w:contextualSpacing/>
      <w:jc w:val="center"/>
    </w:pPr>
    <w:rPr>
      <w:rFonts w:asciiTheme="majorHAnsi" w:hAnsiTheme="majorHAnsi"/>
      <w:b/>
      <w:color w:val="474747" w:themeColor="accent3" w:themeShade="BF"/>
      <w:sz w:val="28"/>
    </w:rPr>
  </w:style>
  <w:style w:type="paragraph" w:customStyle="1" w:styleId="ECHRTitleCentre3">
    <w:name w:val="ECHR_Title_Centre_3"/>
    <w:aliases w:val="_Title_C_3"/>
    <w:basedOn w:val="Normal"/>
    <w:next w:val="Normal"/>
    <w:uiPriority w:val="26"/>
    <w:semiHidden/>
    <w:qFormat/>
    <w:rsid w:val="00E67565"/>
    <w:pPr>
      <w:keepNext/>
      <w:keepLines/>
      <w:spacing w:before="240"/>
      <w:contextualSpacing/>
      <w:jc w:val="center"/>
    </w:pPr>
    <w:rPr>
      <w:rFonts w:asciiTheme="majorHAnsi" w:hAnsiTheme="majorHAnsi"/>
      <w:b/>
      <w:color w:val="474747" w:themeColor="accent3" w:themeShade="BF"/>
    </w:rPr>
  </w:style>
  <w:style w:type="paragraph" w:customStyle="1" w:styleId="ECHRTitleCentreTOC1">
    <w:name w:val="ECHR_Title_Centre_TOC_1"/>
    <w:aliases w:val="_Title_C_TOC"/>
    <w:basedOn w:val="ECHRTitleCentre1"/>
    <w:next w:val="Normal"/>
    <w:uiPriority w:val="25"/>
    <w:semiHidden/>
    <w:qFormat/>
    <w:rsid w:val="00E67565"/>
    <w:pPr>
      <w:outlineLvl w:val="0"/>
    </w:pPr>
  </w:style>
  <w:style w:type="paragraph" w:customStyle="1" w:styleId="ECHRTitleTOC1">
    <w:name w:val="ECHR_Title_TOC_1"/>
    <w:aliases w:val="_Title_L_TOC"/>
    <w:basedOn w:val="ECHRTitle1"/>
    <w:next w:val="Normal"/>
    <w:uiPriority w:val="27"/>
    <w:semiHidden/>
    <w:qFormat/>
    <w:rsid w:val="00E67565"/>
    <w:pPr>
      <w:outlineLvl w:val="0"/>
    </w:pPr>
  </w:style>
  <w:style w:type="paragraph" w:customStyle="1" w:styleId="ECHRPlaceholder">
    <w:name w:val="ECHR_Placeholder"/>
    <w:aliases w:val="_Placeholder"/>
    <w:basedOn w:val="JuSigned"/>
    <w:uiPriority w:val="31"/>
    <w:rsid w:val="00E67565"/>
    <w:rPr>
      <w:color w:val="FFFFFF"/>
    </w:rPr>
  </w:style>
  <w:style w:type="paragraph" w:customStyle="1" w:styleId="ECHRSpacer">
    <w:name w:val="ECHR_Spacer"/>
    <w:aliases w:val="_Spacer"/>
    <w:basedOn w:val="Normal"/>
    <w:uiPriority w:val="45"/>
    <w:semiHidden/>
    <w:rsid w:val="00E67565"/>
    <w:rPr>
      <w:sz w:val="4"/>
    </w:rPr>
  </w:style>
  <w:style w:type="table" w:customStyle="1" w:styleId="ECHRTableGrey">
    <w:name w:val="ECHR_Table_Grey"/>
    <w:basedOn w:val="TableNormal"/>
    <w:uiPriority w:val="99"/>
    <w:rsid w:val="00E67565"/>
    <w:pPr>
      <w:tabs>
        <w:tab w:val="left" w:pos="397"/>
      </w:tabs>
    </w:pPr>
    <w:tblPr>
      <w:jc w:val="center"/>
      <w:tblBorders>
        <w:top w:val="single" w:sz="4" w:space="0" w:color="636363" w:themeColor="text2" w:themeShade="80"/>
        <w:left w:val="single" w:sz="4" w:space="0" w:color="636363" w:themeColor="text2" w:themeShade="80"/>
        <w:bottom w:val="single" w:sz="4" w:space="0" w:color="636363" w:themeColor="text2" w:themeShade="80"/>
        <w:right w:val="single" w:sz="4" w:space="0" w:color="636363" w:themeColor="text2" w:themeShade="80"/>
      </w:tblBorders>
      <w:tblCellMar>
        <w:top w:w="142" w:type="dxa"/>
        <w:bottom w:w="85" w:type="dxa"/>
      </w:tblCellMar>
    </w:tblPr>
    <w:trPr>
      <w:jc w:val="center"/>
    </w:trPr>
    <w:tcPr>
      <w:shd w:val="clear" w:color="auto" w:fill="F8F8F8" w:themeFill="background2"/>
    </w:tcPr>
    <w:tblStylePr w:type="firstRow">
      <w:rPr>
        <w:b/>
        <w:color w:val="262626" w:themeColor="text1" w:themeTint="D9"/>
      </w:rPr>
    </w:tblStylePr>
  </w:style>
  <w:style w:type="character" w:customStyle="1" w:styleId="jlqj4b">
    <w:name w:val="jlqj4b"/>
    <w:basedOn w:val="DefaultParagraphFont"/>
    <w:rsid w:val="00464AB7"/>
  </w:style>
  <w:style w:type="character" w:customStyle="1" w:styleId="JuParaChar">
    <w:name w:val="Ju_Para Char"/>
    <w:aliases w:val="_Para Char"/>
    <w:link w:val="JuPara"/>
    <w:uiPriority w:val="4"/>
    <w:rsid w:val="008864BB"/>
    <w:rPr>
      <w:sz w:val="24"/>
      <w:szCs w:val="24"/>
      <w:lang w:val="en-GB"/>
    </w:rPr>
  </w:style>
  <w:style w:type="table" w:styleId="GridTable1Light">
    <w:name w:val="Grid Table 1 Light"/>
    <w:basedOn w:val="TableNormal"/>
    <w:uiPriority w:val="46"/>
    <w:rsid w:val="008864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JuNames0">
    <w:name w:val="Ju_Names"/>
    <w:rsid w:val="008864BB"/>
    <w:rPr>
      <w:smallCaps/>
    </w:rPr>
  </w:style>
  <w:style w:type="paragraph" w:customStyle="1" w:styleId="JuList4">
    <w:name w:val="Ju_List_4"/>
    <w:aliases w:val="N_Bul_4"/>
    <w:basedOn w:val="JuListi"/>
    <w:uiPriority w:val="19"/>
    <w:rsid w:val="008864BB"/>
    <w:pPr>
      <w:numPr>
        <w:ilvl w:val="0"/>
        <w:numId w:val="0"/>
      </w:numPr>
      <w:tabs>
        <w:tab w:val="num" w:pos="1701"/>
      </w:tabs>
      <w:spacing w:before="60" w:after="60" w:line="240" w:lineRule="exact"/>
      <w:ind w:left="1703" w:hanging="284"/>
      <w:contextualSpacing/>
    </w:pPr>
    <w:rPr>
      <w:sz w:val="22"/>
      <w:lang w:val="fr-FR" w:eastAsia="fr-FR"/>
    </w:rPr>
  </w:style>
  <w:style w:type="table" w:styleId="GridTable1Light-Accent1">
    <w:name w:val="Grid Table 1 Light Accent 1"/>
    <w:basedOn w:val="TableNormal"/>
    <w:uiPriority w:val="46"/>
    <w:rsid w:val="008864BB"/>
    <w:tblPr>
      <w:tblStyleRowBandSize w:val="1"/>
      <w:tblStyleColBandSize w:val="1"/>
      <w:tblBorders>
        <w:top w:val="single" w:sz="4" w:space="0" w:color="7ECBFF" w:themeColor="accent1" w:themeTint="66"/>
        <w:left w:val="single" w:sz="4" w:space="0" w:color="7ECBFF" w:themeColor="accent1" w:themeTint="66"/>
        <w:bottom w:val="single" w:sz="4" w:space="0" w:color="7ECBFF" w:themeColor="accent1" w:themeTint="66"/>
        <w:right w:val="single" w:sz="4" w:space="0" w:color="7ECBFF" w:themeColor="accent1" w:themeTint="66"/>
        <w:insideH w:val="single" w:sz="4" w:space="0" w:color="7ECBFF" w:themeColor="accent1" w:themeTint="66"/>
        <w:insideV w:val="single" w:sz="4" w:space="0" w:color="7ECBFF" w:themeColor="accent1" w:themeTint="66"/>
      </w:tblBorders>
    </w:tblPr>
    <w:tblStylePr w:type="firstRow">
      <w:rPr>
        <w:b/>
        <w:bCs/>
      </w:rPr>
      <w:tblPr/>
      <w:tcPr>
        <w:tcBorders>
          <w:bottom w:val="single" w:sz="12" w:space="0" w:color="3DB2FF" w:themeColor="accent1" w:themeTint="99"/>
        </w:tcBorders>
      </w:tcPr>
    </w:tblStylePr>
    <w:tblStylePr w:type="lastRow">
      <w:rPr>
        <w:b/>
        <w:bCs/>
      </w:rPr>
      <w:tblPr/>
      <w:tcPr>
        <w:tcBorders>
          <w:top w:val="double" w:sz="2" w:space="0" w:color="3DB2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864BB"/>
    <w:tblPr>
      <w:tblStyleRowBandSize w:val="1"/>
      <w:tblStyleColBandSize w:val="1"/>
      <w:tblBorders>
        <w:top w:val="single" w:sz="4" w:space="0" w:color="FF7F7F" w:themeColor="accent2" w:themeTint="66"/>
        <w:left w:val="single" w:sz="4" w:space="0" w:color="FF7F7F" w:themeColor="accent2" w:themeTint="66"/>
        <w:bottom w:val="single" w:sz="4" w:space="0" w:color="FF7F7F" w:themeColor="accent2" w:themeTint="66"/>
        <w:right w:val="single" w:sz="4" w:space="0" w:color="FF7F7F" w:themeColor="accent2" w:themeTint="66"/>
        <w:insideH w:val="single" w:sz="4" w:space="0" w:color="FF7F7F" w:themeColor="accent2" w:themeTint="66"/>
        <w:insideV w:val="single" w:sz="4" w:space="0" w:color="FF7F7F" w:themeColor="accent2" w:themeTint="66"/>
      </w:tblBorders>
    </w:tblPr>
    <w:tblStylePr w:type="firstRow">
      <w:rPr>
        <w:b/>
        <w:bCs/>
      </w:rPr>
      <w:tblPr/>
      <w:tcPr>
        <w:tcBorders>
          <w:bottom w:val="single" w:sz="12" w:space="0" w:color="FF4040" w:themeColor="accent2" w:themeTint="99"/>
        </w:tcBorders>
      </w:tcPr>
    </w:tblStylePr>
    <w:tblStylePr w:type="lastRow">
      <w:rPr>
        <w:b/>
        <w:bCs/>
      </w:rPr>
      <w:tblPr/>
      <w:tcPr>
        <w:tcBorders>
          <w:top w:val="double" w:sz="2" w:space="0" w:color="FF404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864BB"/>
    <w:tblPr>
      <w:tblStyleRowBandSize w:val="1"/>
      <w:tblStyleColBandSize w:val="1"/>
      <w:tblBorders>
        <w:top w:val="single" w:sz="4" w:space="0" w:color="BFBFBF" w:themeColor="accent3" w:themeTint="66"/>
        <w:left w:val="single" w:sz="4" w:space="0" w:color="BFBFBF" w:themeColor="accent3" w:themeTint="66"/>
        <w:bottom w:val="single" w:sz="4" w:space="0" w:color="BFBFBF" w:themeColor="accent3" w:themeTint="66"/>
        <w:right w:val="single" w:sz="4" w:space="0" w:color="BFBFBF" w:themeColor="accent3" w:themeTint="66"/>
        <w:insideH w:val="single" w:sz="4" w:space="0" w:color="BFBFBF" w:themeColor="accent3" w:themeTint="66"/>
        <w:insideV w:val="single" w:sz="4" w:space="0" w:color="BFBFBF" w:themeColor="accent3" w:themeTint="66"/>
      </w:tblBorders>
    </w:tblPr>
    <w:tblStylePr w:type="firstRow">
      <w:rPr>
        <w:b/>
        <w:bCs/>
      </w:rPr>
      <w:tblPr/>
      <w:tcPr>
        <w:tcBorders>
          <w:bottom w:val="single" w:sz="12" w:space="0" w:color="9F9F9F" w:themeColor="accent3" w:themeTint="99"/>
        </w:tcBorders>
      </w:tcPr>
    </w:tblStylePr>
    <w:tblStylePr w:type="lastRow">
      <w:rPr>
        <w:b/>
        <w:bCs/>
      </w:rPr>
      <w:tblPr/>
      <w:tcPr>
        <w:tcBorders>
          <w:top w:val="double" w:sz="2" w:space="0" w:color="9F9F9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864BB"/>
    <w:tblPr>
      <w:tblStyleRowBandSize w:val="1"/>
      <w:tblStyleColBandSize w:val="1"/>
      <w:tblBorders>
        <w:top w:val="single" w:sz="4" w:space="0" w:color="D5D5D5" w:themeColor="accent4" w:themeTint="66"/>
        <w:left w:val="single" w:sz="4" w:space="0" w:color="D5D5D5" w:themeColor="accent4" w:themeTint="66"/>
        <w:bottom w:val="single" w:sz="4" w:space="0" w:color="D5D5D5" w:themeColor="accent4" w:themeTint="66"/>
        <w:right w:val="single" w:sz="4" w:space="0" w:color="D5D5D5" w:themeColor="accent4" w:themeTint="66"/>
        <w:insideH w:val="single" w:sz="4" w:space="0" w:color="D5D5D5" w:themeColor="accent4" w:themeTint="66"/>
        <w:insideV w:val="single" w:sz="4" w:space="0" w:color="D5D5D5" w:themeColor="accent4" w:themeTint="66"/>
      </w:tblBorders>
    </w:tblPr>
    <w:tblStylePr w:type="firstRow">
      <w:rPr>
        <w:b/>
        <w:bCs/>
      </w:rPr>
      <w:tblPr/>
      <w:tcPr>
        <w:tcBorders>
          <w:bottom w:val="single" w:sz="12" w:space="0" w:color="C0C0C0" w:themeColor="accent4" w:themeTint="99"/>
        </w:tcBorders>
      </w:tcPr>
    </w:tblStylePr>
    <w:tblStylePr w:type="lastRow">
      <w:rPr>
        <w:b/>
        <w:bCs/>
      </w:rPr>
      <w:tblPr/>
      <w:tcPr>
        <w:tcBorders>
          <w:top w:val="double" w:sz="2" w:space="0" w:color="C0C0C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864BB"/>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864BB"/>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864B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0072BC" w:themeFill="background1"/>
      </w:tcPr>
    </w:tblStylePr>
    <w:tblStylePr w:type="lastRow">
      <w:rPr>
        <w:b/>
        <w:bCs/>
      </w:rPr>
      <w:tblPr/>
      <w:tcPr>
        <w:tcBorders>
          <w:top w:val="double" w:sz="2" w:space="0" w:color="666666" w:themeColor="text1" w:themeTint="99"/>
          <w:bottom w:val="nil"/>
          <w:insideH w:val="nil"/>
          <w:insideV w:val="nil"/>
        </w:tcBorders>
        <w:shd w:val="clear" w:color="auto" w:fill="0072BC"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864BB"/>
    <w:tblPr>
      <w:tblStyleRowBandSize w:val="1"/>
      <w:tblStyleColBandSize w:val="1"/>
      <w:tblBorders>
        <w:top w:val="single" w:sz="2" w:space="0" w:color="3DB2FF" w:themeColor="accent1" w:themeTint="99"/>
        <w:bottom w:val="single" w:sz="2" w:space="0" w:color="3DB2FF" w:themeColor="accent1" w:themeTint="99"/>
        <w:insideH w:val="single" w:sz="2" w:space="0" w:color="3DB2FF" w:themeColor="accent1" w:themeTint="99"/>
        <w:insideV w:val="single" w:sz="2" w:space="0" w:color="3DB2FF" w:themeColor="accent1" w:themeTint="99"/>
      </w:tblBorders>
    </w:tblPr>
    <w:tblStylePr w:type="firstRow">
      <w:rPr>
        <w:b/>
        <w:bCs/>
      </w:rPr>
      <w:tblPr/>
      <w:tcPr>
        <w:tcBorders>
          <w:top w:val="nil"/>
          <w:bottom w:val="single" w:sz="12" w:space="0" w:color="3DB2FF" w:themeColor="accent1" w:themeTint="99"/>
          <w:insideH w:val="nil"/>
          <w:insideV w:val="nil"/>
        </w:tcBorders>
        <w:shd w:val="clear" w:color="auto" w:fill="0072BC" w:themeFill="background1"/>
      </w:tcPr>
    </w:tblStylePr>
    <w:tblStylePr w:type="lastRow">
      <w:rPr>
        <w:b/>
        <w:bCs/>
      </w:rPr>
      <w:tblPr/>
      <w:tcPr>
        <w:tcBorders>
          <w:top w:val="double" w:sz="2" w:space="0" w:color="3DB2FF" w:themeColor="accent1" w:themeTint="99"/>
          <w:bottom w:val="nil"/>
          <w:insideH w:val="nil"/>
          <w:insideV w:val="nil"/>
        </w:tcBorders>
        <w:shd w:val="clear" w:color="auto" w:fill="0072BC" w:themeFill="background1"/>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GridTable2-Accent2">
    <w:name w:val="Grid Table 2 Accent 2"/>
    <w:basedOn w:val="TableNormal"/>
    <w:uiPriority w:val="47"/>
    <w:rsid w:val="008864BB"/>
    <w:tblPr>
      <w:tblStyleRowBandSize w:val="1"/>
      <w:tblStyleColBandSize w:val="1"/>
      <w:tblBorders>
        <w:top w:val="single" w:sz="2" w:space="0" w:color="FF4040" w:themeColor="accent2" w:themeTint="99"/>
        <w:bottom w:val="single" w:sz="2" w:space="0" w:color="FF4040" w:themeColor="accent2" w:themeTint="99"/>
        <w:insideH w:val="single" w:sz="2" w:space="0" w:color="FF4040" w:themeColor="accent2" w:themeTint="99"/>
        <w:insideV w:val="single" w:sz="2" w:space="0" w:color="FF4040" w:themeColor="accent2" w:themeTint="99"/>
      </w:tblBorders>
    </w:tblPr>
    <w:tblStylePr w:type="firstRow">
      <w:rPr>
        <w:b/>
        <w:bCs/>
      </w:rPr>
      <w:tblPr/>
      <w:tcPr>
        <w:tcBorders>
          <w:top w:val="nil"/>
          <w:bottom w:val="single" w:sz="12" w:space="0" w:color="FF4040" w:themeColor="accent2" w:themeTint="99"/>
          <w:insideH w:val="nil"/>
          <w:insideV w:val="nil"/>
        </w:tcBorders>
        <w:shd w:val="clear" w:color="auto" w:fill="0072BC" w:themeFill="background1"/>
      </w:tcPr>
    </w:tblStylePr>
    <w:tblStylePr w:type="lastRow">
      <w:rPr>
        <w:b/>
        <w:bCs/>
      </w:rPr>
      <w:tblPr/>
      <w:tcPr>
        <w:tcBorders>
          <w:top w:val="double" w:sz="2" w:space="0" w:color="FF4040" w:themeColor="accent2" w:themeTint="99"/>
          <w:bottom w:val="nil"/>
          <w:insideH w:val="nil"/>
          <w:insideV w:val="nil"/>
        </w:tcBorders>
        <w:shd w:val="clear" w:color="auto" w:fill="0072BC" w:themeFill="background1"/>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GridTable2-Accent3">
    <w:name w:val="Grid Table 2 Accent 3"/>
    <w:basedOn w:val="TableNormal"/>
    <w:uiPriority w:val="47"/>
    <w:rsid w:val="008864BB"/>
    <w:tblPr>
      <w:tblStyleRowBandSize w:val="1"/>
      <w:tblStyleColBandSize w:val="1"/>
      <w:tblBorders>
        <w:top w:val="single" w:sz="2" w:space="0" w:color="9F9F9F" w:themeColor="accent3" w:themeTint="99"/>
        <w:bottom w:val="single" w:sz="2" w:space="0" w:color="9F9F9F" w:themeColor="accent3" w:themeTint="99"/>
        <w:insideH w:val="single" w:sz="2" w:space="0" w:color="9F9F9F" w:themeColor="accent3" w:themeTint="99"/>
        <w:insideV w:val="single" w:sz="2" w:space="0" w:color="9F9F9F" w:themeColor="accent3" w:themeTint="99"/>
      </w:tblBorders>
    </w:tblPr>
    <w:tblStylePr w:type="firstRow">
      <w:rPr>
        <w:b/>
        <w:bCs/>
      </w:rPr>
      <w:tblPr/>
      <w:tcPr>
        <w:tcBorders>
          <w:top w:val="nil"/>
          <w:bottom w:val="single" w:sz="12" w:space="0" w:color="9F9F9F" w:themeColor="accent3" w:themeTint="99"/>
          <w:insideH w:val="nil"/>
          <w:insideV w:val="nil"/>
        </w:tcBorders>
        <w:shd w:val="clear" w:color="auto" w:fill="0072BC" w:themeFill="background1"/>
      </w:tcPr>
    </w:tblStylePr>
    <w:tblStylePr w:type="lastRow">
      <w:rPr>
        <w:b/>
        <w:bCs/>
      </w:rPr>
      <w:tblPr/>
      <w:tcPr>
        <w:tcBorders>
          <w:top w:val="double" w:sz="2" w:space="0" w:color="9F9F9F" w:themeColor="accent3" w:themeTint="99"/>
          <w:bottom w:val="nil"/>
          <w:insideH w:val="nil"/>
          <w:insideV w:val="nil"/>
        </w:tcBorders>
        <w:shd w:val="clear" w:color="auto" w:fill="0072BC" w:themeFill="background1"/>
      </w:tcPr>
    </w:tblStylePr>
    <w:tblStylePr w:type="firstCol">
      <w:rPr>
        <w:b/>
        <w:bCs/>
      </w:rPr>
    </w:tblStylePr>
    <w:tblStylePr w:type="lastCol">
      <w:rPr>
        <w:b/>
        <w:bCs/>
      </w:rPr>
    </w:tblStylePr>
    <w:tblStylePr w:type="band1Vert">
      <w:tblPr/>
      <w:tcPr>
        <w:shd w:val="clear" w:color="auto" w:fill="DFDFDF" w:themeFill="accent3" w:themeFillTint="33"/>
      </w:tcPr>
    </w:tblStylePr>
    <w:tblStylePr w:type="band1Horz">
      <w:tblPr/>
      <w:tcPr>
        <w:shd w:val="clear" w:color="auto" w:fill="DFDFDF" w:themeFill="accent3" w:themeFillTint="33"/>
      </w:tcPr>
    </w:tblStylePr>
  </w:style>
  <w:style w:type="table" w:styleId="GridTable2-Accent4">
    <w:name w:val="Grid Table 2 Accent 4"/>
    <w:basedOn w:val="TableNormal"/>
    <w:uiPriority w:val="47"/>
    <w:rsid w:val="008864BB"/>
    <w:tblPr>
      <w:tblStyleRowBandSize w:val="1"/>
      <w:tblStyleColBandSize w:val="1"/>
      <w:tblBorders>
        <w:top w:val="single" w:sz="2" w:space="0" w:color="C0C0C0" w:themeColor="accent4" w:themeTint="99"/>
        <w:bottom w:val="single" w:sz="2" w:space="0" w:color="C0C0C0" w:themeColor="accent4" w:themeTint="99"/>
        <w:insideH w:val="single" w:sz="2" w:space="0" w:color="C0C0C0" w:themeColor="accent4" w:themeTint="99"/>
        <w:insideV w:val="single" w:sz="2" w:space="0" w:color="C0C0C0" w:themeColor="accent4" w:themeTint="99"/>
      </w:tblBorders>
    </w:tblPr>
    <w:tblStylePr w:type="firstRow">
      <w:rPr>
        <w:b/>
        <w:bCs/>
      </w:rPr>
      <w:tblPr/>
      <w:tcPr>
        <w:tcBorders>
          <w:top w:val="nil"/>
          <w:bottom w:val="single" w:sz="12" w:space="0" w:color="C0C0C0" w:themeColor="accent4" w:themeTint="99"/>
          <w:insideH w:val="nil"/>
          <w:insideV w:val="nil"/>
        </w:tcBorders>
        <w:shd w:val="clear" w:color="auto" w:fill="0072BC" w:themeFill="background1"/>
      </w:tcPr>
    </w:tblStylePr>
    <w:tblStylePr w:type="lastRow">
      <w:rPr>
        <w:b/>
        <w:bCs/>
      </w:rPr>
      <w:tblPr/>
      <w:tcPr>
        <w:tcBorders>
          <w:top w:val="double" w:sz="2" w:space="0" w:color="C0C0C0" w:themeColor="accent4" w:themeTint="99"/>
          <w:bottom w:val="nil"/>
          <w:insideH w:val="nil"/>
          <w:insideV w:val="nil"/>
        </w:tcBorders>
        <w:shd w:val="clear" w:color="auto" w:fill="0072BC" w:themeFill="background1"/>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GridTable2-Accent5">
    <w:name w:val="Grid Table 2 Accent 5"/>
    <w:basedOn w:val="TableNormal"/>
    <w:uiPriority w:val="47"/>
    <w:rsid w:val="008864BB"/>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0072BC" w:themeFill="background1"/>
      </w:tcPr>
    </w:tblStylePr>
    <w:tblStylePr w:type="lastRow">
      <w:rPr>
        <w:b/>
        <w:bCs/>
      </w:rPr>
      <w:tblPr/>
      <w:tcPr>
        <w:tcBorders>
          <w:top w:val="double" w:sz="2" w:space="0" w:color="9F9F9F" w:themeColor="accent5" w:themeTint="99"/>
          <w:bottom w:val="nil"/>
          <w:insideH w:val="nil"/>
          <w:insideV w:val="nil"/>
        </w:tcBorders>
        <w:shd w:val="clear" w:color="auto" w:fill="0072BC"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8864BB"/>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0072BC" w:themeFill="background1"/>
      </w:tcPr>
    </w:tblStylePr>
    <w:tblStylePr w:type="lastRow">
      <w:rPr>
        <w:b/>
        <w:bCs/>
      </w:rPr>
      <w:tblPr/>
      <w:tcPr>
        <w:tcBorders>
          <w:top w:val="double" w:sz="2" w:space="0" w:color="949494" w:themeColor="accent6" w:themeTint="99"/>
          <w:bottom w:val="nil"/>
          <w:insideH w:val="nil"/>
          <w:insideV w:val="nil"/>
        </w:tcBorders>
        <w:shd w:val="clear" w:color="auto" w:fill="0072BC"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8864B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864BB"/>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insideV w:val="single" w:sz="4" w:space="0" w:color="3DB2FF" w:themeColor="accent1"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BEE5FF" w:themeFill="accent1" w:themeFillTint="33"/>
      </w:tcPr>
    </w:tblStylePr>
    <w:tblStylePr w:type="band1Horz">
      <w:tblPr/>
      <w:tcPr>
        <w:shd w:val="clear" w:color="auto" w:fill="BEE5FF" w:themeFill="accent1" w:themeFillTint="33"/>
      </w:tcPr>
    </w:tblStylePr>
    <w:tblStylePr w:type="neCell">
      <w:tblPr/>
      <w:tcPr>
        <w:tcBorders>
          <w:bottom w:val="single" w:sz="4" w:space="0" w:color="3DB2FF" w:themeColor="accent1" w:themeTint="99"/>
        </w:tcBorders>
      </w:tcPr>
    </w:tblStylePr>
    <w:tblStylePr w:type="nwCell">
      <w:tblPr/>
      <w:tcPr>
        <w:tcBorders>
          <w:bottom w:val="single" w:sz="4" w:space="0" w:color="3DB2FF" w:themeColor="accent1" w:themeTint="99"/>
        </w:tcBorders>
      </w:tcPr>
    </w:tblStylePr>
    <w:tblStylePr w:type="seCell">
      <w:tblPr/>
      <w:tcPr>
        <w:tcBorders>
          <w:top w:val="single" w:sz="4" w:space="0" w:color="3DB2FF" w:themeColor="accent1" w:themeTint="99"/>
        </w:tcBorders>
      </w:tcPr>
    </w:tblStylePr>
    <w:tblStylePr w:type="swCell">
      <w:tblPr/>
      <w:tcPr>
        <w:tcBorders>
          <w:top w:val="single" w:sz="4" w:space="0" w:color="3DB2FF" w:themeColor="accent1" w:themeTint="99"/>
        </w:tcBorders>
      </w:tcPr>
    </w:tblStylePr>
  </w:style>
  <w:style w:type="table" w:styleId="GridTable3-Accent2">
    <w:name w:val="Grid Table 3 Accent 2"/>
    <w:basedOn w:val="TableNormal"/>
    <w:uiPriority w:val="48"/>
    <w:rsid w:val="008864BB"/>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insideV w:val="single" w:sz="4" w:space="0" w:color="FF4040" w:themeColor="accent2"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FFBFBF" w:themeFill="accent2" w:themeFillTint="33"/>
      </w:tcPr>
    </w:tblStylePr>
    <w:tblStylePr w:type="band1Horz">
      <w:tblPr/>
      <w:tcPr>
        <w:shd w:val="clear" w:color="auto" w:fill="FFBFBF" w:themeFill="accent2" w:themeFillTint="33"/>
      </w:tcPr>
    </w:tblStylePr>
    <w:tblStylePr w:type="neCell">
      <w:tblPr/>
      <w:tcPr>
        <w:tcBorders>
          <w:bottom w:val="single" w:sz="4" w:space="0" w:color="FF4040" w:themeColor="accent2" w:themeTint="99"/>
        </w:tcBorders>
      </w:tcPr>
    </w:tblStylePr>
    <w:tblStylePr w:type="nwCell">
      <w:tblPr/>
      <w:tcPr>
        <w:tcBorders>
          <w:bottom w:val="single" w:sz="4" w:space="0" w:color="FF4040" w:themeColor="accent2" w:themeTint="99"/>
        </w:tcBorders>
      </w:tcPr>
    </w:tblStylePr>
    <w:tblStylePr w:type="seCell">
      <w:tblPr/>
      <w:tcPr>
        <w:tcBorders>
          <w:top w:val="single" w:sz="4" w:space="0" w:color="FF4040" w:themeColor="accent2" w:themeTint="99"/>
        </w:tcBorders>
      </w:tcPr>
    </w:tblStylePr>
    <w:tblStylePr w:type="swCell">
      <w:tblPr/>
      <w:tcPr>
        <w:tcBorders>
          <w:top w:val="single" w:sz="4" w:space="0" w:color="FF4040" w:themeColor="accent2" w:themeTint="99"/>
        </w:tcBorders>
      </w:tcPr>
    </w:tblStylePr>
  </w:style>
  <w:style w:type="table" w:styleId="GridTable3-Accent3">
    <w:name w:val="Grid Table 3 Accent 3"/>
    <w:basedOn w:val="TableNormal"/>
    <w:uiPriority w:val="48"/>
    <w:rsid w:val="008864BB"/>
    <w:tblPr>
      <w:tblStyleRowBandSize w:val="1"/>
      <w:tblStyleColBandSize w:val="1"/>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insideH w:val="single" w:sz="4" w:space="0" w:color="9F9F9F" w:themeColor="accent3" w:themeTint="99"/>
        <w:insideV w:val="single" w:sz="4" w:space="0" w:color="9F9F9F" w:themeColor="accent3"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DFDFDF" w:themeFill="accent3" w:themeFillTint="33"/>
      </w:tcPr>
    </w:tblStylePr>
    <w:tblStylePr w:type="band1Horz">
      <w:tblPr/>
      <w:tcPr>
        <w:shd w:val="clear" w:color="auto" w:fill="DFDFDF" w:themeFill="accent3" w:themeFillTint="33"/>
      </w:tcPr>
    </w:tblStylePr>
    <w:tblStylePr w:type="neCell">
      <w:tblPr/>
      <w:tcPr>
        <w:tcBorders>
          <w:bottom w:val="single" w:sz="4" w:space="0" w:color="9F9F9F" w:themeColor="accent3" w:themeTint="99"/>
        </w:tcBorders>
      </w:tcPr>
    </w:tblStylePr>
    <w:tblStylePr w:type="nwCell">
      <w:tblPr/>
      <w:tcPr>
        <w:tcBorders>
          <w:bottom w:val="single" w:sz="4" w:space="0" w:color="9F9F9F" w:themeColor="accent3" w:themeTint="99"/>
        </w:tcBorders>
      </w:tcPr>
    </w:tblStylePr>
    <w:tblStylePr w:type="seCell">
      <w:tblPr/>
      <w:tcPr>
        <w:tcBorders>
          <w:top w:val="single" w:sz="4" w:space="0" w:color="9F9F9F" w:themeColor="accent3" w:themeTint="99"/>
        </w:tcBorders>
      </w:tcPr>
    </w:tblStylePr>
    <w:tblStylePr w:type="swCell">
      <w:tblPr/>
      <w:tcPr>
        <w:tcBorders>
          <w:top w:val="single" w:sz="4" w:space="0" w:color="9F9F9F" w:themeColor="accent3" w:themeTint="99"/>
        </w:tcBorders>
      </w:tcPr>
    </w:tblStylePr>
  </w:style>
  <w:style w:type="table" w:styleId="GridTable3-Accent4">
    <w:name w:val="Grid Table 3 Accent 4"/>
    <w:basedOn w:val="TableNormal"/>
    <w:uiPriority w:val="48"/>
    <w:rsid w:val="008864BB"/>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insideV w:val="single" w:sz="4" w:space="0" w:color="C0C0C0" w:themeColor="accent4"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EAEAEA" w:themeFill="accent4" w:themeFillTint="33"/>
      </w:tcPr>
    </w:tblStylePr>
    <w:tblStylePr w:type="band1Horz">
      <w:tblPr/>
      <w:tcPr>
        <w:shd w:val="clear" w:color="auto" w:fill="EAEAEA" w:themeFill="accent4" w:themeFillTint="33"/>
      </w:tcPr>
    </w:tblStylePr>
    <w:tblStylePr w:type="neCell">
      <w:tblPr/>
      <w:tcPr>
        <w:tcBorders>
          <w:bottom w:val="single" w:sz="4" w:space="0" w:color="C0C0C0" w:themeColor="accent4" w:themeTint="99"/>
        </w:tcBorders>
      </w:tcPr>
    </w:tblStylePr>
    <w:tblStylePr w:type="nwCell">
      <w:tblPr/>
      <w:tcPr>
        <w:tcBorders>
          <w:bottom w:val="single" w:sz="4" w:space="0" w:color="C0C0C0" w:themeColor="accent4" w:themeTint="99"/>
        </w:tcBorders>
      </w:tcPr>
    </w:tblStylePr>
    <w:tblStylePr w:type="seCell">
      <w:tblPr/>
      <w:tcPr>
        <w:tcBorders>
          <w:top w:val="single" w:sz="4" w:space="0" w:color="C0C0C0" w:themeColor="accent4" w:themeTint="99"/>
        </w:tcBorders>
      </w:tcPr>
    </w:tblStylePr>
    <w:tblStylePr w:type="swCell">
      <w:tblPr/>
      <w:tcPr>
        <w:tcBorders>
          <w:top w:val="single" w:sz="4" w:space="0" w:color="C0C0C0" w:themeColor="accent4" w:themeTint="99"/>
        </w:tcBorders>
      </w:tcPr>
    </w:tblStylePr>
  </w:style>
  <w:style w:type="table" w:styleId="GridTable3-Accent5">
    <w:name w:val="Grid Table 3 Accent 5"/>
    <w:basedOn w:val="TableNormal"/>
    <w:uiPriority w:val="48"/>
    <w:rsid w:val="008864BB"/>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8864BB"/>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8864B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0072BC"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864BB"/>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insideV w:val="single" w:sz="4" w:space="0" w:color="3DB2FF" w:themeColor="accent1" w:themeTint="99"/>
      </w:tblBorders>
    </w:tblPr>
    <w:tblStylePr w:type="firstRow">
      <w:rPr>
        <w:b/>
        <w:bCs/>
        <w:color w:val="0072BC" w:themeColor="background1"/>
      </w:rPr>
      <w:tblPr/>
      <w:tcPr>
        <w:tcBorders>
          <w:top w:val="single" w:sz="4" w:space="0" w:color="0072BC" w:themeColor="accent1"/>
          <w:left w:val="single" w:sz="4" w:space="0" w:color="0072BC" w:themeColor="accent1"/>
          <w:bottom w:val="single" w:sz="4" w:space="0" w:color="0072BC" w:themeColor="accent1"/>
          <w:right w:val="single" w:sz="4" w:space="0" w:color="0072BC" w:themeColor="accent1"/>
          <w:insideH w:val="nil"/>
          <w:insideV w:val="nil"/>
        </w:tcBorders>
        <w:shd w:val="clear" w:color="auto" w:fill="0072BC" w:themeFill="accent1"/>
      </w:tcPr>
    </w:tblStylePr>
    <w:tblStylePr w:type="lastRow">
      <w:rPr>
        <w:b/>
        <w:bCs/>
      </w:rPr>
      <w:tblPr/>
      <w:tcPr>
        <w:tcBorders>
          <w:top w:val="double" w:sz="4" w:space="0" w:color="0072BC" w:themeColor="accent1"/>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GridTable4-Accent2">
    <w:name w:val="Grid Table 4 Accent 2"/>
    <w:basedOn w:val="TableNormal"/>
    <w:uiPriority w:val="49"/>
    <w:rsid w:val="008864BB"/>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insideV w:val="single" w:sz="4" w:space="0" w:color="FF4040" w:themeColor="accent2" w:themeTint="99"/>
      </w:tblBorders>
    </w:tblPr>
    <w:tblStylePr w:type="firstRow">
      <w:rPr>
        <w:b/>
        <w:bCs/>
        <w:color w:val="0072BC" w:themeColor="background1"/>
      </w:rPr>
      <w:tblPr/>
      <w:tcPr>
        <w:tcBorders>
          <w:top w:val="single" w:sz="4" w:space="0" w:color="C00000" w:themeColor="accent2"/>
          <w:left w:val="single" w:sz="4" w:space="0" w:color="C00000" w:themeColor="accent2"/>
          <w:bottom w:val="single" w:sz="4" w:space="0" w:color="C00000" w:themeColor="accent2"/>
          <w:right w:val="single" w:sz="4" w:space="0" w:color="C00000" w:themeColor="accent2"/>
          <w:insideH w:val="nil"/>
          <w:insideV w:val="nil"/>
        </w:tcBorders>
        <w:shd w:val="clear" w:color="auto" w:fill="C00000" w:themeFill="accent2"/>
      </w:tcPr>
    </w:tblStylePr>
    <w:tblStylePr w:type="lastRow">
      <w:rPr>
        <w:b/>
        <w:bCs/>
      </w:rPr>
      <w:tblPr/>
      <w:tcPr>
        <w:tcBorders>
          <w:top w:val="double" w:sz="4" w:space="0" w:color="C00000" w:themeColor="accent2"/>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GridTable4-Accent3">
    <w:name w:val="Grid Table 4 Accent 3"/>
    <w:basedOn w:val="TableNormal"/>
    <w:uiPriority w:val="49"/>
    <w:rsid w:val="008864BB"/>
    <w:tblPr>
      <w:tblStyleRowBandSize w:val="1"/>
      <w:tblStyleColBandSize w:val="1"/>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insideH w:val="single" w:sz="4" w:space="0" w:color="9F9F9F" w:themeColor="accent3" w:themeTint="99"/>
        <w:insideV w:val="single" w:sz="4" w:space="0" w:color="9F9F9F" w:themeColor="accent3" w:themeTint="99"/>
      </w:tblBorders>
    </w:tblPr>
    <w:tblStylePr w:type="firstRow">
      <w:rPr>
        <w:b/>
        <w:bCs/>
        <w:color w:val="0072BC" w:themeColor="background1"/>
      </w:rPr>
      <w:tblPr/>
      <w:tcPr>
        <w:tcBorders>
          <w:top w:val="single" w:sz="4" w:space="0" w:color="5F5F5F" w:themeColor="accent3"/>
          <w:left w:val="single" w:sz="4" w:space="0" w:color="5F5F5F" w:themeColor="accent3"/>
          <w:bottom w:val="single" w:sz="4" w:space="0" w:color="5F5F5F" w:themeColor="accent3"/>
          <w:right w:val="single" w:sz="4" w:space="0" w:color="5F5F5F" w:themeColor="accent3"/>
          <w:insideH w:val="nil"/>
          <w:insideV w:val="nil"/>
        </w:tcBorders>
        <w:shd w:val="clear" w:color="auto" w:fill="5F5F5F" w:themeFill="accent3"/>
      </w:tcPr>
    </w:tblStylePr>
    <w:tblStylePr w:type="lastRow">
      <w:rPr>
        <w:b/>
        <w:bCs/>
      </w:rPr>
      <w:tblPr/>
      <w:tcPr>
        <w:tcBorders>
          <w:top w:val="double" w:sz="4" w:space="0" w:color="5F5F5F" w:themeColor="accent3"/>
        </w:tcBorders>
      </w:tcPr>
    </w:tblStylePr>
    <w:tblStylePr w:type="firstCol">
      <w:rPr>
        <w:b/>
        <w:bCs/>
      </w:rPr>
    </w:tblStylePr>
    <w:tblStylePr w:type="lastCol">
      <w:rPr>
        <w:b/>
        <w:bCs/>
      </w:rPr>
    </w:tblStylePr>
    <w:tblStylePr w:type="band1Vert">
      <w:tblPr/>
      <w:tcPr>
        <w:shd w:val="clear" w:color="auto" w:fill="DFDFDF" w:themeFill="accent3" w:themeFillTint="33"/>
      </w:tcPr>
    </w:tblStylePr>
    <w:tblStylePr w:type="band1Horz">
      <w:tblPr/>
      <w:tcPr>
        <w:shd w:val="clear" w:color="auto" w:fill="DFDFDF" w:themeFill="accent3" w:themeFillTint="33"/>
      </w:tcPr>
    </w:tblStylePr>
  </w:style>
  <w:style w:type="table" w:styleId="GridTable4-Accent4">
    <w:name w:val="Grid Table 4 Accent 4"/>
    <w:basedOn w:val="TableNormal"/>
    <w:uiPriority w:val="49"/>
    <w:rsid w:val="008864BB"/>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insideV w:val="single" w:sz="4" w:space="0" w:color="C0C0C0" w:themeColor="accent4" w:themeTint="99"/>
      </w:tblBorders>
    </w:tblPr>
    <w:tblStylePr w:type="firstRow">
      <w:rPr>
        <w:b/>
        <w:bCs/>
        <w:color w:val="0072BC" w:themeColor="background1"/>
      </w:rPr>
      <w:tblPr/>
      <w:tcPr>
        <w:tcBorders>
          <w:top w:val="single" w:sz="4" w:space="0" w:color="969696" w:themeColor="accent4"/>
          <w:left w:val="single" w:sz="4" w:space="0" w:color="969696" w:themeColor="accent4"/>
          <w:bottom w:val="single" w:sz="4" w:space="0" w:color="969696" w:themeColor="accent4"/>
          <w:right w:val="single" w:sz="4" w:space="0" w:color="969696" w:themeColor="accent4"/>
          <w:insideH w:val="nil"/>
          <w:insideV w:val="nil"/>
        </w:tcBorders>
        <w:shd w:val="clear" w:color="auto" w:fill="969696" w:themeFill="accent4"/>
      </w:tcPr>
    </w:tblStylePr>
    <w:tblStylePr w:type="lastRow">
      <w:rPr>
        <w:b/>
        <w:bCs/>
      </w:rPr>
      <w:tblPr/>
      <w:tcPr>
        <w:tcBorders>
          <w:top w:val="double" w:sz="4" w:space="0" w:color="969696" w:themeColor="accent4"/>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GridTable4-Accent5">
    <w:name w:val="Grid Table 4 Accent 5"/>
    <w:basedOn w:val="TableNormal"/>
    <w:uiPriority w:val="49"/>
    <w:rsid w:val="008864BB"/>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0072BC"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8864BB"/>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0072BC"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8864BB"/>
    <w:tblPr>
      <w:tblStyleRowBandSize w:val="1"/>
      <w:tblStyleColBandSize w:val="1"/>
      <w:tblBorders>
        <w:top w:val="single" w:sz="4" w:space="0" w:color="0072BC" w:themeColor="background1"/>
        <w:left w:val="single" w:sz="4" w:space="0" w:color="0072BC" w:themeColor="background1"/>
        <w:bottom w:val="single" w:sz="4" w:space="0" w:color="0072BC" w:themeColor="background1"/>
        <w:right w:val="single" w:sz="4" w:space="0" w:color="0072BC" w:themeColor="background1"/>
        <w:insideH w:val="single" w:sz="4" w:space="0" w:color="0072BC" w:themeColor="background1"/>
        <w:insideV w:val="single" w:sz="4" w:space="0" w:color="0072BC" w:themeColor="background1"/>
      </w:tblBorders>
    </w:tblPr>
    <w:tcPr>
      <w:shd w:val="clear" w:color="auto" w:fill="CCCCCC" w:themeFill="text1" w:themeFillTint="33"/>
    </w:tcPr>
    <w:tblStylePr w:type="firstRow">
      <w:rPr>
        <w:b/>
        <w:bCs/>
        <w:color w:val="0072BC" w:themeColor="background1"/>
      </w:rPr>
      <w:tblPr/>
      <w:tcPr>
        <w:tcBorders>
          <w:top w:val="single" w:sz="4" w:space="0" w:color="0072BC" w:themeColor="background1"/>
          <w:left w:val="single" w:sz="4" w:space="0" w:color="0072BC" w:themeColor="background1"/>
          <w:right w:val="single" w:sz="4" w:space="0" w:color="0072BC" w:themeColor="background1"/>
          <w:insideH w:val="nil"/>
          <w:insideV w:val="nil"/>
        </w:tcBorders>
        <w:shd w:val="clear" w:color="auto" w:fill="000000" w:themeFill="text1"/>
      </w:tcPr>
    </w:tblStylePr>
    <w:tblStylePr w:type="lastRow">
      <w:rPr>
        <w:b/>
        <w:bCs/>
        <w:color w:val="0072BC" w:themeColor="background1"/>
      </w:rPr>
      <w:tblPr/>
      <w:tcPr>
        <w:tcBorders>
          <w:left w:val="single" w:sz="4" w:space="0" w:color="0072BC" w:themeColor="background1"/>
          <w:bottom w:val="single" w:sz="4" w:space="0" w:color="0072BC" w:themeColor="background1"/>
          <w:right w:val="single" w:sz="4" w:space="0" w:color="0072BC" w:themeColor="background1"/>
          <w:insideH w:val="nil"/>
          <w:insideV w:val="nil"/>
        </w:tcBorders>
        <w:shd w:val="clear" w:color="auto" w:fill="000000" w:themeFill="text1"/>
      </w:tcPr>
    </w:tblStylePr>
    <w:tblStylePr w:type="firstCol">
      <w:rPr>
        <w:b/>
        <w:bCs/>
        <w:color w:val="0072BC" w:themeColor="background1"/>
      </w:rPr>
      <w:tblPr/>
      <w:tcPr>
        <w:tcBorders>
          <w:top w:val="single" w:sz="4" w:space="0" w:color="0072BC" w:themeColor="background1"/>
          <w:left w:val="single" w:sz="4" w:space="0" w:color="0072BC" w:themeColor="background1"/>
          <w:bottom w:val="single" w:sz="4" w:space="0" w:color="0072BC" w:themeColor="background1"/>
          <w:insideV w:val="nil"/>
        </w:tcBorders>
        <w:shd w:val="clear" w:color="auto" w:fill="000000" w:themeFill="text1"/>
      </w:tcPr>
    </w:tblStylePr>
    <w:tblStylePr w:type="lastCol">
      <w:rPr>
        <w:b/>
        <w:bCs/>
        <w:color w:val="0072BC" w:themeColor="background1"/>
      </w:rPr>
      <w:tblPr/>
      <w:tcPr>
        <w:tcBorders>
          <w:top w:val="single" w:sz="4" w:space="0" w:color="0072BC" w:themeColor="background1"/>
          <w:bottom w:val="single" w:sz="4" w:space="0" w:color="0072BC" w:themeColor="background1"/>
          <w:right w:val="single" w:sz="4" w:space="0" w:color="0072BC"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864BB"/>
    <w:tblPr>
      <w:tblStyleRowBandSize w:val="1"/>
      <w:tblStyleColBandSize w:val="1"/>
      <w:tblBorders>
        <w:top w:val="single" w:sz="4" w:space="0" w:color="0072BC" w:themeColor="background1"/>
        <w:left w:val="single" w:sz="4" w:space="0" w:color="0072BC" w:themeColor="background1"/>
        <w:bottom w:val="single" w:sz="4" w:space="0" w:color="0072BC" w:themeColor="background1"/>
        <w:right w:val="single" w:sz="4" w:space="0" w:color="0072BC" w:themeColor="background1"/>
        <w:insideH w:val="single" w:sz="4" w:space="0" w:color="0072BC" w:themeColor="background1"/>
        <w:insideV w:val="single" w:sz="4" w:space="0" w:color="0072BC" w:themeColor="background1"/>
      </w:tblBorders>
    </w:tblPr>
    <w:tcPr>
      <w:shd w:val="clear" w:color="auto" w:fill="BEE5FF" w:themeFill="accent1" w:themeFillTint="33"/>
    </w:tcPr>
    <w:tblStylePr w:type="firstRow">
      <w:rPr>
        <w:b/>
        <w:bCs/>
        <w:color w:val="0072BC" w:themeColor="background1"/>
      </w:rPr>
      <w:tblPr/>
      <w:tcPr>
        <w:tcBorders>
          <w:top w:val="single" w:sz="4" w:space="0" w:color="0072BC" w:themeColor="background1"/>
          <w:left w:val="single" w:sz="4" w:space="0" w:color="0072BC" w:themeColor="background1"/>
          <w:right w:val="single" w:sz="4" w:space="0" w:color="0072BC" w:themeColor="background1"/>
          <w:insideH w:val="nil"/>
          <w:insideV w:val="nil"/>
        </w:tcBorders>
        <w:shd w:val="clear" w:color="auto" w:fill="0072BC" w:themeFill="accent1"/>
      </w:tcPr>
    </w:tblStylePr>
    <w:tblStylePr w:type="lastRow">
      <w:rPr>
        <w:b/>
        <w:bCs/>
        <w:color w:val="0072BC" w:themeColor="background1"/>
      </w:rPr>
      <w:tblPr/>
      <w:tcPr>
        <w:tcBorders>
          <w:left w:val="single" w:sz="4" w:space="0" w:color="0072BC" w:themeColor="background1"/>
          <w:bottom w:val="single" w:sz="4" w:space="0" w:color="0072BC" w:themeColor="background1"/>
          <w:right w:val="single" w:sz="4" w:space="0" w:color="0072BC" w:themeColor="background1"/>
          <w:insideH w:val="nil"/>
          <w:insideV w:val="nil"/>
        </w:tcBorders>
        <w:shd w:val="clear" w:color="auto" w:fill="0072BC" w:themeFill="accent1"/>
      </w:tcPr>
    </w:tblStylePr>
    <w:tblStylePr w:type="firstCol">
      <w:rPr>
        <w:b/>
        <w:bCs/>
        <w:color w:val="0072BC" w:themeColor="background1"/>
      </w:rPr>
      <w:tblPr/>
      <w:tcPr>
        <w:tcBorders>
          <w:top w:val="single" w:sz="4" w:space="0" w:color="0072BC" w:themeColor="background1"/>
          <w:left w:val="single" w:sz="4" w:space="0" w:color="0072BC" w:themeColor="background1"/>
          <w:bottom w:val="single" w:sz="4" w:space="0" w:color="0072BC" w:themeColor="background1"/>
          <w:insideV w:val="nil"/>
        </w:tcBorders>
        <w:shd w:val="clear" w:color="auto" w:fill="0072BC" w:themeFill="accent1"/>
      </w:tcPr>
    </w:tblStylePr>
    <w:tblStylePr w:type="lastCol">
      <w:rPr>
        <w:b/>
        <w:bCs/>
        <w:color w:val="0072BC" w:themeColor="background1"/>
      </w:rPr>
      <w:tblPr/>
      <w:tcPr>
        <w:tcBorders>
          <w:top w:val="single" w:sz="4" w:space="0" w:color="0072BC" w:themeColor="background1"/>
          <w:bottom w:val="single" w:sz="4" w:space="0" w:color="0072BC" w:themeColor="background1"/>
          <w:right w:val="single" w:sz="4" w:space="0" w:color="0072BC" w:themeColor="background1"/>
          <w:insideV w:val="nil"/>
        </w:tcBorders>
        <w:shd w:val="clear" w:color="auto" w:fill="0072BC" w:themeFill="accent1"/>
      </w:tcPr>
    </w:tblStylePr>
    <w:tblStylePr w:type="band1Vert">
      <w:tblPr/>
      <w:tcPr>
        <w:shd w:val="clear" w:color="auto" w:fill="7ECBFF" w:themeFill="accent1" w:themeFillTint="66"/>
      </w:tcPr>
    </w:tblStylePr>
    <w:tblStylePr w:type="band1Horz">
      <w:tblPr/>
      <w:tcPr>
        <w:shd w:val="clear" w:color="auto" w:fill="7ECBFF" w:themeFill="accent1" w:themeFillTint="66"/>
      </w:tcPr>
    </w:tblStylePr>
  </w:style>
  <w:style w:type="table" w:styleId="GridTable5Dark-Accent2">
    <w:name w:val="Grid Table 5 Dark Accent 2"/>
    <w:basedOn w:val="TableNormal"/>
    <w:uiPriority w:val="50"/>
    <w:rsid w:val="008864BB"/>
    <w:tblPr>
      <w:tblStyleRowBandSize w:val="1"/>
      <w:tblStyleColBandSize w:val="1"/>
      <w:tblBorders>
        <w:top w:val="single" w:sz="4" w:space="0" w:color="0072BC" w:themeColor="background1"/>
        <w:left w:val="single" w:sz="4" w:space="0" w:color="0072BC" w:themeColor="background1"/>
        <w:bottom w:val="single" w:sz="4" w:space="0" w:color="0072BC" w:themeColor="background1"/>
        <w:right w:val="single" w:sz="4" w:space="0" w:color="0072BC" w:themeColor="background1"/>
        <w:insideH w:val="single" w:sz="4" w:space="0" w:color="0072BC" w:themeColor="background1"/>
        <w:insideV w:val="single" w:sz="4" w:space="0" w:color="0072BC" w:themeColor="background1"/>
      </w:tblBorders>
    </w:tblPr>
    <w:tcPr>
      <w:shd w:val="clear" w:color="auto" w:fill="FFBFBF" w:themeFill="accent2" w:themeFillTint="33"/>
    </w:tcPr>
    <w:tblStylePr w:type="firstRow">
      <w:rPr>
        <w:b/>
        <w:bCs/>
        <w:color w:val="0072BC" w:themeColor="background1"/>
      </w:rPr>
      <w:tblPr/>
      <w:tcPr>
        <w:tcBorders>
          <w:top w:val="single" w:sz="4" w:space="0" w:color="0072BC" w:themeColor="background1"/>
          <w:left w:val="single" w:sz="4" w:space="0" w:color="0072BC" w:themeColor="background1"/>
          <w:right w:val="single" w:sz="4" w:space="0" w:color="0072BC" w:themeColor="background1"/>
          <w:insideH w:val="nil"/>
          <w:insideV w:val="nil"/>
        </w:tcBorders>
        <w:shd w:val="clear" w:color="auto" w:fill="C00000" w:themeFill="accent2"/>
      </w:tcPr>
    </w:tblStylePr>
    <w:tblStylePr w:type="lastRow">
      <w:rPr>
        <w:b/>
        <w:bCs/>
        <w:color w:val="0072BC" w:themeColor="background1"/>
      </w:rPr>
      <w:tblPr/>
      <w:tcPr>
        <w:tcBorders>
          <w:left w:val="single" w:sz="4" w:space="0" w:color="0072BC" w:themeColor="background1"/>
          <w:bottom w:val="single" w:sz="4" w:space="0" w:color="0072BC" w:themeColor="background1"/>
          <w:right w:val="single" w:sz="4" w:space="0" w:color="0072BC" w:themeColor="background1"/>
          <w:insideH w:val="nil"/>
          <w:insideV w:val="nil"/>
        </w:tcBorders>
        <w:shd w:val="clear" w:color="auto" w:fill="C00000" w:themeFill="accent2"/>
      </w:tcPr>
    </w:tblStylePr>
    <w:tblStylePr w:type="firstCol">
      <w:rPr>
        <w:b/>
        <w:bCs/>
        <w:color w:val="0072BC" w:themeColor="background1"/>
      </w:rPr>
      <w:tblPr/>
      <w:tcPr>
        <w:tcBorders>
          <w:top w:val="single" w:sz="4" w:space="0" w:color="0072BC" w:themeColor="background1"/>
          <w:left w:val="single" w:sz="4" w:space="0" w:color="0072BC" w:themeColor="background1"/>
          <w:bottom w:val="single" w:sz="4" w:space="0" w:color="0072BC" w:themeColor="background1"/>
          <w:insideV w:val="nil"/>
        </w:tcBorders>
        <w:shd w:val="clear" w:color="auto" w:fill="C00000" w:themeFill="accent2"/>
      </w:tcPr>
    </w:tblStylePr>
    <w:tblStylePr w:type="lastCol">
      <w:rPr>
        <w:b/>
        <w:bCs/>
        <w:color w:val="0072BC" w:themeColor="background1"/>
      </w:rPr>
      <w:tblPr/>
      <w:tcPr>
        <w:tcBorders>
          <w:top w:val="single" w:sz="4" w:space="0" w:color="0072BC" w:themeColor="background1"/>
          <w:bottom w:val="single" w:sz="4" w:space="0" w:color="0072BC" w:themeColor="background1"/>
          <w:right w:val="single" w:sz="4" w:space="0" w:color="0072BC" w:themeColor="background1"/>
          <w:insideV w:val="nil"/>
        </w:tcBorders>
        <w:shd w:val="clear" w:color="auto" w:fill="C00000" w:themeFill="accent2"/>
      </w:tcPr>
    </w:tblStylePr>
    <w:tblStylePr w:type="band1Vert">
      <w:tblPr/>
      <w:tcPr>
        <w:shd w:val="clear" w:color="auto" w:fill="FF7F7F" w:themeFill="accent2" w:themeFillTint="66"/>
      </w:tcPr>
    </w:tblStylePr>
    <w:tblStylePr w:type="band1Horz">
      <w:tblPr/>
      <w:tcPr>
        <w:shd w:val="clear" w:color="auto" w:fill="FF7F7F" w:themeFill="accent2" w:themeFillTint="66"/>
      </w:tcPr>
    </w:tblStylePr>
  </w:style>
  <w:style w:type="table" w:styleId="GridTable5Dark-Accent3">
    <w:name w:val="Grid Table 5 Dark Accent 3"/>
    <w:basedOn w:val="TableNormal"/>
    <w:uiPriority w:val="50"/>
    <w:rsid w:val="008864BB"/>
    <w:tblPr>
      <w:tblStyleRowBandSize w:val="1"/>
      <w:tblStyleColBandSize w:val="1"/>
      <w:tblBorders>
        <w:top w:val="single" w:sz="4" w:space="0" w:color="0072BC" w:themeColor="background1"/>
        <w:left w:val="single" w:sz="4" w:space="0" w:color="0072BC" w:themeColor="background1"/>
        <w:bottom w:val="single" w:sz="4" w:space="0" w:color="0072BC" w:themeColor="background1"/>
        <w:right w:val="single" w:sz="4" w:space="0" w:color="0072BC" w:themeColor="background1"/>
        <w:insideH w:val="single" w:sz="4" w:space="0" w:color="0072BC" w:themeColor="background1"/>
        <w:insideV w:val="single" w:sz="4" w:space="0" w:color="0072BC" w:themeColor="background1"/>
      </w:tblBorders>
    </w:tblPr>
    <w:tcPr>
      <w:shd w:val="clear" w:color="auto" w:fill="DFDFDF" w:themeFill="accent3" w:themeFillTint="33"/>
    </w:tcPr>
    <w:tblStylePr w:type="firstRow">
      <w:rPr>
        <w:b/>
        <w:bCs/>
        <w:color w:val="0072BC" w:themeColor="background1"/>
      </w:rPr>
      <w:tblPr/>
      <w:tcPr>
        <w:tcBorders>
          <w:top w:val="single" w:sz="4" w:space="0" w:color="0072BC" w:themeColor="background1"/>
          <w:left w:val="single" w:sz="4" w:space="0" w:color="0072BC" w:themeColor="background1"/>
          <w:right w:val="single" w:sz="4" w:space="0" w:color="0072BC" w:themeColor="background1"/>
          <w:insideH w:val="nil"/>
          <w:insideV w:val="nil"/>
        </w:tcBorders>
        <w:shd w:val="clear" w:color="auto" w:fill="5F5F5F" w:themeFill="accent3"/>
      </w:tcPr>
    </w:tblStylePr>
    <w:tblStylePr w:type="lastRow">
      <w:rPr>
        <w:b/>
        <w:bCs/>
        <w:color w:val="0072BC" w:themeColor="background1"/>
      </w:rPr>
      <w:tblPr/>
      <w:tcPr>
        <w:tcBorders>
          <w:left w:val="single" w:sz="4" w:space="0" w:color="0072BC" w:themeColor="background1"/>
          <w:bottom w:val="single" w:sz="4" w:space="0" w:color="0072BC" w:themeColor="background1"/>
          <w:right w:val="single" w:sz="4" w:space="0" w:color="0072BC" w:themeColor="background1"/>
          <w:insideH w:val="nil"/>
          <w:insideV w:val="nil"/>
        </w:tcBorders>
        <w:shd w:val="clear" w:color="auto" w:fill="5F5F5F" w:themeFill="accent3"/>
      </w:tcPr>
    </w:tblStylePr>
    <w:tblStylePr w:type="firstCol">
      <w:rPr>
        <w:b/>
        <w:bCs/>
        <w:color w:val="0072BC" w:themeColor="background1"/>
      </w:rPr>
      <w:tblPr/>
      <w:tcPr>
        <w:tcBorders>
          <w:top w:val="single" w:sz="4" w:space="0" w:color="0072BC" w:themeColor="background1"/>
          <w:left w:val="single" w:sz="4" w:space="0" w:color="0072BC" w:themeColor="background1"/>
          <w:bottom w:val="single" w:sz="4" w:space="0" w:color="0072BC" w:themeColor="background1"/>
          <w:insideV w:val="nil"/>
        </w:tcBorders>
        <w:shd w:val="clear" w:color="auto" w:fill="5F5F5F" w:themeFill="accent3"/>
      </w:tcPr>
    </w:tblStylePr>
    <w:tblStylePr w:type="lastCol">
      <w:rPr>
        <w:b/>
        <w:bCs/>
        <w:color w:val="0072BC" w:themeColor="background1"/>
      </w:rPr>
      <w:tblPr/>
      <w:tcPr>
        <w:tcBorders>
          <w:top w:val="single" w:sz="4" w:space="0" w:color="0072BC" w:themeColor="background1"/>
          <w:bottom w:val="single" w:sz="4" w:space="0" w:color="0072BC" w:themeColor="background1"/>
          <w:right w:val="single" w:sz="4" w:space="0" w:color="0072BC" w:themeColor="background1"/>
          <w:insideV w:val="nil"/>
        </w:tcBorders>
        <w:shd w:val="clear" w:color="auto" w:fill="5F5F5F" w:themeFill="accent3"/>
      </w:tcPr>
    </w:tblStylePr>
    <w:tblStylePr w:type="band1Vert">
      <w:tblPr/>
      <w:tcPr>
        <w:shd w:val="clear" w:color="auto" w:fill="BFBFBF" w:themeFill="accent3" w:themeFillTint="66"/>
      </w:tcPr>
    </w:tblStylePr>
    <w:tblStylePr w:type="band1Horz">
      <w:tblPr/>
      <w:tcPr>
        <w:shd w:val="clear" w:color="auto" w:fill="BFBFBF" w:themeFill="accent3" w:themeFillTint="66"/>
      </w:tcPr>
    </w:tblStylePr>
  </w:style>
  <w:style w:type="table" w:styleId="GridTable5Dark-Accent4">
    <w:name w:val="Grid Table 5 Dark Accent 4"/>
    <w:basedOn w:val="TableNormal"/>
    <w:uiPriority w:val="50"/>
    <w:rsid w:val="008864BB"/>
    <w:tblPr>
      <w:tblStyleRowBandSize w:val="1"/>
      <w:tblStyleColBandSize w:val="1"/>
      <w:tblBorders>
        <w:top w:val="single" w:sz="4" w:space="0" w:color="0072BC" w:themeColor="background1"/>
        <w:left w:val="single" w:sz="4" w:space="0" w:color="0072BC" w:themeColor="background1"/>
        <w:bottom w:val="single" w:sz="4" w:space="0" w:color="0072BC" w:themeColor="background1"/>
        <w:right w:val="single" w:sz="4" w:space="0" w:color="0072BC" w:themeColor="background1"/>
        <w:insideH w:val="single" w:sz="4" w:space="0" w:color="0072BC" w:themeColor="background1"/>
        <w:insideV w:val="single" w:sz="4" w:space="0" w:color="0072BC" w:themeColor="background1"/>
      </w:tblBorders>
    </w:tblPr>
    <w:tcPr>
      <w:shd w:val="clear" w:color="auto" w:fill="EAEAEA" w:themeFill="accent4" w:themeFillTint="33"/>
    </w:tcPr>
    <w:tblStylePr w:type="firstRow">
      <w:rPr>
        <w:b/>
        <w:bCs/>
        <w:color w:val="0072BC" w:themeColor="background1"/>
      </w:rPr>
      <w:tblPr/>
      <w:tcPr>
        <w:tcBorders>
          <w:top w:val="single" w:sz="4" w:space="0" w:color="0072BC" w:themeColor="background1"/>
          <w:left w:val="single" w:sz="4" w:space="0" w:color="0072BC" w:themeColor="background1"/>
          <w:right w:val="single" w:sz="4" w:space="0" w:color="0072BC" w:themeColor="background1"/>
          <w:insideH w:val="nil"/>
          <w:insideV w:val="nil"/>
        </w:tcBorders>
        <w:shd w:val="clear" w:color="auto" w:fill="969696" w:themeFill="accent4"/>
      </w:tcPr>
    </w:tblStylePr>
    <w:tblStylePr w:type="lastRow">
      <w:rPr>
        <w:b/>
        <w:bCs/>
        <w:color w:val="0072BC" w:themeColor="background1"/>
      </w:rPr>
      <w:tblPr/>
      <w:tcPr>
        <w:tcBorders>
          <w:left w:val="single" w:sz="4" w:space="0" w:color="0072BC" w:themeColor="background1"/>
          <w:bottom w:val="single" w:sz="4" w:space="0" w:color="0072BC" w:themeColor="background1"/>
          <w:right w:val="single" w:sz="4" w:space="0" w:color="0072BC" w:themeColor="background1"/>
          <w:insideH w:val="nil"/>
          <w:insideV w:val="nil"/>
        </w:tcBorders>
        <w:shd w:val="clear" w:color="auto" w:fill="969696" w:themeFill="accent4"/>
      </w:tcPr>
    </w:tblStylePr>
    <w:tblStylePr w:type="firstCol">
      <w:rPr>
        <w:b/>
        <w:bCs/>
        <w:color w:val="0072BC" w:themeColor="background1"/>
      </w:rPr>
      <w:tblPr/>
      <w:tcPr>
        <w:tcBorders>
          <w:top w:val="single" w:sz="4" w:space="0" w:color="0072BC" w:themeColor="background1"/>
          <w:left w:val="single" w:sz="4" w:space="0" w:color="0072BC" w:themeColor="background1"/>
          <w:bottom w:val="single" w:sz="4" w:space="0" w:color="0072BC" w:themeColor="background1"/>
          <w:insideV w:val="nil"/>
        </w:tcBorders>
        <w:shd w:val="clear" w:color="auto" w:fill="969696" w:themeFill="accent4"/>
      </w:tcPr>
    </w:tblStylePr>
    <w:tblStylePr w:type="lastCol">
      <w:rPr>
        <w:b/>
        <w:bCs/>
        <w:color w:val="0072BC" w:themeColor="background1"/>
      </w:rPr>
      <w:tblPr/>
      <w:tcPr>
        <w:tcBorders>
          <w:top w:val="single" w:sz="4" w:space="0" w:color="0072BC" w:themeColor="background1"/>
          <w:bottom w:val="single" w:sz="4" w:space="0" w:color="0072BC" w:themeColor="background1"/>
          <w:right w:val="single" w:sz="4" w:space="0" w:color="0072BC" w:themeColor="background1"/>
          <w:insideV w:val="nil"/>
        </w:tcBorders>
        <w:shd w:val="clear" w:color="auto" w:fill="969696" w:themeFill="accent4"/>
      </w:tcPr>
    </w:tblStylePr>
    <w:tblStylePr w:type="band1Vert">
      <w:tblPr/>
      <w:tcPr>
        <w:shd w:val="clear" w:color="auto" w:fill="D5D5D5" w:themeFill="accent4" w:themeFillTint="66"/>
      </w:tcPr>
    </w:tblStylePr>
    <w:tblStylePr w:type="band1Horz">
      <w:tblPr/>
      <w:tcPr>
        <w:shd w:val="clear" w:color="auto" w:fill="D5D5D5" w:themeFill="accent4" w:themeFillTint="66"/>
      </w:tcPr>
    </w:tblStylePr>
  </w:style>
  <w:style w:type="table" w:styleId="GridTable5Dark-Accent5">
    <w:name w:val="Grid Table 5 Dark Accent 5"/>
    <w:basedOn w:val="TableNormal"/>
    <w:uiPriority w:val="50"/>
    <w:rsid w:val="008864BB"/>
    <w:tblPr>
      <w:tblStyleRowBandSize w:val="1"/>
      <w:tblStyleColBandSize w:val="1"/>
      <w:tblBorders>
        <w:top w:val="single" w:sz="4" w:space="0" w:color="0072BC" w:themeColor="background1"/>
        <w:left w:val="single" w:sz="4" w:space="0" w:color="0072BC" w:themeColor="background1"/>
        <w:bottom w:val="single" w:sz="4" w:space="0" w:color="0072BC" w:themeColor="background1"/>
        <w:right w:val="single" w:sz="4" w:space="0" w:color="0072BC" w:themeColor="background1"/>
        <w:insideH w:val="single" w:sz="4" w:space="0" w:color="0072BC" w:themeColor="background1"/>
        <w:insideV w:val="single" w:sz="4" w:space="0" w:color="0072BC" w:themeColor="background1"/>
      </w:tblBorders>
    </w:tblPr>
    <w:tcPr>
      <w:shd w:val="clear" w:color="auto" w:fill="DFDFDF" w:themeFill="accent5" w:themeFillTint="33"/>
    </w:tcPr>
    <w:tblStylePr w:type="firstRow">
      <w:rPr>
        <w:b/>
        <w:bCs/>
        <w:color w:val="0072BC" w:themeColor="background1"/>
      </w:rPr>
      <w:tblPr/>
      <w:tcPr>
        <w:tcBorders>
          <w:top w:val="single" w:sz="4" w:space="0" w:color="0072BC" w:themeColor="background1"/>
          <w:left w:val="single" w:sz="4" w:space="0" w:color="0072BC" w:themeColor="background1"/>
          <w:right w:val="single" w:sz="4" w:space="0" w:color="0072BC" w:themeColor="background1"/>
          <w:insideH w:val="nil"/>
          <w:insideV w:val="nil"/>
        </w:tcBorders>
        <w:shd w:val="clear" w:color="auto" w:fill="5F5F5F" w:themeFill="accent5"/>
      </w:tcPr>
    </w:tblStylePr>
    <w:tblStylePr w:type="lastRow">
      <w:rPr>
        <w:b/>
        <w:bCs/>
        <w:color w:val="0072BC" w:themeColor="background1"/>
      </w:rPr>
      <w:tblPr/>
      <w:tcPr>
        <w:tcBorders>
          <w:left w:val="single" w:sz="4" w:space="0" w:color="0072BC" w:themeColor="background1"/>
          <w:bottom w:val="single" w:sz="4" w:space="0" w:color="0072BC" w:themeColor="background1"/>
          <w:right w:val="single" w:sz="4" w:space="0" w:color="0072BC" w:themeColor="background1"/>
          <w:insideH w:val="nil"/>
          <w:insideV w:val="nil"/>
        </w:tcBorders>
        <w:shd w:val="clear" w:color="auto" w:fill="5F5F5F" w:themeFill="accent5"/>
      </w:tcPr>
    </w:tblStylePr>
    <w:tblStylePr w:type="firstCol">
      <w:rPr>
        <w:b/>
        <w:bCs/>
        <w:color w:val="0072BC" w:themeColor="background1"/>
      </w:rPr>
      <w:tblPr/>
      <w:tcPr>
        <w:tcBorders>
          <w:top w:val="single" w:sz="4" w:space="0" w:color="0072BC" w:themeColor="background1"/>
          <w:left w:val="single" w:sz="4" w:space="0" w:color="0072BC" w:themeColor="background1"/>
          <w:bottom w:val="single" w:sz="4" w:space="0" w:color="0072BC" w:themeColor="background1"/>
          <w:insideV w:val="nil"/>
        </w:tcBorders>
        <w:shd w:val="clear" w:color="auto" w:fill="5F5F5F" w:themeFill="accent5"/>
      </w:tcPr>
    </w:tblStylePr>
    <w:tblStylePr w:type="lastCol">
      <w:rPr>
        <w:b/>
        <w:bCs/>
        <w:color w:val="0072BC" w:themeColor="background1"/>
      </w:rPr>
      <w:tblPr/>
      <w:tcPr>
        <w:tcBorders>
          <w:top w:val="single" w:sz="4" w:space="0" w:color="0072BC" w:themeColor="background1"/>
          <w:bottom w:val="single" w:sz="4" w:space="0" w:color="0072BC" w:themeColor="background1"/>
          <w:right w:val="single" w:sz="4" w:space="0" w:color="0072BC"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8864BB"/>
    <w:tblPr>
      <w:tblStyleRowBandSize w:val="1"/>
      <w:tblStyleColBandSize w:val="1"/>
      <w:tblBorders>
        <w:top w:val="single" w:sz="4" w:space="0" w:color="0072BC" w:themeColor="background1"/>
        <w:left w:val="single" w:sz="4" w:space="0" w:color="0072BC" w:themeColor="background1"/>
        <w:bottom w:val="single" w:sz="4" w:space="0" w:color="0072BC" w:themeColor="background1"/>
        <w:right w:val="single" w:sz="4" w:space="0" w:color="0072BC" w:themeColor="background1"/>
        <w:insideH w:val="single" w:sz="4" w:space="0" w:color="0072BC" w:themeColor="background1"/>
        <w:insideV w:val="single" w:sz="4" w:space="0" w:color="0072BC" w:themeColor="background1"/>
      </w:tblBorders>
    </w:tblPr>
    <w:tcPr>
      <w:shd w:val="clear" w:color="auto" w:fill="DBDBDB" w:themeFill="accent6" w:themeFillTint="33"/>
    </w:tcPr>
    <w:tblStylePr w:type="firstRow">
      <w:rPr>
        <w:b/>
        <w:bCs/>
        <w:color w:val="0072BC" w:themeColor="background1"/>
      </w:rPr>
      <w:tblPr/>
      <w:tcPr>
        <w:tcBorders>
          <w:top w:val="single" w:sz="4" w:space="0" w:color="0072BC" w:themeColor="background1"/>
          <w:left w:val="single" w:sz="4" w:space="0" w:color="0072BC" w:themeColor="background1"/>
          <w:right w:val="single" w:sz="4" w:space="0" w:color="0072BC" w:themeColor="background1"/>
          <w:insideH w:val="nil"/>
          <w:insideV w:val="nil"/>
        </w:tcBorders>
        <w:shd w:val="clear" w:color="auto" w:fill="4D4D4D" w:themeFill="accent6"/>
      </w:tcPr>
    </w:tblStylePr>
    <w:tblStylePr w:type="lastRow">
      <w:rPr>
        <w:b/>
        <w:bCs/>
        <w:color w:val="0072BC" w:themeColor="background1"/>
      </w:rPr>
      <w:tblPr/>
      <w:tcPr>
        <w:tcBorders>
          <w:left w:val="single" w:sz="4" w:space="0" w:color="0072BC" w:themeColor="background1"/>
          <w:bottom w:val="single" w:sz="4" w:space="0" w:color="0072BC" w:themeColor="background1"/>
          <w:right w:val="single" w:sz="4" w:space="0" w:color="0072BC" w:themeColor="background1"/>
          <w:insideH w:val="nil"/>
          <w:insideV w:val="nil"/>
        </w:tcBorders>
        <w:shd w:val="clear" w:color="auto" w:fill="4D4D4D" w:themeFill="accent6"/>
      </w:tcPr>
    </w:tblStylePr>
    <w:tblStylePr w:type="firstCol">
      <w:rPr>
        <w:b/>
        <w:bCs/>
        <w:color w:val="0072BC" w:themeColor="background1"/>
      </w:rPr>
      <w:tblPr/>
      <w:tcPr>
        <w:tcBorders>
          <w:top w:val="single" w:sz="4" w:space="0" w:color="0072BC" w:themeColor="background1"/>
          <w:left w:val="single" w:sz="4" w:space="0" w:color="0072BC" w:themeColor="background1"/>
          <w:bottom w:val="single" w:sz="4" w:space="0" w:color="0072BC" w:themeColor="background1"/>
          <w:insideV w:val="nil"/>
        </w:tcBorders>
        <w:shd w:val="clear" w:color="auto" w:fill="4D4D4D" w:themeFill="accent6"/>
      </w:tcPr>
    </w:tblStylePr>
    <w:tblStylePr w:type="lastCol">
      <w:rPr>
        <w:b/>
        <w:bCs/>
        <w:color w:val="0072BC" w:themeColor="background1"/>
      </w:rPr>
      <w:tblPr/>
      <w:tcPr>
        <w:tcBorders>
          <w:top w:val="single" w:sz="4" w:space="0" w:color="0072BC" w:themeColor="background1"/>
          <w:bottom w:val="single" w:sz="4" w:space="0" w:color="0072BC" w:themeColor="background1"/>
          <w:right w:val="single" w:sz="4" w:space="0" w:color="0072BC"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8864B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864BB"/>
    <w:rPr>
      <w:color w:val="00548C" w:themeColor="accent1" w:themeShade="BF"/>
    </w:rPr>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insideV w:val="single" w:sz="4" w:space="0" w:color="3DB2FF" w:themeColor="accent1" w:themeTint="99"/>
      </w:tblBorders>
    </w:tblPr>
    <w:tblStylePr w:type="firstRow">
      <w:rPr>
        <w:b/>
        <w:bCs/>
      </w:rPr>
      <w:tblPr/>
      <w:tcPr>
        <w:tcBorders>
          <w:bottom w:val="single" w:sz="12" w:space="0" w:color="3DB2FF" w:themeColor="accent1" w:themeTint="99"/>
        </w:tcBorders>
      </w:tcPr>
    </w:tblStylePr>
    <w:tblStylePr w:type="lastRow">
      <w:rPr>
        <w:b/>
        <w:bCs/>
      </w:rPr>
      <w:tblPr/>
      <w:tcPr>
        <w:tcBorders>
          <w:top w:val="double" w:sz="4" w:space="0" w:color="3DB2FF" w:themeColor="accent1" w:themeTint="99"/>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GridTable6Colorful-Accent2">
    <w:name w:val="Grid Table 6 Colorful Accent 2"/>
    <w:basedOn w:val="TableNormal"/>
    <w:uiPriority w:val="51"/>
    <w:rsid w:val="008864BB"/>
    <w:rPr>
      <w:color w:val="8F0000" w:themeColor="accent2" w:themeShade="BF"/>
    </w:rPr>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insideV w:val="single" w:sz="4" w:space="0" w:color="FF4040" w:themeColor="accent2" w:themeTint="99"/>
      </w:tblBorders>
    </w:tblPr>
    <w:tblStylePr w:type="firstRow">
      <w:rPr>
        <w:b/>
        <w:bCs/>
      </w:rPr>
      <w:tblPr/>
      <w:tcPr>
        <w:tcBorders>
          <w:bottom w:val="single" w:sz="12" w:space="0" w:color="FF4040" w:themeColor="accent2" w:themeTint="99"/>
        </w:tcBorders>
      </w:tcPr>
    </w:tblStylePr>
    <w:tblStylePr w:type="lastRow">
      <w:rPr>
        <w:b/>
        <w:bCs/>
      </w:rPr>
      <w:tblPr/>
      <w:tcPr>
        <w:tcBorders>
          <w:top w:val="double" w:sz="4" w:space="0" w:color="FF4040" w:themeColor="accent2" w:themeTint="99"/>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GridTable6Colorful-Accent3">
    <w:name w:val="Grid Table 6 Colorful Accent 3"/>
    <w:basedOn w:val="TableNormal"/>
    <w:uiPriority w:val="51"/>
    <w:rsid w:val="008864BB"/>
    <w:rPr>
      <w:color w:val="474747" w:themeColor="accent3" w:themeShade="BF"/>
    </w:rPr>
    <w:tblPr>
      <w:tblStyleRowBandSize w:val="1"/>
      <w:tblStyleColBandSize w:val="1"/>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insideH w:val="single" w:sz="4" w:space="0" w:color="9F9F9F" w:themeColor="accent3" w:themeTint="99"/>
        <w:insideV w:val="single" w:sz="4" w:space="0" w:color="9F9F9F" w:themeColor="accent3" w:themeTint="99"/>
      </w:tblBorders>
    </w:tblPr>
    <w:tblStylePr w:type="firstRow">
      <w:rPr>
        <w:b/>
        <w:bCs/>
      </w:rPr>
      <w:tblPr/>
      <w:tcPr>
        <w:tcBorders>
          <w:bottom w:val="single" w:sz="12" w:space="0" w:color="9F9F9F" w:themeColor="accent3" w:themeTint="99"/>
        </w:tcBorders>
      </w:tcPr>
    </w:tblStylePr>
    <w:tblStylePr w:type="lastRow">
      <w:rPr>
        <w:b/>
        <w:bCs/>
      </w:rPr>
      <w:tblPr/>
      <w:tcPr>
        <w:tcBorders>
          <w:top w:val="double" w:sz="4" w:space="0" w:color="9F9F9F" w:themeColor="accent3" w:themeTint="99"/>
        </w:tcBorders>
      </w:tcPr>
    </w:tblStylePr>
    <w:tblStylePr w:type="firstCol">
      <w:rPr>
        <w:b/>
        <w:bCs/>
      </w:rPr>
    </w:tblStylePr>
    <w:tblStylePr w:type="lastCol">
      <w:rPr>
        <w:b/>
        <w:bCs/>
      </w:rPr>
    </w:tblStylePr>
    <w:tblStylePr w:type="band1Vert">
      <w:tblPr/>
      <w:tcPr>
        <w:shd w:val="clear" w:color="auto" w:fill="DFDFDF" w:themeFill="accent3" w:themeFillTint="33"/>
      </w:tcPr>
    </w:tblStylePr>
    <w:tblStylePr w:type="band1Horz">
      <w:tblPr/>
      <w:tcPr>
        <w:shd w:val="clear" w:color="auto" w:fill="DFDFDF" w:themeFill="accent3" w:themeFillTint="33"/>
      </w:tcPr>
    </w:tblStylePr>
  </w:style>
  <w:style w:type="table" w:styleId="GridTable6Colorful-Accent4">
    <w:name w:val="Grid Table 6 Colorful Accent 4"/>
    <w:basedOn w:val="TableNormal"/>
    <w:uiPriority w:val="51"/>
    <w:rsid w:val="008864BB"/>
    <w:rPr>
      <w:color w:val="707070" w:themeColor="accent4" w:themeShade="BF"/>
    </w:rPr>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insideV w:val="single" w:sz="4" w:space="0" w:color="C0C0C0" w:themeColor="accent4" w:themeTint="99"/>
      </w:tblBorders>
    </w:tblPr>
    <w:tblStylePr w:type="firstRow">
      <w:rPr>
        <w:b/>
        <w:bCs/>
      </w:rPr>
      <w:tblPr/>
      <w:tcPr>
        <w:tcBorders>
          <w:bottom w:val="single" w:sz="12" w:space="0" w:color="C0C0C0" w:themeColor="accent4" w:themeTint="99"/>
        </w:tcBorders>
      </w:tcPr>
    </w:tblStylePr>
    <w:tblStylePr w:type="lastRow">
      <w:rPr>
        <w:b/>
        <w:bCs/>
      </w:rPr>
      <w:tblPr/>
      <w:tcPr>
        <w:tcBorders>
          <w:top w:val="double" w:sz="4" w:space="0" w:color="C0C0C0" w:themeColor="accent4" w:themeTint="99"/>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GridTable6Colorful-Accent5">
    <w:name w:val="Grid Table 6 Colorful Accent 5"/>
    <w:basedOn w:val="TableNormal"/>
    <w:uiPriority w:val="51"/>
    <w:rsid w:val="008864BB"/>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8864BB"/>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8864B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864BB"/>
    <w:rPr>
      <w:color w:val="00548C" w:themeColor="accent1" w:themeShade="BF"/>
    </w:rPr>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insideV w:val="single" w:sz="4" w:space="0" w:color="3DB2FF" w:themeColor="accent1"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BEE5FF" w:themeFill="accent1" w:themeFillTint="33"/>
      </w:tcPr>
    </w:tblStylePr>
    <w:tblStylePr w:type="band1Horz">
      <w:tblPr/>
      <w:tcPr>
        <w:shd w:val="clear" w:color="auto" w:fill="BEE5FF" w:themeFill="accent1" w:themeFillTint="33"/>
      </w:tcPr>
    </w:tblStylePr>
    <w:tblStylePr w:type="neCell">
      <w:tblPr/>
      <w:tcPr>
        <w:tcBorders>
          <w:bottom w:val="single" w:sz="4" w:space="0" w:color="3DB2FF" w:themeColor="accent1" w:themeTint="99"/>
        </w:tcBorders>
      </w:tcPr>
    </w:tblStylePr>
    <w:tblStylePr w:type="nwCell">
      <w:tblPr/>
      <w:tcPr>
        <w:tcBorders>
          <w:bottom w:val="single" w:sz="4" w:space="0" w:color="3DB2FF" w:themeColor="accent1" w:themeTint="99"/>
        </w:tcBorders>
      </w:tcPr>
    </w:tblStylePr>
    <w:tblStylePr w:type="seCell">
      <w:tblPr/>
      <w:tcPr>
        <w:tcBorders>
          <w:top w:val="single" w:sz="4" w:space="0" w:color="3DB2FF" w:themeColor="accent1" w:themeTint="99"/>
        </w:tcBorders>
      </w:tcPr>
    </w:tblStylePr>
    <w:tblStylePr w:type="swCell">
      <w:tblPr/>
      <w:tcPr>
        <w:tcBorders>
          <w:top w:val="single" w:sz="4" w:space="0" w:color="3DB2FF" w:themeColor="accent1" w:themeTint="99"/>
        </w:tcBorders>
      </w:tcPr>
    </w:tblStylePr>
  </w:style>
  <w:style w:type="table" w:styleId="GridTable7Colorful-Accent2">
    <w:name w:val="Grid Table 7 Colorful Accent 2"/>
    <w:basedOn w:val="TableNormal"/>
    <w:uiPriority w:val="52"/>
    <w:rsid w:val="008864BB"/>
    <w:rPr>
      <w:color w:val="8F0000" w:themeColor="accent2" w:themeShade="BF"/>
    </w:rPr>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insideV w:val="single" w:sz="4" w:space="0" w:color="FF4040" w:themeColor="accent2"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FFBFBF" w:themeFill="accent2" w:themeFillTint="33"/>
      </w:tcPr>
    </w:tblStylePr>
    <w:tblStylePr w:type="band1Horz">
      <w:tblPr/>
      <w:tcPr>
        <w:shd w:val="clear" w:color="auto" w:fill="FFBFBF" w:themeFill="accent2" w:themeFillTint="33"/>
      </w:tcPr>
    </w:tblStylePr>
    <w:tblStylePr w:type="neCell">
      <w:tblPr/>
      <w:tcPr>
        <w:tcBorders>
          <w:bottom w:val="single" w:sz="4" w:space="0" w:color="FF4040" w:themeColor="accent2" w:themeTint="99"/>
        </w:tcBorders>
      </w:tcPr>
    </w:tblStylePr>
    <w:tblStylePr w:type="nwCell">
      <w:tblPr/>
      <w:tcPr>
        <w:tcBorders>
          <w:bottom w:val="single" w:sz="4" w:space="0" w:color="FF4040" w:themeColor="accent2" w:themeTint="99"/>
        </w:tcBorders>
      </w:tcPr>
    </w:tblStylePr>
    <w:tblStylePr w:type="seCell">
      <w:tblPr/>
      <w:tcPr>
        <w:tcBorders>
          <w:top w:val="single" w:sz="4" w:space="0" w:color="FF4040" w:themeColor="accent2" w:themeTint="99"/>
        </w:tcBorders>
      </w:tcPr>
    </w:tblStylePr>
    <w:tblStylePr w:type="swCell">
      <w:tblPr/>
      <w:tcPr>
        <w:tcBorders>
          <w:top w:val="single" w:sz="4" w:space="0" w:color="FF4040" w:themeColor="accent2" w:themeTint="99"/>
        </w:tcBorders>
      </w:tcPr>
    </w:tblStylePr>
  </w:style>
  <w:style w:type="table" w:styleId="GridTable7Colorful-Accent3">
    <w:name w:val="Grid Table 7 Colorful Accent 3"/>
    <w:basedOn w:val="TableNormal"/>
    <w:uiPriority w:val="52"/>
    <w:rsid w:val="008864BB"/>
    <w:rPr>
      <w:color w:val="474747" w:themeColor="accent3" w:themeShade="BF"/>
    </w:rPr>
    <w:tblPr>
      <w:tblStyleRowBandSize w:val="1"/>
      <w:tblStyleColBandSize w:val="1"/>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insideH w:val="single" w:sz="4" w:space="0" w:color="9F9F9F" w:themeColor="accent3" w:themeTint="99"/>
        <w:insideV w:val="single" w:sz="4" w:space="0" w:color="9F9F9F" w:themeColor="accent3"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DFDFDF" w:themeFill="accent3" w:themeFillTint="33"/>
      </w:tcPr>
    </w:tblStylePr>
    <w:tblStylePr w:type="band1Horz">
      <w:tblPr/>
      <w:tcPr>
        <w:shd w:val="clear" w:color="auto" w:fill="DFDFDF" w:themeFill="accent3" w:themeFillTint="33"/>
      </w:tcPr>
    </w:tblStylePr>
    <w:tblStylePr w:type="neCell">
      <w:tblPr/>
      <w:tcPr>
        <w:tcBorders>
          <w:bottom w:val="single" w:sz="4" w:space="0" w:color="9F9F9F" w:themeColor="accent3" w:themeTint="99"/>
        </w:tcBorders>
      </w:tcPr>
    </w:tblStylePr>
    <w:tblStylePr w:type="nwCell">
      <w:tblPr/>
      <w:tcPr>
        <w:tcBorders>
          <w:bottom w:val="single" w:sz="4" w:space="0" w:color="9F9F9F" w:themeColor="accent3" w:themeTint="99"/>
        </w:tcBorders>
      </w:tcPr>
    </w:tblStylePr>
    <w:tblStylePr w:type="seCell">
      <w:tblPr/>
      <w:tcPr>
        <w:tcBorders>
          <w:top w:val="single" w:sz="4" w:space="0" w:color="9F9F9F" w:themeColor="accent3" w:themeTint="99"/>
        </w:tcBorders>
      </w:tcPr>
    </w:tblStylePr>
    <w:tblStylePr w:type="swCell">
      <w:tblPr/>
      <w:tcPr>
        <w:tcBorders>
          <w:top w:val="single" w:sz="4" w:space="0" w:color="9F9F9F" w:themeColor="accent3" w:themeTint="99"/>
        </w:tcBorders>
      </w:tcPr>
    </w:tblStylePr>
  </w:style>
  <w:style w:type="table" w:styleId="GridTable7Colorful-Accent4">
    <w:name w:val="Grid Table 7 Colorful Accent 4"/>
    <w:basedOn w:val="TableNormal"/>
    <w:uiPriority w:val="52"/>
    <w:rsid w:val="008864BB"/>
    <w:rPr>
      <w:color w:val="707070" w:themeColor="accent4" w:themeShade="BF"/>
    </w:rPr>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insideV w:val="single" w:sz="4" w:space="0" w:color="C0C0C0" w:themeColor="accent4"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EAEAEA" w:themeFill="accent4" w:themeFillTint="33"/>
      </w:tcPr>
    </w:tblStylePr>
    <w:tblStylePr w:type="band1Horz">
      <w:tblPr/>
      <w:tcPr>
        <w:shd w:val="clear" w:color="auto" w:fill="EAEAEA" w:themeFill="accent4" w:themeFillTint="33"/>
      </w:tcPr>
    </w:tblStylePr>
    <w:tblStylePr w:type="neCell">
      <w:tblPr/>
      <w:tcPr>
        <w:tcBorders>
          <w:bottom w:val="single" w:sz="4" w:space="0" w:color="C0C0C0" w:themeColor="accent4" w:themeTint="99"/>
        </w:tcBorders>
      </w:tcPr>
    </w:tblStylePr>
    <w:tblStylePr w:type="nwCell">
      <w:tblPr/>
      <w:tcPr>
        <w:tcBorders>
          <w:bottom w:val="single" w:sz="4" w:space="0" w:color="C0C0C0" w:themeColor="accent4" w:themeTint="99"/>
        </w:tcBorders>
      </w:tcPr>
    </w:tblStylePr>
    <w:tblStylePr w:type="seCell">
      <w:tblPr/>
      <w:tcPr>
        <w:tcBorders>
          <w:top w:val="single" w:sz="4" w:space="0" w:color="C0C0C0" w:themeColor="accent4" w:themeTint="99"/>
        </w:tcBorders>
      </w:tcPr>
    </w:tblStylePr>
    <w:tblStylePr w:type="swCell">
      <w:tblPr/>
      <w:tcPr>
        <w:tcBorders>
          <w:top w:val="single" w:sz="4" w:space="0" w:color="C0C0C0" w:themeColor="accent4" w:themeTint="99"/>
        </w:tcBorders>
      </w:tcPr>
    </w:tblStylePr>
  </w:style>
  <w:style w:type="table" w:styleId="GridTable7Colorful-Accent5">
    <w:name w:val="Grid Table 7 Colorful Accent 5"/>
    <w:basedOn w:val="TableNormal"/>
    <w:uiPriority w:val="52"/>
    <w:rsid w:val="008864BB"/>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8864BB"/>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
    <w:name w:val="Hashtag"/>
    <w:basedOn w:val="DefaultParagraphFont"/>
    <w:uiPriority w:val="99"/>
    <w:semiHidden/>
    <w:unhideWhenUsed/>
    <w:rsid w:val="008864BB"/>
    <w:rPr>
      <w:color w:val="2B579A"/>
      <w:shd w:val="clear" w:color="auto" w:fill="E1DFDD"/>
    </w:rPr>
  </w:style>
  <w:style w:type="table" w:styleId="ListTable1Light">
    <w:name w:val="List Table 1 Light"/>
    <w:basedOn w:val="TableNormal"/>
    <w:uiPriority w:val="46"/>
    <w:rsid w:val="008864B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864BB"/>
    <w:tblPr>
      <w:tblStyleRowBandSize w:val="1"/>
      <w:tblStyleColBandSize w:val="1"/>
    </w:tblPr>
    <w:tblStylePr w:type="firstRow">
      <w:rPr>
        <w:b/>
        <w:bCs/>
      </w:rPr>
      <w:tblPr/>
      <w:tcPr>
        <w:tcBorders>
          <w:bottom w:val="single" w:sz="4" w:space="0" w:color="3DB2FF" w:themeColor="accent1" w:themeTint="99"/>
        </w:tcBorders>
      </w:tcPr>
    </w:tblStylePr>
    <w:tblStylePr w:type="lastRow">
      <w:rPr>
        <w:b/>
        <w:bCs/>
      </w:rPr>
      <w:tblPr/>
      <w:tcPr>
        <w:tcBorders>
          <w:top w:val="single" w:sz="4" w:space="0" w:color="3DB2FF" w:themeColor="accent1" w:themeTint="99"/>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ListTable1Light-Accent2">
    <w:name w:val="List Table 1 Light Accent 2"/>
    <w:basedOn w:val="TableNormal"/>
    <w:uiPriority w:val="46"/>
    <w:rsid w:val="008864BB"/>
    <w:tblPr>
      <w:tblStyleRowBandSize w:val="1"/>
      <w:tblStyleColBandSize w:val="1"/>
    </w:tblPr>
    <w:tblStylePr w:type="firstRow">
      <w:rPr>
        <w:b/>
        <w:bCs/>
      </w:rPr>
      <w:tblPr/>
      <w:tcPr>
        <w:tcBorders>
          <w:bottom w:val="single" w:sz="4" w:space="0" w:color="FF4040" w:themeColor="accent2" w:themeTint="99"/>
        </w:tcBorders>
      </w:tcPr>
    </w:tblStylePr>
    <w:tblStylePr w:type="lastRow">
      <w:rPr>
        <w:b/>
        <w:bCs/>
      </w:rPr>
      <w:tblPr/>
      <w:tcPr>
        <w:tcBorders>
          <w:top w:val="single" w:sz="4" w:space="0" w:color="FF4040" w:themeColor="accent2" w:themeTint="99"/>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ListTable1Light-Accent3">
    <w:name w:val="List Table 1 Light Accent 3"/>
    <w:basedOn w:val="TableNormal"/>
    <w:uiPriority w:val="46"/>
    <w:rsid w:val="008864BB"/>
    <w:tblPr>
      <w:tblStyleRowBandSize w:val="1"/>
      <w:tblStyleColBandSize w:val="1"/>
    </w:tblPr>
    <w:tblStylePr w:type="firstRow">
      <w:rPr>
        <w:b/>
        <w:bCs/>
      </w:rPr>
      <w:tblPr/>
      <w:tcPr>
        <w:tcBorders>
          <w:bottom w:val="single" w:sz="4" w:space="0" w:color="9F9F9F" w:themeColor="accent3" w:themeTint="99"/>
        </w:tcBorders>
      </w:tcPr>
    </w:tblStylePr>
    <w:tblStylePr w:type="lastRow">
      <w:rPr>
        <w:b/>
        <w:bCs/>
      </w:rPr>
      <w:tblPr/>
      <w:tcPr>
        <w:tcBorders>
          <w:top w:val="single" w:sz="4" w:space="0" w:color="9F9F9F" w:themeColor="accent3" w:themeTint="99"/>
        </w:tcBorders>
      </w:tcPr>
    </w:tblStylePr>
    <w:tblStylePr w:type="firstCol">
      <w:rPr>
        <w:b/>
        <w:bCs/>
      </w:rPr>
    </w:tblStylePr>
    <w:tblStylePr w:type="lastCol">
      <w:rPr>
        <w:b/>
        <w:bCs/>
      </w:rPr>
    </w:tblStylePr>
    <w:tblStylePr w:type="band1Vert">
      <w:tblPr/>
      <w:tcPr>
        <w:shd w:val="clear" w:color="auto" w:fill="DFDFDF" w:themeFill="accent3" w:themeFillTint="33"/>
      </w:tcPr>
    </w:tblStylePr>
    <w:tblStylePr w:type="band1Horz">
      <w:tblPr/>
      <w:tcPr>
        <w:shd w:val="clear" w:color="auto" w:fill="DFDFDF" w:themeFill="accent3" w:themeFillTint="33"/>
      </w:tcPr>
    </w:tblStylePr>
  </w:style>
  <w:style w:type="table" w:styleId="ListTable1Light-Accent4">
    <w:name w:val="List Table 1 Light Accent 4"/>
    <w:basedOn w:val="TableNormal"/>
    <w:uiPriority w:val="46"/>
    <w:rsid w:val="008864BB"/>
    <w:tblPr>
      <w:tblStyleRowBandSize w:val="1"/>
      <w:tblStyleColBandSize w:val="1"/>
    </w:tblPr>
    <w:tblStylePr w:type="firstRow">
      <w:rPr>
        <w:b/>
        <w:bCs/>
      </w:rPr>
      <w:tblPr/>
      <w:tcPr>
        <w:tcBorders>
          <w:bottom w:val="single" w:sz="4" w:space="0" w:color="C0C0C0" w:themeColor="accent4" w:themeTint="99"/>
        </w:tcBorders>
      </w:tcPr>
    </w:tblStylePr>
    <w:tblStylePr w:type="lastRow">
      <w:rPr>
        <w:b/>
        <w:bCs/>
      </w:rPr>
      <w:tblPr/>
      <w:tcPr>
        <w:tcBorders>
          <w:top w:val="single" w:sz="4" w:space="0" w:color="C0C0C0" w:themeColor="accent4" w:themeTint="99"/>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ListTable1Light-Accent5">
    <w:name w:val="List Table 1 Light Accent 5"/>
    <w:basedOn w:val="TableNormal"/>
    <w:uiPriority w:val="46"/>
    <w:rsid w:val="008864BB"/>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8864BB"/>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8864B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864BB"/>
    <w:tblPr>
      <w:tblStyleRowBandSize w:val="1"/>
      <w:tblStyleColBandSize w:val="1"/>
      <w:tblBorders>
        <w:top w:val="single" w:sz="4" w:space="0" w:color="3DB2FF" w:themeColor="accent1" w:themeTint="99"/>
        <w:bottom w:val="single" w:sz="4" w:space="0" w:color="3DB2FF" w:themeColor="accent1" w:themeTint="99"/>
        <w:insideH w:val="single" w:sz="4" w:space="0" w:color="3DB2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ListTable2-Accent2">
    <w:name w:val="List Table 2 Accent 2"/>
    <w:basedOn w:val="TableNormal"/>
    <w:uiPriority w:val="47"/>
    <w:rsid w:val="008864BB"/>
    <w:tblPr>
      <w:tblStyleRowBandSize w:val="1"/>
      <w:tblStyleColBandSize w:val="1"/>
      <w:tblBorders>
        <w:top w:val="single" w:sz="4" w:space="0" w:color="FF4040" w:themeColor="accent2" w:themeTint="99"/>
        <w:bottom w:val="single" w:sz="4" w:space="0" w:color="FF4040" w:themeColor="accent2" w:themeTint="99"/>
        <w:insideH w:val="single" w:sz="4" w:space="0" w:color="FF404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ListTable2-Accent3">
    <w:name w:val="List Table 2 Accent 3"/>
    <w:basedOn w:val="TableNormal"/>
    <w:uiPriority w:val="47"/>
    <w:rsid w:val="008864BB"/>
    <w:tblPr>
      <w:tblStyleRowBandSize w:val="1"/>
      <w:tblStyleColBandSize w:val="1"/>
      <w:tblBorders>
        <w:top w:val="single" w:sz="4" w:space="0" w:color="9F9F9F" w:themeColor="accent3" w:themeTint="99"/>
        <w:bottom w:val="single" w:sz="4" w:space="0" w:color="9F9F9F" w:themeColor="accent3" w:themeTint="99"/>
        <w:insideH w:val="single" w:sz="4" w:space="0" w:color="9F9F9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3" w:themeFillTint="33"/>
      </w:tcPr>
    </w:tblStylePr>
    <w:tblStylePr w:type="band1Horz">
      <w:tblPr/>
      <w:tcPr>
        <w:shd w:val="clear" w:color="auto" w:fill="DFDFDF" w:themeFill="accent3" w:themeFillTint="33"/>
      </w:tcPr>
    </w:tblStylePr>
  </w:style>
  <w:style w:type="table" w:styleId="ListTable2-Accent4">
    <w:name w:val="List Table 2 Accent 4"/>
    <w:basedOn w:val="TableNormal"/>
    <w:uiPriority w:val="47"/>
    <w:rsid w:val="008864BB"/>
    <w:tblPr>
      <w:tblStyleRowBandSize w:val="1"/>
      <w:tblStyleColBandSize w:val="1"/>
      <w:tblBorders>
        <w:top w:val="single" w:sz="4" w:space="0" w:color="C0C0C0" w:themeColor="accent4" w:themeTint="99"/>
        <w:bottom w:val="single" w:sz="4" w:space="0" w:color="C0C0C0" w:themeColor="accent4" w:themeTint="99"/>
        <w:insideH w:val="single" w:sz="4" w:space="0" w:color="C0C0C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ListTable2-Accent5">
    <w:name w:val="List Table 2 Accent 5"/>
    <w:basedOn w:val="TableNormal"/>
    <w:uiPriority w:val="47"/>
    <w:rsid w:val="008864BB"/>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8864BB"/>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8864B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0072BC"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0072BC" w:themeFill="background1"/>
      </w:tcPr>
    </w:tblStylePr>
    <w:tblStylePr w:type="firstCol">
      <w:rPr>
        <w:b/>
        <w:bCs/>
      </w:rPr>
      <w:tblPr/>
      <w:tcPr>
        <w:tcBorders>
          <w:right w:val="nil"/>
        </w:tcBorders>
        <w:shd w:val="clear" w:color="auto" w:fill="0072BC" w:themeFill="background1"/>
      </w:tcPr>
    </w:tblStylePr>
    <w:tblStylePr w:type="lastCol">
      <w:rPr>
        <w:b/>
        <w:bCs/>
      </w:rPr>
      <w:tblPr/>
      <w:tcPr>
        <w:tcBorders>
          <w:left w:val="nil"/>
        </w:tcBorders>
        <w:shd w:val="clear" w:color="auto" w:fill="0072BC"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864BB"/>
    <w:tblPr>
      <w:tblStyleRowBandSize w:val="1"/>
      <w:tblStyleColBandSize w:val="1"/>
      <w:tblBorders>
        <w:top w:val="single" w:sz="4" w:space="0" w:color="0072BC" w:themeColor="accent1"/>
        <w:left w:val="single" w:sz="4" w:space="0" w:color="0072BC" w:themeColor="accent1"/>
        <w:bottom w:val="single" w:sz="4" w:space="0" w:color="0072BC" w:themeColor="accent1"/>
        <w:right w:val="single" w:sz="4" w:space="0" w:color="0072BC" w:themeColor="accent1"/>
      </w:tblBorders>
    </w:tblPr>
    <w:tblStylePr w:type="firstRow">
      <w:rPr>
        <w:b/>
        <w:bCs/>
        <w:color w:val="0072BC" w:themeColor="background1"/>
      </w:rPr>
      <w:tblPr/>
      <w:tcPr>
        <w:shd w:val="clear" w:color="auto" w:fill="0072BC" w:themeFill="accent1"/>
      </w:tcPr>
    </w:tblStylePr>
    <w:tblStylePr w:type="lastRow">
      <w:rPr>
        <w:b/>
        <w:bCs/>
      </w:rPr>
      <w:tblPr/>
      <w:tcPr>
        <w:tcBorders>
          <w:top w:val="double" w:sz="4" w:space="0" w:color="0072BC" w:themeColor="accent1"/>
        </w:tcBorders>
        <w:shd w:val="clear" w:color="auto" w:fill="0072BC" w:themeFill="background1"/>
      </w:tcPr>
    </w:tblStylePr>
    <w:tblStylePr w:type="firstCol">
      <w:rPr>
        <w:b/>
        <w:bCs/>
      </w:rPr>
      <w:tblPr/>
      <w:tcPr>
        <w:tcBorders>
          <w:right w:val="nil"/>
        </w:tcBorders>
        <w:shd w:val="clear" w:color="auto" w:fill="0072BC" w:themeFill="background1"/>
      </w:tcPr>
    </w:tblStylePr>
    <w:tblStylePr w:type="lastCol">
      <w:rPr>
        <w:b/>
        <w:bCs/>
      </w:rPr>
      <w:tblPr/>
      <w:tcPr>
        <w:tcBorders>
          <w:left w:val="nil"/>
        </w:tcBorders>
        <w:shd w:val="clear" w:color="auto" w:fill="0072BC" w:themeFill="background1"/>
      </w:tcPr>
    </w:tblStylePr>
    <w:tblStylePr w:type="band1Vert">
      <w:tblPr/>
      <w:tcPr>
        <w:tcBorders>
          <w:left w:val="single" w:sz="4" w:space="0" w:color="0072BC" w:themeColor="accent1"/>
          <w:right w:val="single" w:sz="4" w:space="0" w:color="0072BC" w:themeColor="accent1"/>
        </w:tcBorders>
      </w:tcPr>
    </w:tblStylePr>
    <w:tblStylePr w:type="band1Horz">
      <w:tblPr/>
      <w:tcPr>
        <w:tcBorders>
          <w:top w:val="single" w:sz="4" w:space="0" w:color="0072BC" w:themeColor="accent1"/>
          <w:bottom w:val="single" w:sz="4" w:space="0" w:color="0072B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BC" w:themeColor="accent1"/>
          <w:left w:val="nil"/>
        </w:tcBorders>
      </w:tcPr>
    </w:tblStylePr>
    <w:tblStylePr w:type="swCell">
      <w:tblPr/>
      <w:tcPr>
        <w:tcBorders>
          <w:top w:val="double" w:sz="4" w:space="0" w:color="0072BC" w:themeColor="accent1"/>
          <w:right w:val="nil"/>
        </w:tcBorders>
      </w:tcPr>
    </w:tblStylePr>
  </w:style>
  <w:style w:type="table" w:styleId="ListTable3-Accent2">
    <w:name w:val="List Table 3 Accent 2"/>
    <w:basedOn w:val="TableNormal"/>
    <w:uiPriority w:val="48"/>
    <w:rsid w:val="008864BB"/>
    <w:tblPr>
      <w:tblStyleRowBandSize w:val="1"/>
      <w:tblStyleColBandSize w:val="1"/>
      <w:tblBorders>
        <w:top w:val="single" w:sz="4" w:space="0" w:color="C00000" w:themeColor="accent2"/>
        <w:left w:val="single" w:sz="4" w:space="0" w:color="C00000" w:themeColor="accent2"/>
        <w:bottom w:val="single" w:sz="4" w:space="0" w:color="C00000" w:themeColor="accent2"/>
        <w:right w:val="single" w:sz="4" w:space="0" w:color="C00000" w:themeColor="accent2"/>
      </w:tblBorders>
    </w:tblPr>
    <w:tblStylePr w:type="firstRow">
      <w:rPr>
        <w:b/>
        <w:bCs/>
        <w:color w:val="0072BC" w:themeColor="background1"/>
      </w:rPr>
      <w:tblPr/>
      <w:tcPr>
        <w:shd w:val="clear" w:color="auto" w:fill="C00000" w:themeFill="accent2"/>
      </w:tcPr>
    </w:tblStylePr>
    <w:tblStylePr w:type="lastRow">
      <w:rPr>
        <w:b/>
        <w:bCs/>
      </w:rPr>
      <w:tblPr/>
      <w:tcPr>
        <w:tcBorders>
          <w:top w:val="double" w:sz="4" w:space="0" w:color="C00000" w:themeColor="accent2"/>
        </w:tcBorders>
        <w:shd w:val="clear" w:color="auto" w:fill="0072BC" w:themeFill="background1"/>
      </w:tcPr>
    </w:tblStylePr>
    <w:tblStylePr w:type="firstCol">
      <w:rPr>
        <w:b/>
        <w:bCs/>
      </w:rPr>
      <w:tblPr/>
      <w:tcPr>
        <w:tcBorders>
          <w:right w:val="nil"/>
        </w:tcBorders>
        <w:shd w:val="clear" w:color="auto" w:fill="0072BC" w:themeFill="background1"/>
      </w:tcPr>
    </w:tblStylePr>
    <w:tblStylePr w:type="lastCol">
      <w:rPr>
        <w:b/>
        <w:bCs/>
      </w:rPr>
      <w:tblPr/>
      <w:tcPr>
        <w:tcBorders>
          <w:left w:val="nil"/>
        </w:tcBorders>
        <w:shd w:val="clear" w:color="auto" w:fill="0072BC" w:themeFill="background1"/>
      </w:tcPr>
    </w:tblStylePr>
    <w:tblStylePr w:type="band1Vert">
      <w:tblPr/>
      <w:tcPr>
        <w:tcBorders>
          <w:left w:val="single" w:sz="4" w:space="0" w:color="C00000" w:themeColor="accent2"/>
          <w:right w:val="single" w:sz="4" w:space="0" w:color="C00000" w:themeColor="accent2"/>
        </w:tcBorders>
      </w:tcPr>
    </w:tblStylePr>
    <w:tblStylePr w:type="band1Horz">
      <w:tblPr/>
      <w:tcPr>
        <w:tcBorders>
          <w:top w:val="single" w:sz="4" w:space="0" w:color="C00000" w:themeColor="accent2"/>
          <w:bottom w:val="single" w:sz="4" w:space="0" w:color="C0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0000" w:themeColor="accent2"/>
          <w:left w:val="nil"/>
        </w:tcBorders>
      </w:tcPr>
    </w:tblStylePr>
    <w:tblStylePr w:type="swCell">
      <w:tblPr/>
      <w:tcPr>
        <w:tcBorders>
          <w:top w:val="double" w:sz="4" w:space="0" w:color="C00000" w:themeColor="accent2"/>
          <w:right w:val="nil"/>
        </w:tcBorders>
      </w:tcPr>
    </w:tblStylePr>
  </w:style>
  <w:style w:type="table" w:styleId="ListTable3-Accent3">
    <w:name w:val="List Table 3 Accent 3"/>
    <w:basedOn w:val="TableNormal"/>
    <w:uiPriority w:val="48"/>
    <w:rsid w:val="008864BB"/>
    <w:tblPr>
      <w:tblStyleRowBandSize w:val="1"/>
      <w:tblStyleColBandSize w:val="1"/>
      <w:tblBorders>
        <w:top w:val="single" w:sz="4" w:space="0" w:color="5F5F5F" w:themeColor="accent3"/>
        <w:left w:val="single" w:sz="4" w:space="0" w:color="5F5F5F" w:themeColor="accent3"/>
        <w:bottom w:val="single" w:sz="4" w:space="0" w:color="5F5F5F" w:themeColor="accent3"/>
        <w:right w:val="single" w:sz="4" w:space="0" w:color="5F5F5F" w:themeColor="accent3"/>
      </w:tblBorders>
    </w:tblPr>
    <w:tblStylePr w:type="firstRow">
      <w:rPr>
        <w:b/>
        <w:bCs/>
        <w:color w:val="0072BC" w:themeColor="background1"/>
      </w:rPr>
      <w:tblPr/>
      <w:tcPr>
        <w:shd w:val="clear" w:color="auto" w:fill="5F5F5F" w:themeFill="accent3"/>
      </w:tcPr>
    </w:tblStylePr>
    <w:tblStylePr w:type="lastRow">
      <w:rPr>
        <w:b/>
        <w:bCs/>
      </w:rPr>
      <w:tblPr/>
      <w:tcPr>
        <w:tcBorders>
          <w:top w:val="double" w:sz="4" w:space="0" w:color="5F5F5F" w:themeColor="accent3"/>
        </w:tcBorders>
        <w:shd w:val="clear" w:color="auto" w:fill="0072BC" w:themeFill="background1"/>
      </w:tcPr>
    </w:tblStylePr>
    <w:tblStylePr w:type="firstCol">
      <w:rPr>
        <w:b/>
        <w:bCs/>
      </w:rPr>
      <w:tblPr/>
      <w:tcPr>
        <w:tcBorders>
          <w:right w:val="nil"/>
        </w:tcBorders>
        <w:shd w:val="clear" w:color="auto" w:fill="0072BC" w:themeFill="background1"/>
      </w:tcPr>
    </w:tblStylePr>
    <w:tblStylePr w:type="lastCol">
      <w:rPr>
        <w:b/>
        <w:bCs/>
      </w:rPr>
      <w:tblPr/>
      <w:tcPr>
        <w:tcBorders>
          <w:left w:val="nil"/>
        </w:tcBorders>
        <w:shd w:val="clear" w:color="auto" w:fill="0072BC" w:themeFill="background1"/>
      </w:tcPr>
    </w:tblStylePr>
    <w:tblStylePr w:type="band1Vert">
      <w:tblPr/>
      <w:tcPr>
        <w:tcBorders>
          <w:left w:val="single" w:sz="4" w:space="0" w:color="5F5F5F" w:themeColor="accent3"/>
          <w:right w:val="single" w:sz="4" w:space="0" w:color="5F5F5F" w:themeColor="accent3"/>
        </w:tcBorders>
      </w:tcPr>
    </w:tblStylePr>
    <w:tblStylePr w:type="band1Horz">
      <w:tblPr/>
      <w:tcPr>
        <w:tcBorders>
          <w:top w:val="single" w:sz="4" w:space="0" w:color="5F5F5F" w:themeColor="accent3"/>
          <w:bottom w:val="single" w:sz="4" w:space="0" w:color="5F5F5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3"/>
          <w:left w:val="nil"/>
        </w:tcBorders>
      </w:tcPr>
    </w:tblStylePr>
    <w:tblStylePr w:type="swCell">
      <w:tblPr/>
      <w:tcPr>
        <w:tcBorders>
          <w:top w:val="double" w:sz="4" w:space="0" w:color="5F5F5F" w:themeColor="accent3"/>
          <w:right w:val="nil"/>
        </w:tcBorders>
      </w:tcPr>
    </w:tblStylePr>
  </w:style>
  <w:style w:type="table" w:styleId="ListTable3-Accent4">
    <w:name w:val="List Table 3 Accent 4"/>
    <w:basedOn w:val="TableNormal"/>
    <w:uiPriority w:val="48"/>
    <w:rsid w:val="008864BB"/>
    <w:tblPr>
      <w:tblStyleRowBandSize w:val="1"/>
      <w:tblStyleColBandSize w:val="1"/>
      <w:tblBorders>
        <w:top w:val="single" w:sz="4" w:space="0" w:color="969696" w:themeColor="accent4"/>
        <w:left w:val="single" w:sz="4" w:space="0" w:color="969696" w:themeColor="accent4"/>
        <w:bottom w:val="single" w:sz="4" w:space="0" w:color="969696" w:themeColor="accent4"/>
        <w:right w:val="single" w:sz="4" w:space="0" w:color="969696" w:themeColor="accent4"/>
      </w:tblBorders>
    </w:tblPr>
    <w:tblStylePr w:type="firstRow">
      <w:rPr>
        <w:b/>
        <w:bCs/>
        <w:color w:val="0072BC" w:themeColor="background1"/>
      </w:rPr>
      <w:tblPr/>
      <w:tcPr>
        <w:shd w:val="clear" w:color="auto" w:fill="969696" w:themeFill="accent4"/>
      </w:tcPr>
    </w:tblStylePr>
    <w:tblStylePr w:type="lastRow">
      <w:rPr>
        <w:b/>
        <w:bCs/>
      </w:rPr>
      <w:tblPr/>
      <w:tcPr>
        <w:tcBorders>
          <w:top w:val="double" w:sz="4" w:space="0" w:color="969696" w:themeColor="accent4"/>
        </w:tcBorders>
        <w:shd w:val="clear" w:color="auto" w:fill="0072BC" w:themeFill="background1"/>
      </w:tcPr>
    </w:tblStylePr>
    <w:tblStylePr w:type="firstCol">
      <w:rPr>
        <w:b/>
        <w:bCs/>
      </w:rPr>
      <w:tblPr/>
      <w:tcPr>
        <w:tcBorders>
          <w:right w:val="nil"/>
        </w:tcBorders>
        <w:shd w:val="clear" w:color="auto" w:fill="0072BC" w:themeFill="background1"/>
      </w:tcPr>
    </w:tblStylePr>
    <w:tblStylePr w:type="lastCol">
      <w:rPr>
        <w:b/>
        <w:bCs/>
      </w:rPr>
      <w:tblPr/>
      <w:tcPr>
        <w:tcBorders>
          <w:left w:val="nil"/>
        </w:tcBorders>
        <w:shd w:val="clear" w:color="auto" w:fill="0072BC" w:themeFill="background1"/>
      </w:tcPr>
    </w:tblStylePr>
    <w:tblStylePr w:type="band1Vert">
      <w:tblPr/>
      <w:tcPr>
        <w:tcBorders>
          <w:left w:val="single" w:sz="4" w:space="0" w:color="969696" w:themeColor="accent4"/>
          <w:right w:val="single" w:sz="4" w:space="0" w:color="969696" w:themeColor="accent4"/>
        </w:tcBorders>
      </w:tcPr>
    </w:tblStylePr>
    <w:tblStylePr w:type="band1Horz">
      <w:tblPr/>
      <w:tcPr>
        <w:tcBorders>
          <w:top w:val="single" w:sz="4" w:space="0" w:color="969696" w:themeColor="accent4"/>
          <w:bottom w:val="single" w:sz="4" w:space="0" w:color="96969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4"/>
          <w:left w:val="nil"/>
        </w:tcBorders>
      </w:tcPr>
    </w:tblStylePr>
    <w:tblStylePr w:type="swCell">
      <w:tblPr/>
      <w:tcPr>
        <w:tcBorders>
          <w:top w:val="double" w:sz="4" w:space="0" w:color="969696" w:themeColor="accent4"/>
          <w:right w:val="nil"/>
        </w:tcBorders>
      </w:tcPr>
    </w:tblStylePr>
  </w:style>
  <w:style w:type="table" w:styleId="ListTable3-Accent5">
    <w:name w:val="List Table 3 Accent 5"/>
    <w:basedOn w:val="TableNormal"/>
    <w:uiPriority w:val="48"/>
    <w:rsid w:val="008864BB"/>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0072BC"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0072BC" w:themeFill="background1"/>
      </w:tcPr>
    </w:tblStylePr>
    <w:tblStylePr w:type="firstCol">
      <w:rPr>
        <w:b/>
        <w:bCs/>
      </w:rPr>
      <w:tblPr/>
      <w:tcPr>
        <w:tcBorders>
          <w:right w:val="nil"/>
        </w:tcBorders>
        <w:shd w:val="clear" w:color="auto" w:fill="0072BC" w:themeFill="background1"/>
      </w:tcPr>
    </w:tblStylePr>
    <w:tblStylePr w:type="lastCol">
      <w:rPr>
        <w:b/>
        <w:bCs/>
      </w:rPr>
      <w:tblPr/>
      <w:tcPr>
        <w:tcBorders>
          <w:left w:val="nil"/>
        </w:tcBorders>
        <w:shd w:val="clear" w:color="auto" w:fill="0072BC"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8864BB"/>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0072BC"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0072BC" w:themeFill="background1"/>
      </w:tcPr>
    </w:tblStylePr>
    <w:tblStylePr w:type="firstCol">
      <w:rPr>
        <w:b/>
        <w:bCs/>
      </w:rPr>
      <w:tblPr/>
      <w:tcPr>
        <w:tcBorders>
          <w:right w:val="nil"/>
        </w:tcBorders>
        <w:shd w:val="clear" w:color="auto" w:fill="0072BC" w:themeFill="background1"/>
      </w:tcPr>
    </w:tblStylePr>
    <w:tblStylePr w:type="lastCol">
      <w:rPr>
        <w:b/>
        <w:bCs/>
      </w:rPr>
      <w:tblPr/>
      <w:tcPr>
        <w:tcBorders>
          <w:left w:val="nil"/>
        </w:tcBorders>
        <w:shd w:val="clear" w:color="auto" w:fill="0072BC"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8864B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0072BC"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864BB"/>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tblBorders>
    </w:tblPr>
    <w:tblStylePr w:type="firstRow">
      <w:rPr>
        <w:b/>
        <w:bCs/>
        <w:color w:val="0072BC" w:themeColor="background1"/>
      </w:rPr>
      <w:tblPr/>
      <w:tcPr>
        <w:tcBorders>
          <w:top w:val="single" w:sz="4" w:space="0" w:color="0072BC" w:themeColor="accent1"/>
          <w:left w:val="single" w:sz="4" w:space="0" w:color="0072BC" w:themeColor="accent1"/>
          <w:bottom w:val="single" w:sz="4" w:space="0" w:color="0072BC" w:themeColor="accent1"/>
          <w:right w:val="single" w:sz="4" w:space="0" w:color="0072BC" w:themeColor="accent1"/>
          <w:insideH w:val="nil"/>
        </w:tcBorders>
        <w:shd w:val="clear" w:color="auto" w:fill="0072BC" w:themeFill="accent1"/>
      </w:tcPr>
    </w:tblStylePr>
    <w:tblStylePr w:type="lastRow">
      <w:rPr>
        <w:b/>
        <w:bCs/>
      </w:rPr>
      <w:tblPr/>
      <w:tcPr>
        <w:tcBorders>
          <w:top w:val="double" w:sz="4" w:space="0" w:color="3DB2FF" w:themeColor="accent1" w:themeTint="99"/>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ListTable4-Accent2">
    <w:name w:val="List Table 4 Accent 2"/>
    <w:basedOn w:val="TableNormal"/>
    <w:uiPriority w:val="49"/>
    <w:rsid w:val="008864BB"/>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tblBorders>
    </w:tblPr>
    <w:tblStylePr w:type="firstRow">
      <w:rPr>
        <w:b/>
        <w:bCs/>
        <w:color w:val="0072BC" w:themeColor="background1"/>
      </w:rPr>
      <w:tblPr/>
      <w:tcPr>
        <w:tcBorders>
          <w:top w:val="single" w:sz="4" w:space="0" w:color="C00000" w:themeColor="accent2"/>
          <w:left w:val="single" w:sz="4" w:space="0" w:color="C00000" w:themeColor="accent2"/>
          <w:bottom w:val="single" w:sz="4" w:space="0" w:color="C00000" w:themeColor="accent2"/>
          <w:right w:val="single" w:sz="4" w:space="0" w:color="C00000" w:themeColor="accent2"/>
          <w:insideH w:val="nil"/>
        </w:tcBorders>
        <w:shd w:val="clear" w:color="auto" w:fill="C00000" w:themeFill="accent2"/>
      </w:tcPr>
    </w:tblStylePr>
    <w:tblStylePr w:type="lastRow">
      <w:rPr>
        <w:b/>
        <w:bCs/>
      </w:rPr>
      <w:tblPr/>
      <w:tcPr>
        <w:tcBorders>
          <w:top w:val="double" w:sz="4" w:space="0" w:color="FF4040" w:themeColor="accent2" w:themeTint="99"/>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ListTable4-Accent3">
    <w:name w:val="List Table 4 Accent 3"/>
    <w:basedOn w:val="TableNormal"/>
    <w:uiPriority w:val="49"/>
    <w:rsid w:val="008864BB"/>
    <w:tblPr>
      <w:tblStyleRowBandSize w:val="1"/>
      <w:tblStyleColBandSize w:val="1"/>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insideH w:val="single" w:sz="4" w:space="0" w:color="9F9F9F" w:themeColor="accent3" w:themeTint="99"/>
      </w:tblBorders>
    </w:tblPr>
    <w:tblStylePr w:type="firstRow">
      <w:rPr>
        <w:b/>
        <w:bCs/>
        <w:color w:val="0072BC" w:themeColor="background1"/>
      </w:rPr>
      <w:tblPr/>
      <w:tcPr>
        <w:tcBorders>
          <w:top w:val="single" w:sz="4" w:space="0" w:color="5F5F5F" w:themeColor="accent3"/>
          <w:left w:val="single" w:sz="4" w:space="0" w:color="5F5F5F" w:themeColor="accent3"/>
          <w:bottom w:val="single" w:sz="4" w:space="0" w:color="5F5F5F" w:themeColor="accent3"/>
          <w:right w:val="single" w:sz="4" w:space="0" w:color="5F5F5F" w:themeColor="accent3"/>
          <w:insideH w:val="nil"/>
        </w:tcBorders>
        <w:shd w:val="clear" w:color="auto" w:fill="5F5F5F" w:themeFill="accent3"/>
      </w:tcPr>
    </w:tblStylePr>
    <w:tblStylePr w:type="lastRow">
      <w:rPr>
        <w:b/>
        <w:bCs/>
      </w:rPr>
      <w:tblPr/>
      <w:tcPr>
        <w:tcBorders>
          <w:top w:val="double" w:sz="4" w:space="0" w:color="9F9F9F" w:themeColor="accent3" w:themeTint="99"/>
        </w:tcBorders>
      </w:tcPr>
    </w:tblStylePr>
    <w:tblStylePr w:type="firstCol">
      <w:rPr>
        <w:b/>
        <w:bCs/>
      </w:rPr>
    </w:tblStylePr>
    <w:tblStylePr w:type="lastCol">
      <w:rPr>
        <w:b/>
        <w:bCs/>
      </w:rPr>
    </w:tblStylePr>
    <w:tblStylePr w:type="band1Vert">
      <w:tblPr/>
      <w:tcPr>
        <w:shd w:val="clear" w:color="auto" w:fill="DFDFDF" w:themeFill="accent3" w:themeFillTint="33"/>
      </w:tcPr>
    </w:tblStylePr>
    <w:tblStylePr w:type="band1Horz">
      <w:tblPr/>
      <w:tcPr>
        <w:shd w:val="clear" w:color="auto" w:fill="DFDFDF" w:themeFill="accent3" w:themeFillTint="33"/>
      </w:tcPr>
    </w:tblStylePr>
  </w:style>
  <w:style w:type="table" w:styleId="ListTable4-Accent4">
    <w:name w:val="List Table 4 Accent 4"/>
    <w:basedOn w:val="TableNormal"/>
    <w:uiPriority w:val="49"/>
    <w:rsid w:val="008864BB"/>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tblBorders>
    </w:tblPr>
    <w:tblStylePr w:type="firstRow">
      <w:rPr>
        <w:b/>
        <w:bCs/>
        <w:color w:val="0072BC" w:themeColor="background1"/>
      </w:rPr>
      <w:tblPr/>
      <w:tcPr>
        <w:tcBorders>
          <w:top w:val="single" w:sz="4" w:space="0" w:color="969696" w:themeColor="accent4"/>
          <w:left w:val="single" w:sz="4" w:space="0" w:color="969696" w:themeColor="accent4"/>
          <w:bottom w:val="single" w:sz="4" w:space="0" w:color="969696" w:themeColor="accent4"/>
          <w:right w:val="single" w:sz="4" w:space="0" w:color="969696" w:themeColor="accent4"/>
          <w:insideH w:val="nil"/>
        </w:tcBorders>
        <w:shd w:val="clear" w:color="auto" w:fill="969696" w:themeFill="accent4"/>
      </w:tcPr>
    </w:tblStylePr>
    <w:tblStylePr w:type="lastRow">
      <w:rPr>
        <w:b/>
        <w:bCs/>
      </w:rPr>
      <w:tblPr/>
      <w:tcPr>
        <w:tcBorders>
          <w:top w:val="double" w:sz="4" w:space="0" w:color="C0C0C0" w:themeColor="accent4" w:themeTint="99"/>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ListTable4-Accent5">
    <w:name w:val="List Table 4 Accent 5"/>
    <w:basedOn w:val="TableNormal"/>
    <w:uiPriority w:val="49"/>
    <w:rsid w:val="008864BB"/>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0072BC"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8864BB"/>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0072BC"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8864BB"/>
    <w:rPr>
      <w:color w:val="0072BC"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0072BC" w:themeColor="background1"/>
        </w:tcBorders>
      </w:tcPr>
    </w:tblStylePr>
    <w:tblStylePr w:type="lastRow">
      <w:rPr>
        <w:b/>
        <w:bCs/>
      </w:rPr>
      <w:tblPr/>
      <w:tcPr>
        <w:tcBorders>
          <w:top w:val="single" w:sz="4" w:space="0" w:color="0072BC" w:themeColor="background1"/>
        </w:tcBorders>
      </w:tcPr>
    </w:tblStylePr>
    <w:tblStylePr w:type="firstCol">
      <w:rPr>
        <w:b/>
        <w:bCs/>
      </w:rPr>
      <w:tblPr/>
      <w:tcPr>
        <w:tcBorders>
          <w:right w:val="single" w:sz="4" w:space="0" w:color="0072BC" w:themeColor="background1"/>
        </w:tcBorders>
      </w:tcPr>
    </w:tblStylePr>
    <w:tblStylePr w:type="lastCol">
      <w:rPr>
        <w:b/>
        <w:bCs/>
      </w:rPr>
      <w:tblPr/>
      <w:tcPr>
        <w:tcBorders>
          <w:left w:val="single" w:sz="4" w:space="0" w:color="0072BC" w:themeColor="background1"/>
        </w:tcBorders>
      </w:tcPr>
    </w:tblStylePr>
    <w:tblStylePr w:type="band1Vert">
      <w:tblPr/>
      <w:tcPr>
        <w:tcBorders>
          <w:left w:val="single" w:sz="4" w:space="0" w:color="0072BC" w:themeColor="background1"/>
          <w:right w:val="single" w:sz="4" w:space="0" w:color="0072BC" w:themeColor="background1"/>
        </w:tcBorders>
      </w:tcPr>
    </w:tblStylePr>
    <w:tblStylePr w:type="band2Vert">
      <w:tblPr/>
      <w:tcPr>
        <w:tcBorders>
          <w:left w:val="single" w:sz="4" w:space="0" w:color="0072BC" w:themeColor="background1"/>
          <w:right w:val="single" w:sz="4" w:space="0" w:color="0072BC" w:themeColor="background1"/>
        </w:tcBorders>
      </w:tcPr>
    </w:tblStylePr>
    <w:tblStylePr w:type="band1Horz">
      <w:tblPr/>
      <w:tcPr>
        <w:tcBorders>
          <w:top w:val="single" w:sz="4" w:space="0" w:color="0072BC" w:themeColor="background1"/>
          <w:bottom w:val="single" w:sz="4" w:space="0" w:color="0072BC"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864BB"/>
    <w:rPr>
      <w:color w:val="0072BC" w:themeColor="background1"/>
    </w:rPr>
    <w:tblPr>
      <w:tblStyleRowBandSize w:val="1"/>
      <w:tblStyleColBandSize w:val="1"/>
      <w:tblBorders>
        <w:top w:val="single" w:sz="24" w:space="0" w:color="0072BC" w:themeColor="accent1"/>
        <w:left w:val="single" w:sz="24" w:space="0" w:color="0072BC" w:themeColor="accent1"/>
        <w:bottom w:val="single" w:sz="24" w:space="0" w:color="0072BC" w:themeColor="accent1"/>
        <w:right w:val="single" w:sz="24" w:space="0" w:color="0072BC" w:themeColor="accent1"/>
      </w:tblBorders>
    </w:tblPr>
    <w:tcPr>
      <w:shd w:val="clear" w:color="auto" w:fill="0072BC" w:themeFill="accent1"/>
    </w:tcPr>
    <w:tblStylePr w:type="firstRow">
      <w:rPr>
        <w:b/>
        <w:bCs/>
      </w:rPr>
      <w:tblPr/>
      <w:tcPr>
        <w:tcBorders>
          <w:bottom w:val="single" w:sz="18" w:space="0" w:color="0072BC" w:themeColor="background1"/>
        </w:tcBorders>
      </w:tcPr>
    </w:tblStylePr>
    <w:tblStylePr w:type="lastRow">
      <w:rPr>
        <w:b/>
        <w:bCs/>
      </w:rPr>
      <w:tblPr/>
      <w:tcPr>
        <w:tcBorders>
          <w:top w:val="single" w:sz="4" w:space="0" w:color="0072BC" w:themeColor="background1"/>
        </w:tcBorders>
      </w:tcPr>
    </w:tblStylePr>
    <w:tblStylePr w:type="firstCol">
      <w:rPr>
        <w:b/>
        <w:bCs/>
      </w:rPr>
      <w:tblPr/>
      <w:tcPr>
        <w:tcBorders>
          <w:right w:val="single" w:sz="4" w:space="0" w:color="0072BC" w:themeColor="background1"/>
        </w:tcBorders>
      </w:tcPr>
    </w:tblStylePr>
    <w:tblStylePr w:type="lastCol">
      <w:rPr>
        <w:b/>
        <w:bCs/>
      </w:rPr>
      <w:tblPr/>
      <w:tcPr>
        <w:tcBorders>
          <w:left w:val="single" w:sz="4" w:space="0" w:color="0072BC" w:themeColor="background1"/>
        </w:tcBorders>
      </w:tcPr>
    </w:tblStylePr>
    <w:tblStylePr w:type="band1Vert">
      <w:tblPr/>
      <w:tcPr>
        <w:tcBorders>
          <w:left w:val="single" w:sz="4" w:space="0" w:color="0072BC" w:themeColor="background1"/>
          <w:right w:val="single" w:sz="4" w:space="0" w:color="0072BC" w:themeColor="background1"/>
        </w:tcBorders>
      </w:tcPr>
    </w:tblStylePr>
    <w:tblStylePr w:type="band2Vert">
      <w:tblPr/>
      <w:tcPr>
        <w:tcBorders>
          <w:left w:val="single" w:sz="4" w:space="0" w:color="0072BC" w:themeColor="background1"/>
          <w:right w:val="single" w:sz="4" w:space="0" w:color="0072BC" w:themeColor="background1"/>
        </w:tcBorders>
      </w:tcPr>
    </w:tblStylePr>
    <w:tblStylePr w:type="band1Horz">
      <w:tblPr/>
      <w:tcPr>
        <w:tcBorders>
          <w:top w:val="single" w:sz="4" w:space="0" w:color="0072BC" w:themeColor="background1"/>
          <w:bottom w:val="single" w:sz="4" w:space="0" w:color="0072BC"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864BB"/>
    <w:rPr>
      <w:color w:val="0072BC" w:themeColor="background1"/>
    </w:rPr>
    <w:tblPr>
      <w:tblStyleRowBandSize w:val="1"/>
      <w:tblStyleColBandSize w:val="1"/>
      <w:tblBorders>
        <w:top w:val="single" w:sz="24" w:space="0" w:color="C00000" w:themeColor="accent2"/>
        <w:left w:val="single" w:sz="24" w:space="0" w:color="C00000" w:themeColor="accent2"/>
        <w:bottom w:val="single" w:sz="24" w:space="0" w:color="C00000" w:themeColor="accent2"/>
        <w:right w:val="single" w:sz="24" w:space="0" w:color="C00000" w:themeColor="accent2"/>
      </w:tblBorders>
    </w:tblPr>
    <w:tcPr>
      <w:shd w:val="clear" w:color="auto" w:fill="C00000" w:themeFill="accent2"/>
    </w:tcPr>
    <w:tblStylePr w:type="firstRow">
      <w:rPr>
        <w:b/>
        <w:bCs/>
      </w:rPr>
      <w:tblPr/>
      <w:tcPr>
        <w:tcBorders>
          <w:bottom w:val="single" w:sz="18" w:space="0" w:color="0072BC" w:themeColor="background1"/>
        </w:tcBorders>
      </w:tcPr>
    </w:tblStylePr>
    <w:tblStylePr w:type="lastRow">
      <w:rPr>
        <w:b/>
        <w:bCs/>
      </w:rPr>
      <w:tblPr/>
      <w:tcPr>
        <w:tcBorders>
          <w:top w:val="single" w:sz="4" w:space="0" w:color="0072BC" w:themeColor="background1"/>
        </w:tcBorders>
      </w:tcPr>
    </w:tblStylePr>
    <w:tblStylePr w:type="firstCol">
      <w:rPr>
        <w:b/>
        <w:bCs/>
      </w:rPr>
      <w:tblPr/>
      <w:tcPr>
        <w:tcBorders>
          <w:right w:val="single" w:sz="4" w:space="0" w:color="0072BC" w:themeColor="background1"/>
        </w:tcBorders>
      </w:tcPr>
    </w:tblStylePr>
    <w:tblStylePr w:type="lastCol">
      <w:rPr>
        <w:b/>
        <w:bCs/>
      </w:rPr>
      <w:tblPr/>
      <w:tcPr>
        <w:tcBorders>
          <w:left w:val="single" w:sz="4" w:space="0" w:color="0072BC" w:themeColor="background1"/>
        </w:tcBorders>
      </w:tcPr>
    </w:tblStylePr>
    <w:tblStylePr w:type="band1Vert">
      <w:tblPr/>
      <w:tcPr>
        <w:tcBorders>
          <w:left w:val="single" w:sz="4" w:space="0" w:color="0072BC" w:themeColor="background1"/>
          <w:right w:val="single" w:sz="4" w:space="0" w:color="0072BC" w:themeColor="background1"/>
        </w:tcBorders>
      </w:tcPr>
    </w:tblStylePr>
    <w:tblStylePr w:type="band2Vert">
      <w:tblPr/>
      <w:tcPr>
        <w:tcBorders>
          <w:left w:val="single" w:sz="4" w:space="0" w:color="0072BC" w:themeColor="background1"/>
          <w:right w:val="single" w:sz="4" w:space="0" w:color="0072BC" w:themeColor="background1"/>
        </w:tcBorders>
      </w:tcPr>
    </w:tblStylePr>
    <w:tblStylePr w:type="band1Horz">
      <w:tblPr/>
      <w:tcPr>
        <w:tcBorders>
          <w:top w:val="single" w:sz="4" w:space="0" w:color="0072BC" w:themeColor="background1"/>
          <w:bottom w:val="single" w:sz="4" w:space="0" w:color="0072BC"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864BB"/>
    <w:rPr>
      <w:color w:val="0072BC" w:themeColor="background1"/>
    </w:rPr>
    <w:tblPr>
      <w:tblStyleRowBandSize w:val="1"/>
      <w:tblStyleColBandSize w:val="1"/>
      <w:tblBorders>
        <w:top w:val="single" w:sz="24" w:space="0" w:color="5F5F5F" w:themeColor="accent3"/>
        <w:left w:val="single" w:sz="24" w:space="0" w:color="5F5F5F" w:themeColor="accent3"/>
        <w:bottom w:val="single" w:sz="24" w:space="0" w:color="5F5F5F" w:themeColor="accent3"/>
        <w:right w:val="single" w:sz="24" w:space="0" w:color="5F5F5F" w:themeColor="accent3"/>
      </w:tblBorders>
    </w:tblPr>
    <w:tcPr>
      <w:shd w:val="clear" w:color="auto" w:fill="5F5F5F" w:themeFill="accent3"/>
    </w:tcPr>
    <w:tblStylePr w:type="firstRow">
      <w:rPr>
        <w:b/>
        <w:bCs/>
      </w:rPr>
      <w:tblPr/>
      <w:tcPr>
        <w:tcBorders>
          <w:bottom w:val="single" w:sz="18" w:space="0" w:color="0072BC" w:themeColor="background1"/>
        </w:tcBorders>
      </w:tcPr>
    </w:tblStylePr>
    <w:tblStylePr w:type="lastRow">
      <w:rPr>
        <w:b/>
        <w:bCs/>
      </w:rPr>
      <w:tblPr/>
      <w:tcPr>
        <w:tcBorders>
          <w:top w:val="single" w:sz="4" w:space="0" w:color="0072BC" w:themeColor="background1"/>
        </w:tcBorders>
      </w:tcPr>
    </w:tblStylePr>
    <w:tblStylePr w:type="firstCol">
      <w:rPr>
        <w:b/>
        <w:bCs/>
      </w:rPr>
      <w:tblPr/>
      <w:tcPr>
        <w:tcBorders>
          <w:right w:val="single" w:sz="4" w:space="0" w:color="0072BC" w:themeColor="background1"/>
        </w:tcBorders>
      </w:tcPr>
    </w:tblStylePr>
    <w:tblStylePr w:type="lastCol">
      <w:rPr>
        <w:b/>
        <w:bCs/>
      </w:rPr>
      <w:tblPr/>
      <w:tcPr>
        <w:tcBorders>
          <w:left w:val="single" w:sz="4" w:space="0" w:color="0072BC" w:themeColor="background1"/>
        </w:tcBorders>
      </w:tcPr>
    </w:tblStylePr>
    <w:tblStylePr w:type="band1Vert">
      <w:tblPr/>
      <w:tcPr>
        <w:tcBorders>
          <w:left w:val="single" w:sz="4" w:space="0" w:color="0072BC" w:themeColor="background1"/>
          <w:right w:val="single" w:sz="4" w:space="0" w:color="0072BC" w:themeColor="background1"/>
        </w:tcBorders>
      </w:tcPr>
    </w:tblStylePr>
    <w:tblStylePr w:type="band2Vert">
      <w:tblPr/>
      <w:tcPr>
        <w:tcBorders>
          <w:left w:val="single" w:sz="4" w:space="0" w:color="0072BC" w:themeColor="background1"/>
          <w:right w:val="single" w:sz="4" w:space="0" w:color="0072BC" w:themeColor="background1"/>
        </w:tcBorders>
      </w:tcPr>
    </w:tblStylePr>
    <w:tblStylePr w:type="band1Horz">
      <w:tblPr/>
      <w:tcPr>
        <w:tcBorders>
          <w:top w:val="single" w:sz="4" w:space="0" w:color="0072BC" w:themeColor="background1"/>
          <w:bottom w:val="single" w:sz="4" w:space="0" w:color="0072BC"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864BB"/>
    <w:rPr>
      <w:color w:val="0072BC" w:themeColor="background1"/>
    </w:rPr>
    <w:tblPr>
      <w:tblStyleRowBandSize w:val="1"/>
      <w:tblStyleColBandSize w:val="1"/>
      <w:tblBorders>
        <w:top w:val="single" w:sz="24" w:space="0" w:color="969696" w:themeColor="accent4"/>
        <w:left w:val="single" w:sz="24" w:space="0" w:color="969696" w:themeColor="accent4"/>
        <w:bottom w:val="single" w:sz="24" w:space="0" w:color="969696" w:themeColor="accent4"/>
        <w:right w:val="single" w:sz="24" w:space="0" w:color="969696" w:themeColor="accent4"/>
      </w:tblBorders>
    </w:tblPr>
    <w:tcPr>
      <w:shd w:val="clear" w:color="auto" w:fill="969696" w:themeFill="accent4"/>
    </w:tcPr>
    <w:tblStylePr w:type="firstRow">
      <w:rPr>
        <w:b/>
        <w:bCs/>
      </w:rPr>
      <w:tblPr/>
      <w:tcPr>
        <w:tcBorders>
          <w:bottom w:val="single" w:sz="18" w:space="0" w:color="0072BC" w:themeColor="background1"/>
        </w:tcBorders>
      </w:tcPr>
    </w:tblStylePr>
    <w:tblStylePr w:type="lastRow">
      <w:rPr>
        <w:b/>
        <w:bCs/>
      </w:rPr>
      <w:tblPr/>
      <w:tcPr>
        <w:tcBorders>
          <w:top w:val="single" w:sz="4" w:space="0" w:color="0072BC" w:themeColor="background1"/>
        </w:tcBorders>
      </w:tcPr>
    </w:tblStylePr>
    <w:tblStylePr w:type="firstCol">
      <w:rPr>
        <w:b/>
        <w:bCs/>
      </w:rPr>
      <w:tblPr/>
      <w:tcPr>
        <w:tcBorders>
          <w:right w:val="single" w:sz="4" w:space="0" w:color="0072BC" w:themeColor="background1"/>
        </w:tcBorders>
      </w:tcPr>
    </w:tblStylePr>
    <w:tblStylePr w:type="lastCol">
      <w:rPr>
        <w:b/>
        <w:bCs/>
      </w:rPr>
      <w:tblPr/>
      <w:tcPr>
        <w:tcBorders>
          <w:left w:val="single" w:sz="4" w:space="0" w:color="0072BC" w:themeColor="background1"/>
        </w:tcBorders>
      </w:tcPr>
    </w:tblStylePr>
    <w:tblStylePr w:type="band1Vert">
      <w:tblPr/>
      <w:tcPr>
        <w:tcBorders>
          <w:left w:val="single" w:sz="4" w:space="0" w:color="0072BC" w:themeColor="background1"/>
          <w:right w:val="single" w:sz="4" w:space="0" w:color="0072BC" w:themeColor="background1"/>
        </w:tcBorders>
      </w:tcPr>
    </w:tblStylePr>
    <w:tblStylePr w:type="band2Vert">
      <w:tblPr/>
      <w:tcPr>
        <w:tcBorders>
          <w:left w:val="single" w:sz="4" w:space="0" w:color="0072BC" w:themeColor="background1"/>
          <w:right w:val="single" w:sz="4" w:space="0" w:color="0072BC" w:themeColor="background1"/>
        </w:tcBorders>
      </w:tcPr>
    </w:tblStylePr>
    <w:tblStylePr w:type="band1Horz">
      <w:tblPr/>
      <w:tcPr>
        <w:tcBorders>
          <w:top w:val="single" w:sz="4" w:space="0" w:color="0072BC" w:themeColor="background1"/>
          <w:bottom w:val="single" w:sz="4" w:space="0" w:color="0072BC"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864BB"/>
    <w:rPr>
      <w:color w:val="0072BC"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0072BC" w:themeColor="background1"/>
        </w:tcBorders>
      </w:tcPr>
    </w:tblStylePr>
    <w:tblStylePr w:type="lastRow">
      <w:rPr>
        <w:b/>
        <w:bCs/>
      </w:rPr>
      <w:tblPr/>
      <w:tcPr>
        <w:tcBorders>
          <w:top w:val="single" w:sz="4" w:space="0" w:color="0072BC" w:themeColor="background1"/>
        </w:tcBorders>
      </w:tcPr>
    </w:tblStylePr>
    <w:tblStylePr w:type="firstCol">
      <w:rPr>
        <w:b/>
        <w:bCs/>
      </w:rPr>
      <w:tblPr/>
      <w:tcPr>
        <w:tcBorders>
          <w:right w:val="single" w:sz="4" w:space="0" w:color="0072BC" w:themeColor="background1"/>
        </w:tcBorders>
      </w:tcPr>
    </w:tblStylePr>
    <w:tblStylePr w:type="lastCol">
      <w:rPr>
        <w:b/>
        <w:bCs/>
      </w:rPr>
      <w:tblPr/>
      <w:tcPr>
        <w:tcBorders>
          <w:left w:val="single" w:sz="4" w:space="0" w:color="0072BC" w:themeColor="background1"/>
        </w:tcBorders>
      </w:tcPr>
    </w:tblStylePr>
    <w:tblStylePr w:type="band1Vert">
      <w:tblPr/>
      <w:tcPr>
        <w:tcBorders>
          <w:left w:val="single" w:sz="4" w:space="0" w:color="0072BC" w:themeColor="background1"/>
          <w:right w:val="single" w:sz="4" w:space="0" w:color="0072BC" w:themeColor="background1"/>
        </w:tcBorders>
      </w:tcPr>
    </w:tblStylePr>
    <w:tblStylePr w:type="band2Vert">
      <w:tblPr/>
      <w:tcPr>
        <w:tcBorders>
          <w:left w:val="single" w:sz="4" w:space="0" w:color="0072BC" w:themeColor="background1"/>
          <w:right w:val="single" w:sz="4" w:space="0" w:color="0072BC" w:themeColor="background1"/>
        </w:tcBorders>
      </w:tcPr>
    </w:tblStylePr>
    <w:tblStylePr w:type="band1Horz">
      <w:tblPr/>
      <w:tcPr>
        <w:tcBorders>
          <w:top w:val="single" w:sz="4" w:space="0" w:color="0072BC" w:themeColor="background1"/>
          <w:bottom w:val="single" w:sz="4" w:space="0" w:color="0072BC"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864BB"/>
    <w:rPr>
      <w:color w:val="0072BC"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0072BC" w:themeColor="background1"/>
        </w:tcBorders>
      </w:tcPr>
    </w:tblStylePr>
    <w:tblStylePr w:type="lastRow">
      <w:rPr>
        <w:b/>
        <w:bCs/>
      </w:rPr>
      <w:tblPr/>
      <w:tcPr>
        <w:tcBorders>
          <w:top w:val="single" w:sz="4" w:space="0" w:color="0072BC" w:themeColor="background1"/>
        </w:tcBorders>
      </w:tcPr>
    </w:tblStylePr>
    <w:tblStylePr w:type="firstCol">
      <w:rPr>
        <w:b/>
        <w:bCs/>
      </w:rPr>
      <w:tblPr/>
      <w:tcPr>
        <w:tcBorders>
          <w:right w:val="single" w:sz="4" w:space="0" w:color="0072BC" w:themeColor="background1"/>
        </w:tcBorders>
      </w:tcPr>
    </w:tblStylePr>
    <w:tblStylePr w:type="lastCol">
      <w:rPr>
        <w:b/>
        <w:bCs/>
      </w:rPr>
      <w:tblPr/>
      <w:tcPr>
        <w:tcBorders>
          <w:left w:val="single" w:sz="4" w:space="0" w:color="0072BC" w:themeColor="background1"/>
        </w:tcBorders>
      </w:tcPr>
    </w:tblStylePr>
    <w:tblStylePr w:type="band1Vert">
      <w:tblPr/>
      <w:tcPr>
        <w:tcBorders>
          <w:left w:val="single" w:sz="4" w:space="0" w:color="0072BC" w:themeColor="background1"/>
          <w:right w:val="single" w:sz="4" w:space="0" w:color="0072BC" w:themeColor="background1"/>
        </w:tcBorders>
      </w:tcPr>
    </w:tblStylePr>
    <w:tblStylePr w:type="band2Vert">
      <w:tblPr/>
      <w:tcPr>
        <w:tcBorders>
          <w:left w:val="single" w:sz="4" w:space="0" w:color="0072BC" w:themeColor="background1"/>
          <w:right w:val="single" w:sz="4" w:space="0" w:color="0072BC" w:themeColor="background1"/>
        </w:tcBorders>
      </w:tcPr>
    </w:tblStylePr>
    <w:tblStylePr w:type="band1Horz">
      <w:tblPr/>
      <w:tcPr>
        <w:tcBorders>
          <w:top w:val="single" w:sz="4" w:space="0" w:color="0072BC" w:themeColor="background1"/>
          <w:bottom w:val="single" w:sz="4" w:space="0" w:color="0072BC"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864B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864BB"/>
    <w:rPr>
      <w:color w:val="00548C" w:themeColor="accent1" w:themeShade="BF"/>
    </w:rPr>
    <w:tblPr>
      <w:tblStyleRowBandSize w:val="1"/>
      <w:tblStyleColBandSize w:val="1"/>
      <w:tblBorders>
        <w:top w:val="single" w:sz="4" w:space="0" w:color="0072BC" w:themeColor="accent1"/>
        <w:bottom w:val="single" w:sz="4" w:space="0" w:color="0072BC" w:themeColor="accent1"/>
      </w:tblBorders>
    </w:tblPr>
    <w:tblStylePr w:type="firstRow">
      <w:rPr>
        <w:b/>
        <w:bCs/>
      </w:rPr>
      <w:tblPr/>
      <w:tcPr>
        <w:tcBorders>
          <w:bottom w:val="single" w:sz="4" w:space="0" w:color="0072BC" w:themeColor="accent1"/>
        </w:tcBorders>
      </w:tcPr>
    </w:tblStylePr>
    <w:tblStylePr w:type="lastRow">
      <w:rPr>
        <w:b/>
        <w:bCs/>
      </w:rPr>
      <w:tblPr/>
      <w:tcPr>
        <w:tcBorders>
          <w:top w:val="double" w:sz="4" w:space="0" w:color="0072BC" w:themeColor="accent1"/>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ListTable6Colorful-Accent2">
    <w:name w:val="List Table 6 Colorful Accent 2"/>
    <w:basedOn w:val="TableNormal"/>
    <w:uiPriority w:val="51"/>
    <w:rsid w:val="008864BB"/>
    <w:rPr>
      <w:color w:val="8F0000" w:themeColor="accent2" w:themeShade="BF"/>
    </w:rPr>
    <w:tblPr>
      <w:tblStyleRowBandSize w:val="1"/>
      <w:tblStyleColBandSize w:val="1"/>
      <w:tblBorders>
        <w:top w:val="single" w:sz="4" w:space="0" w:color="C00000" w:themeColor="accent2"/>
        <w:bottom w:val="single" w:sz="4" w:space="0" w:color="C00000" w:themeColor="accent2"/>
      </w:tblBorders>
    </w:tblPr>
    <w:tblStylePr w:type="firstRow">
      <w:rPr>
        <w:b/>
        <w:bCs/>
      </w:rPr>
      <w:tblPr/>
      <w:tcPr>
        <w:tcBorders>
          <w:bottom w:val="single" w:sz="4" w:space="0" w:color="C00000" w:themeColor="accent2"/>
        </w:tcBorders>
      </w:tcPr>
    </w:tblStylePr>
    <w:tblStylePr w:type="lastRow">
      <w:rPr>
        <w:b/>
        <w:bCs/>
      </w:rPr>
      <w:tblPr/>
      <w:tcPr>
        <w:tcBorders>
          <w:top w:val="double" w:sz="4" w:space="0" w:color="C00000" w:themeColor="accent2"/>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ListTable6Colorful-Accent3">
    <w:name w:val="List Table 6 Colorful Accent 3"/>
    <w:basedOn w:val="TableNormal"/>
    <w:uiPriority w:val="51"/>
    <w:rsid w:val="008864BB"/>
    <w:rPr>
      <w:color w:val="474747" w:themeColor="accent3" w:themeShade="BF"/>
    </w:rPr>
    <w:tblPr>
      <w:tblStyleRowBandSize w:val="1"/>
      <w:tblStyleColBandSize w:val="1"/>
      <w:tblBorders>
        <w:top w:val="single" w:sz="4" w:space="0" w:color="5F5F5F" w:themeColor="accent3"/>
        <w:bottom w:val="single" w:sz="4" w:space="0" w:color="5F5F5F" w:themeColor="accent3"/>
      </w:tblBorders>
    </w:tblPr>
    <w:tblStylePr w:type="firstRow">
      <w:rPr>
        <w:b/>
        <w:bCs/>
      </w:rPr>
      <w:tblPr/>
      <w:tcPr>
        <w:tcBorders>
          <w:bottom w:val="single" w:sz="4" w:space="0" w:color="5F5F5F" w:themeColor="accent3"/>
        </w:tcBorders>
      </w:tcPr>
    </w:tblStylePr>
    <w:tblStylePr w:type="lastRow">
      <w:rPr>
        <w:b/>
        <w:bCs/>
      </w:rPr>
      <w:tblPr/>
      <w:tcPr>
        <w:tcBorders>
          <w:top w:val="double" w:sz="4" w:space="0" w:color="5F5F5F" w:themeColor="accent3"/>
        </w:tcBorders>
      </w:tcPr>
    </w:tblStylePr>
    <w:tblStylePr w:type="firstCol">
      <w:rPr>
        <w:b/>
        <w:bCs/>
      </w:rPr>
    </w:tblStylePr>
    <w:tblStylePr w:type="lastCol">
      <w:rPr>
        <w:b/>
        <w:bCs/>
      </w:rPr>
    </w:tblStylePr>
    <w:tblStylePr w:type="band1Vert">
      <w:tblPr/>
      <w:tcPr>
        <w:shd w:val="clear" w:color="auto" w:fill="DFDFDF" w:themeFill="accent3" w:themeFillTint="33"/>
      </w:tcPr>
    </w:tblStylePr>
    <w:tblStylePr w:type="band1Horz">
      <w:tblPr/>
      <w:tcPr>
        <w:shd w:val="clear" w:color="auto" w:fill="DFDFDF" w:themeFill="accent3" w:themeFillTint="33"/>
      </w:tcPr>
    </w:tblStylePr>
  </w:style>
  <w:style w:type="table" w:styleId="ListTable6Colorful-Accent4">
    <w:name w:val="List Table 6 Colorful Accent 4"/>
    <w:basedOn w:val="TableNormal"/>
    <w:uiPriority w:val="51"/>
    <w:rsid w:val="008864BB"/>
    <w:rPr>
      <w:color w:val="707070" w:themeColor="accent4" w:themeShade="BF"/>
    </w:rPr>
    <w:tblPr>
      <w:tblStyleRowBandSize w:val="1"/>
      <w:tblStyleColBandSize w:val="1"/>
      <w:tblBorders>
        <w:top w:val="single" w:sz="4" w:space="0" w:color="969696" w:themeColor="accent4"/>
        <w:bottom w:val="single" w:sz="4" w:space="0" w:color="969696" w:themeColor="accent4"/>
      </w:tblBorders>
    </w:tblPr>
    <w:tblStylePr w:type="firstRow">
      <w:rPr>
        <w:b/>
        <w:bCs/>
      </w:rPr>
      <w:tblPr/>
      <w:tcPr>
        <w:tcBorders>
          <w:bottom w:val="single" w:sz="4" w:space="0" w:color="969696" w:themeColor="accent4"/>
        </w:tcBorders>
      </w:tcPr>
    </w:tblStylePr>
    <w:tblStylePr w:type="lastRow">
      <w:rPr>
        <w:b/>
        <w:bCs/>
      </w:rPr>
      <w:tblPr/>
      <w:tcPr>
        <w:tcBorders>
          <w:top w:val="double" w:sz="4" w:space="0" w:color="969696" w:themeColor="accent4"/>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ListTable6Colorful-Accent5">
    <w:name w:val="List Table 6 Colorful Accent 5"/>
    <w:basedOn w:val="TableNormal"/>
    <w:uiPriority w:val="51"/>
    <w:rsid w:val="008864BB"/>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8864BB"/>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8864B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0072BC"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0072BC"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0072BC"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0072BC"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864BB"/>
    <w:rPr>
      <w:color w:val="00548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2BC" w:themeColor="accent1"/>
        </w:tcBorders>
        <w:shd w:val="clear" w:color="auto" w:fill="0072BC" w:themeFill="background1"/>
      </w:tcPr>
    </w:tblStylePr>
    <w:tblStylePr w:type="lastRow">
      <w:rPr>
        <w:rFonts w:asciiTheme="majorHAnsi" w:eastAsiaTheme="majorEastAsia" w:hAnsiTheme="majorHAnsi" w:cstheme="majorBidi"/>
        <w:i/>
        <w:iCs/>
        <w:sz w:val="26"/>
      </w:rPr>
      <w:tblPr/>
      <w:tcPr>
        <w:tcBorders>
          <w:top w:val="single" w:sz="4" w:space="0" w:color="0072BC" w:themeColor="accent1"/>
        </w:tcBorders>
        <w:shd w:val="clear" w:color="auto" w:fill="0072BC"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2BC" w:themeColor="accent1"/>
        </w:tcBorders>
        <w:shd w:val="clear" w:color="auto" w:fill="0072BC" w:themeFill="background1"/>
      </w:tcPr>
    </w:tblStylePr>
    <w:tblStylePr w:type="lastCol">
      <w:rPr>
        <w:rFonts w:asciiTheme="majorHAnsi" w:eastAsiaTheme="majorEastAsia" w:hAnsiTheme="majorHAnsi" w:cstheme="majorBidi"/>
        <w:i/>
        <w:iCs/>
        <w:sz w:val="26"/>
      </w:rPr>
      <w:tblPr/>
      <w:tcPr>
        <w:tcBorders>
          <w:left w:val="single" w:sz="4" w:space="0" w:color="0072BC" w:themeColor="accent1"/>
        </w:tcBorders>
        <w:shd w:val="clear" w:color="auto" w:fill="0072BC" w:themeFill="background1"/>
      </w:tcPr>
    </w:tblStylePr>
    <w:tblStylePr w:type="band1Vert">
      <w:tblPr/>
      <w:tcPr>
        <w:shd w:val="clear" w:color="auto" w:fill="BEE5FF" w:themeFill="accent1" w:themeFillTint="33"/>
      </w:tcPr>
    </w:tblStylePr>
    <w:tblStylePr w:type="band1Horz">
      <w:tblPr/>
      <w:tcPr>
        <w:shd w:val="clear" w:color="auto" w:fill="BEE5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864BB"/>
    <w:rPr>
      <w:color w:val="8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0000" w:themeColor="accent2"/>
        </w:tcBorders>
        <w:shd w:val="clear" w:color="auto" w:fill="0072BC" w:themeFill="background1"/>
      </w:tcPr>
    </w:tblStylePr>
    <w:tblStylePr w:type="lastRow">
      <w:rPr>
        <w:rFonts w:asciiTheme="majorHAnsi" w:eastAsiaTheme="majorEastAsia" w:hAnsiTheme="majorHAnsi" w:cstheme="majorBidi"/>
        <w:i/>
        <w:iCs/>
        <w:sz w:val="26"/>
      </w:rPr>
      <w:tblPr/>
      <w:tcPr>
        <w:tcBorders>
          <w:top w:val="single" w:sz="4" w:space="0" w:color="C00000" w:themeColor="accent2"/>
        </w:tcBorders>
        <w:shd w:val="clear" w:color="auto" w:fill="0072BC"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0000" w:themeColor="accent2"/>
        </w:tcBorders>
        <w:shd w:val="clear" w:color="auto" w:fill="0072BC" w:themeFill="background1"/>
      </w:tcPr>
    </w:tblStylePr>
    <w:tblStylePr w:type="lastCol">
      <w:rPr>
        <w:rFonts w:asciiTheme="majorHAnsi" w:eastAsiaTheme="majorEastAsia" w:hAnsiTheme="majorHAnsi" w:cstheme="majorBidi"/>
        <w:i/>
        <w:iCs/>
        <w:sz w:val="26"/>
      </w:rPr>
      <w:tblPr/>
      <w:tcPr>
        <w:tcBorders>
          <w:left w:val="single" w:sz="4" w:space="0" w:color="C00000" w:themeColor="accent2"/>
        </w:tcBorders>
        <w:shd w:val="clear" w:color="auto" w:fill="0072BC" w:themeFill="background1"/>
      </w:tcPr>
    </w:tblStylePr>
    <w:tblStylePr w:type="band1Vert">
      <w:tblPr/>
      <w:tcPr>
        <w:shd w:val="clear" w:color="auto" w:fill="FFBFBF" w:themeFill="accent2" w:themeFillTint="33"/>
      </w:tcPr>
    </w:tblStylePr>
    <w:tblStylePr w:type="band1Horz">
      <w:tblPr/>
      <w:tcPr>
        <w:shd w:val="clear" w:color="auto" w:fill="FFBFB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864BB"/>
    <w:rPr>
      <w:color w:val="47474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3"/>
        </w:tcBorders>
        <w:shd w:val="clear" w:color="auto" w:fill="0072BC" w:themeFill="background1"/>
      </w:tcPr>
    </w:tblStylePr>
    <w:tblStylePr w:type="lastRow">
      <w:rPr>
        <w:rFonts w:asciiTheme="majorHAnsi" w:eastAsiaTheme="majorEastAsia" w:hAnsiTheme="majorHAnsi" w:cstheme="majorBidi"/>
        <w:i/>
        <w:iCs/>
        <w:sz w:val="26"/>
      </w:rPr>
      <w:tblPr/>
      <w:tcPr>
        <w:tcBorders>
          <w:top w:val="single" w:sz="4" w:space="0" w:color="5F5F5F" w:themeColor="accent3"/>
        </w:tcBorders>
        <w:shd w:val="clear" w:color="auto" w:fill="0072BC"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3"/>
        </w:tcBorders>
        <w:shd w:val="clear" w:color="auto" w:fill="0072BC" w:themeFill="background1"/>
      </w:tcPr>
    </w:tblStylePr>
    <w:tblStylePr w:type="lastCol">
      <w:rPr>
        <w:rFonts w:asciiTheme="majorHAnsi" w:eastAsiaTheme="majorEastAsia" w:hAnsiTheme="majorHAnsi" w:cstheme="majorBidi"/>
        <w:i/>
        <w:iCs/>
        <w:sz w:val="26"/>
      </w:rPr>
      <w:tblPr/>
      <w:tcPr>
        <w:tcBorders>
          <w:left w:val="single" w:sz="4" w:space="0" w:color="5F5F5F" w:themeColor="accent3"/>
        </w:tcBorders>
        <w:shd w:val="clear" w:color="auto" w:fill="0072BC" w:themeFill="background1"/>
      </w:tcPr>
    </w:tblStylePr>
    <w:tblStylePr w:type="band1Vert">
      <w:tblPr/>
      <w:tcPr>
        <w:shd w:val="clear" w:color="auto" w:fill="DFDFDF" w:themeFill="accent3" w:themeFillTint="33"/>
      </w:tcPr>
    </w:tblStylePr>
    <w:tblStylePr w:type="band1Horz">
      <w:tblPr/>
      <w:tcPr>
        <w:shd w:val="clear" w:color="auto" w:fill="DF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864BB"/>
    <w:rPr>
      <w:color w:val="7070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4"/>
        </w:tcBorders>
        <w:shd w:val="clear" w:color="auto" w:fill="0072BC" w:themeFill="background1"/>
      </w:tcPr>
    </w:tblStylePr>
    <w:tblStylePr w:type="lastRow">
      <w:rPr>
        <w:rFonts w:asciiTheme="majorHAnsi" w:eastAsiaTheme="majorEastAsia" w:hAnsiTheme="majorHAnsi" w:cstheme="majorBidi"/>
        <w:i/>
        <w:iCs/>
        <w:sz w:val="26"/>
      </w:rPr>
      <w:tblPr/>
      <w:tcPr>
        <w:tcBorders>
          <w:top w:val="single" w:sz="4" w:space="0" w:color="969696" w:themeColor="accent4"/>
        </w:tcBorders>
        <w:shd w:val="clear" w:color="auto" w:fill="0072BC"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4"/>
        </w:tcBorders>
        <w:shd w:val="clear" w:color="auto" w:fill="0072BC" w:themeFill="background1"/>
      </w:tcPr>
    </w:tblStylePr>
    <w:tblStylePr w:type="lastCol">
      <w:rPr>
        <w:rFonts w:asciiTheme="majorHAnsi" w:eastAsiaTheme="majorEastAsia" w:hAnsiTheme="majorHAnsi" w:cstheme="majorBidi"/>
        <w:i/>
        <w:iCs/>
        <w:sz w:val="26"/>
      </w:rPr>
      <w:tblPr/>
      <w:tcPr>
        <w:tcBorders>
          <w:left w:val="single" w:sz="4" w:space="0" w:color="969696" w:themeColor="accent4"/>
        </w:tcBorders>
        <w:shd w:val="clear" w:color="auto" w:fill="0072BC" w:themeFill="background1"/>
      </w:tcPr>
    </w:tblStylePr>
    <w:tblStylePr w:type="band1Vert">
      <w:tblPr/>
      <w:tcPr>
        <w:shd w:val="clear" w:color="auto" w:fill="EAEAEA" w:themeFill="accent4" w:themeFillTint="33"/>
      </w:tcPr>
    </w:tblStylePr>
    <w:tblStylePr w:type="band1Horz">
      <w:tblPr/>
      <w:tcPr>
        <w:shd w:val="clear" w:color="auto" w:fill="EAEA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864BB"/>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0072BC"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0072BC"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0072BC"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0072BC"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864BB"/>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0072BC"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0072BC"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0072BC"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0072BC"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ntion">
    <w:name w:val="Mention"/>
    <w:basedOn w:val="DefaultParagraphFont"/>
    <w:uiPriority w:val="99"/>
    <w:semiHidden/>
    <w:unhideWhenUsed/>
    <w:rsid w:val="008864BB"/>
    <w:rPr>
      <w:color w:val="2B579A"/>
      <w:shd w:val="clear" w:color="auto" w:fill="E1DFDD"/>
    </w:rPr>
  </w:style>
  <w:style w:type="table" w:styleId="PlainTable1">
    <w:name w:val="Plain Table 1"/>
    <w:basedOn w:val="TableNormal"/>
    <w:uiPriority w:val="41"/>
    <w:rsid w:val="008864BB"/>
    <w:tblPr>
      <w:tblStyleRowBandSize w:val="1"/>
      <w:tblStyleColBandSize w:val="1"/>
      <w:tblBorders>
        <w:top w:val="single" w:sz="4" w:space="0" w:color="00548C" w:themeColor="background1" w:themeShade="BF"/>
        <w:left w:val="single" w:sz="4" w:space="0" w:color="00548C" w:themeColor="background1" w:themeShade="BF"/>
        <w:bottom w:val="single" w:sz="4" w:space="0" w:color="00548C" w:themeColor="background1" w:themeShade="BF"/>
        <w:right w:val="single" w:sz="4" w:space="0" w:color="00548C" w:themeColor="background1" w:themeShade="BF"/>
        <w:insideH w:val="single" w:sz="4" w:space="0" w:color="00548C" w:themeColor="background1" w:themeShade="BF"/>
        <w:insideV w:val="single" w:sz="4" w:space="0" w:color="00548C" w:themeColor="background1" w:themeShade="BF"/>
      </w:tblBorders>
    </w:tblPr>
    <w:tblStylePr w:type="firstRow">
      <w:rPr>
        <w:b/>
        <w:bCs/>
      </w:rPr>
    </w:tblStylePr>
    <w:tblStylePr w:type="lastRow">
      <w:rPr>
        <w:b/>
        <w:bCs/>
      </w:rPr>
      <w:tblPr/>
      <w:tcPr>
        <w:tcBorders>
          <w:top w:val="double" w:sz="4" w:space="0" w:color="00548C" w:themeColor="background1" w:themeShade="BF"/>
        </w:tcBorders>
      </w:tcPr>
    </w:tblStylePr>
    <w:tblStylePr w:type="firstCol">
      <w:rPr>
        <w:b/>
        <w:bCs/>
      </w:rPr>
    </w:tblStylePr>
    <w:tblStylePr w:type="lastCol">
      <w:rPr>
        <w:b/>
        <w:bCs/>
      </w:rPr>
    </w:tblStylePr>
    <w:tblStylePr w:type="band1Vert">
      <w:tblPr/>
      <w:tcPr>
        <w:shd w:val="clear" w:color="auto" w:fill="006BB2" w:themeFill="background1" w:themeFillShade="F2"/>
      </w:tcPr>
    </w:tblStylePr>
    <w:tblStylePr w:type="band1Horz">
      <w:tblPr/>
      <w:tcPr>
        <w:shd w:val="clear" w:color="auto" w:fill="006BB2" w:themeFill="background1" w:themeFillShade="F2"/>
      </w:tcPr>
    </w:tblStylePr>
  </w:style>
  <w:style w:type="table" w:styleId="PlainTable2">
    <w:name w:val="Plain Table 2"/>
    <w:basedOn w:val="TableNormal"/>
    <w:uiPriority w:val="42"/>
    <w:rsid w:val="008864B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864B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006BB2" w:themeFill="background1" w:themeFillShade="F2"/>
      </w:tcPr>
    </w:tblStylePr>
    <w:tblStylePr w:type="band1Horz">
      <w:tblPr/>
      <w:tcPr>
        <w:shd w:val="clear" w:color="auto" w:fill="006BB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864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06BB2" w:themeFill="background1" w:themeFillShade="F2"/>
      </w:tcPr>
    </w:tblStylePr>
    <w:tblStylePr w:type="band1Horz">
      <w:tblPr/>
      <w:tcPr>
        <w:shd w:val="clear" w:color="auto" w:fill="006BB2" w:themeFill="background1" w:themeFillShade="F2"/>
      </w:tcPr>
    </w:tblStylePr>
  </w:style>
  <w:style w:type="table" w:styleId="PlainTable5">
    <w:name w:val="Plain Table 5"/>
    <w:basedOn w:val="TableNormal"/>
    <w:uiPriority w:val="45"/>
    <w:rsid w:val="008864B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0072BC"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0072BC"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0072BC"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0072BC" w:themeFill="background1"/>
      </w:tcPr>
    </w:tblStylePr>
    <w:tblStylePr w:type="band1Vert">
      <w:tblPr/>
      <w:tcPr>
        <w:shd w:val="clear" w:color="auto" w:fill="006BB2" w:themeFill="background1" w:themeFillShade="F2"/>
      </w:tcPr>
    </w:tblStylePr>
    <w:tblStylePr w:type="band1Horz">
      <w:tblPr/>
      <w:tcPr>
        <w:shd w:val="clear" w:color="auto" w:fill="006BB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martHyperlink">
    <w:name w:val="Smart Hyperlink"/>
    <w:basedOn w:val="DefaultParagraphFont"/>
    <w:uiPriority w:val="99"/>
    <w:semiHidden/>
    <w:unhideWhenUsed/>
    <w:rsid w:val="008864BB"/>
    <w:rPr>
      <w:u w:val="dotted"/>
    </w:rPr>
  </w:style>
  <w:style w:type="character" w:customStyle="1" w:styleId="SmartLink">
    <w:name w:val="Smart Link"/>
    <w:basedOn w:val="DefaultParagraphFont"/>
    <w:uiPriority w:val="99"/>
    <w:semiHidden/>
    <w:unhideWhenUsed/>
    <w:rsid w:val="008864BB"/>
    <w:rPr>
      <w:color w:val="0000FF"/>
      <w:u w:val="single"/>
      <w:shd w:val="clear" w:color="auto" w:fill="F3F2F1"/>
    </w:rPr>
  </w:style>
  <w:style w:type="table" w:styleId="TableGridLight">
    <w:name w:val="Grid Table Light"/>
    <w:basedOn w:val="TableNormal"/>
    <w:uiPriority w:val="40"/>
    <w:rsid w:val="008864BB"/>
    <w:tblPr>
      <w:tblBorders>
        <w:top w:val="single" w:sz="4" w:space="0" w:color="00548C" w:themeColor="background1" w:themeShade="BF"/>
        <w:left w:val="single" w:sz="4" w:space="0" w:color="00548C" w:themeColor="background1" w:themeShade="BF"/>
        <w:bottom w:val="single" w:sz="4" w:space="0" w:color="00548C" w:themeColor="background1" w:themeShade="BF"/>
        <w:right w:val="single" w:sz="4" w:space="0" w:color="00548C" w:themeColor="background1" w:themeShade="BF"/>
        <w:insideH w:val="single" w:sz="4" w:space="0" w:color="00548C" w:themeColor="background1" w:themeShade="BF"/>
        <w:insideV w:val="single" w:sz="4" w:space="0" w:color="00548C" w:themeColor="background1" w:themeShade="BF"/>
      </w:tblBorders>
    </w:tblPr>
  </w:style>
  <w:style w:type="character" w:customStyle="1" w:styleId="UnresolvedMention">
    <w:name w:val="Unresolved Mention"/>
    <w:basedOn w:val="DefaultParagraphFont"/>
    <w:uiPriority w:val="99"/>
    <w:semiHidden/>
    <w:unhideWhenUsed/>
    <w:rsid w:val="008864BB"/>
    <w:rPr>
      <w:color w:val="605E5C"/>
      <w:shd w:val="clear" w:color="auto" w:fill="E1DFDD"/>
    </w:rPr>
  </w:style>
  <w:style w:type="paragraph" w:styleId="Revision">
    <w:name w:val="Revision"/>
    <w:hidden/>
    <w:uiPriority w:val="99"/>
    <w:semiHidden/>
    <w:rsid w:val="008864BB"/>
    <w:rPr>
      <w:sz w:val="24"/>
      <w:szCs w:val="24"/>
      <w:lang w:val="en-GB"/>
    </w:rPr>
  </w:style>
  <w:style w:type="paragraph" w:customStyle="1" w:styleId="jupara0">
    <w:name w:val="jupara"/>
    <w:basedOn w:val="Normal"/>
    <w:rsid w:val="008A6695"/>
    <w:pPr>
      <w:ind w:firstLine="284"/>
      <w:jc w:val="both"/>
    </w:pPr>
    <w:rPr>
      <w:rFonts w:ascii="Times New Roman" w:eastAsia="Times New Roman" w:hAnsi="Times New Roman" w:cs="Times New Roman"/>
      <w:lang w:eastAsia="en-GB"/>
    </w:rPr>
  </w:style>
  <w:style w:type="paragraph" w:customStyle="1" w:styleId="jucase0">
    <w:name w:val="jucase"/>
    <w:basedOn w:val="Normal"/>
    <w:rsid w:val="008A6695"/>
    <w:pPr>
      <w:ind w:firstLine="284"/>
      <w:jc w:val="both"/>
    </w:pPr>
    <w:rPr>
      <w:rFonts w:ascii="Times New Roman" w:eastAsia="Times New Roman" w:hAnsi="Times New Roman" w:cs="Times New Roman"/>
      <w:b/>
      <w:bCs/>
      <w:lang w:eastAsia="en-GB"/>
    </w:rPr>
  </w:style>
  <w:style w:type="paragraph" w:customStyle="1" w:styleId="ECHRParaSpaced">
    <w:name w:val="ECHR_Para_Spaced"/>
    <w:aliases w:val="Para_Spaced"/>
    <w:basedOn w:val="Normal"/>
    <w:uiPriority w:val="5"/>
    <w:qFormat/>
    <w:rsid w:val="003D3194"/>
    <w:pPr>
      <w:spacing w:before="120" w:after="120"/>
      <w:jc w:val="both"/>
    </w:pPr>
    <w:rPr>
      <w:sz w:val="22"/>
      <w:szCs w:val="22"/>
      <w:lang w:val="fr-FR" w:eastAsia="fr-FR"/>
    </w:rPr>
  </w:style>
  <w:style w:type="paragraph" w:customStyle="1" w:styleId="hidden-xs">
    <w:name w:val="hidden-xs"/>
    <w:basedOn w:val="Normal"/>
    <w:rsid w:val="003D3194"/>
    <w:pPr>
      <w:spacing w:before="100" w:beforeAutospacing="1" w:after="100" w:afterAutospacing="1"/>
    </w:pPr>
    <w:rPr>
      <w:rFonts w:ascii="Times New Roman" w:eastAsia="Times New Roman" w:hAnsi="Times New Roman"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226880">
      <w:bodyDiv w:val="1"/>
      <w:marLeft w:val="0"/>
      <w:marRight w:val="0"/>
      <w:marTop w:val="0"/>
      <w:marBottom w:val="0"/>
      <w:divBdr>
        <w:top w:val="none" w:sz="0" w:space="0" w:color="auto"/>
        <w:left w:val="none" w:sz="0" w:space="0" w:color="auto"/>
        <w:bottom w:val="none" w:sz="0" w:space="0" w:color="auto"/>
        <w:right w:val="none" w:sz="0" w:space="0" w:color="auto"/>
      </w:divBdr>
    </w:div>
    <w:div w:id="914632635">
      <w:bodyDiv w:val="1"/>
      <w:marLeft w:val="0"/>
      <w:marRight w:val="0"/>
      <w:marTop w:val="0"/>
      <w:marBottom w:val="0"/>
      <w:divBdr>
        <w:top w:val="none" w:sz="0" w:space="0" w:color="auto"/>
        <w:left w:val="none" w:sz="0" w:space="0" w:color="auto"/>
        <w:bottom w:val="none" w:sz="0" w:space="0" w:color="auto"/>
        <w:right w:val="none" w:sz="0" w:space="0" w:color="auto"/>
      </w:divBdr>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customXml" Target="../customXml/item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483879-5097-4E09-B949-ABA1BCC1D178}">
  <ds:schemaRefs>
    <ds:schemaRef ds:uri="http://schemas.openxmlformats.org/officeDocument/2006/bibliography"/>
  </ds:schemaRefs>
</ds:datastoreItem>
</file>

<file path=customXml/itemProps2.xml><?xml version="1.0" encoding="utf-8"?>
<ds:datastoreItem xmlns:ds="http://schemas.openxmlformats.org/officeDocument/2006/customXml" ds:itemID="{839133A7-2C0C-4BBD-AC9E-DA1BA1E02AC1}"/>
</file>

<file path=customXml/itemProps3.xml><?xml version="1.0" encoding="utf-8"?>
<ds:datastoreItem xmlns:ds="http://schemas.openxmlformats.org/officeDocument/2006/customXml" ds:itemID="{2543F1A5-E6B9-42F6-AE10-FEF7EE618AB0}"/>
</file>

<file path=customXml/itemProps4.xml><?xml version="1.0" encoding="utf-8"?>
<ds:datastoreItem xmlns:ds="http://schemas.openxmlformats.org/officeDocument/2006/customXml" ds:itemID="{4E2BDDA1-F9DB-422F-BE38-C42258D5D992}"/>
</file>

<file path=docProps/app.xml><?xml version="1.0" encoding="utf-8"?>
<Properties xmlns="http://schemas.openxmlformats.org/officeDocument/2006/extended-properties" xmlns:vt="http://schemas.openxmlformats.org/officeDocument/2006/docPropsVTypes">
  <Template>Normal.dotm</Template>
  <TotalTime>0</TotalTime>
  <Pages>1</Pages>
  <Words>8945</Words>
  <Characters>50987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59813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keywords/>
  <cp:lastModifiedBy/>
  <cp:revision>1</cp:revision>
  <dcterms:created xsi:type="dcterms:W3CDTF">2023-01-27T17:24:00Z</dcterms:created>
  <dcterms:modified xsi:type="dcterms:W3CDTF">2023-01-27T17:24:00Z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77419/16</vt:lpwstr>
  </property>
  <property fmtid="{D5CDD505-2E9C-101B-9397-08002B2CF9AE}" pid="4" name="CASEID">
    <vt:lpwstr>1270607</vt:lpwstr>
  </property>
  <property fmtid="{D5CDD505-2E9C-101B-9397-08002B2CF9AE}" pid="5" name="ContentTypeId">
    <vt:lpwstr>0x010100558EB02BDB9E204AB350EDD385B68E10</vt:lpwstr>
  </property>
</Properties>
</file>