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30" w:rsidP="000D5632" w:rsidRDefault="007D6830">
      <w:pPr>
        <w:jc w:val="center"/>
      </w:pPr>
      <w:bookmarkStart w:name="_GoBack" w:id="0"/>
      <w:bookmarkEnd w:id="0"/>
    </w:p>
    <w:p w:rsidR="007D6830" w:rsidP="000D5632" w:rsidRDefault="007D6830">
      <w:pPr>
        <w:jc w:val="center"/>
      </w:pPr>
    </w:p>
    <w:p w:rsidRPr="00BF466A" w:rsidR="00CD49A7" w:rsidP="000D5632" w:rsidRDefault="00CD49A7">
      <w:pPr>
        <w:jc w:val="center"/>
      </w:pPr>
    </w:p>
    <w:p w:rsidRPr="00BF466A" w:rsidR="00CD49A7" w:rsidP="000D5632" w:rsidRDefault="00BF466A">
      <w:pPr>
        <w:jc w:val="center"/>
      </w:pPr>
      <w:r w:rsidRPr="00BF466A">
        <w:t>THIRD SECTION</w:t>
      </w:r>
    </w:p>
    <w:p w:rsidR="007D6830" w:rsidP="000D5632" w:rsidRDefault="007D6830">
      <w:pPr>
        <w:jc w:val="center"/>
      </w:pPr>
    </w:p>
    <w:p w:rsidR="007D6830" w:rsidP="000D5632" w:rsidRDefault="007D6830">
      <w:pPr>
        <w:jc w:val="center"/>
      </w:pPr>
    </w:p>
    <w:p w:rsidR="007D6830" w:rsidP="000D5632" w:rsidRDefault="007D6830">
      <w:pPr>
        <w:jc w:val="center"/>
      </w:pPr>
    </w:p>
    <w:p w:rsidRPr="00BF466A" w:rsidR="00CD49A7" w:rsidP="000D5632" w:rsidRDefault="00CD49A7">
      <w:pPr>
        <w:jc w:val="center"/>
      </w:pPr>
    </w:p>
    <w:p w:rsidRPr="00BF466A" w:rsidR="00CD49A7" w:rsidP="000D5632" w:rsidRDefault="00CD49A7">
      <w:pPr>
        <w:jc w:val="center"/>
        <w:rPr>
          <w:b/>
        </w:rPr>
      </w:pPr>
      <w:r w:rsidRPr="00BF466A">
        <w:rPr>
          <w:b/>
        </w:rPr>
        <w:t xml:space="preserve">CASE OF </w:t>
      </w:r>
      <w:r w:rsidRPr="00BF466A" w:rsidR="00BF466A">
        <w:rPr>
          <w:b/>
        </w:rPr>
        <w:t xml:space="preserve">CAMPAGNANO v. </w:t>
      </w:r>
      <w:smartTag w:uri="urn:schemas-microsoft-com:office:smarttags" w:element="place">
        <w:smartTag w:uri="urn:schemas-microsoft-com:office:smarttags" w:element="country-region">
          <w:r w:rsidR="00BF466A" w:rsidRPr="00BF466A">
            <w:rPr>
              <w:b/>
            </w:rPr>
            <w:t>ITALY</w:t>
          </w:r>
        </w:smartTag>
      </w:smartTag>
    </w:p>
    <w:p w:rsidRPr="00BF466A" w:rsidR="00CD49A7" w:rsidP="000D5632" w:rsidRDefault="00CD49A7">
      <w:pPr>
        <w:jc w:val="center"/>
      </w:pPr>
    </w:p>
    <w:p w:rsidRPr="00BF466A" w:rsidR="00CD49A7" w:rsidP="000D5632" w:rsidRDefault="00CD49A7">
      <w:pPr>
        <w:jc w:val="center"/>
        <w:rPr>
          <w:i/>
        </w:rPr>
      </w:pPr>
      <w:r w:rsidRPr="00BF466A">
        <w:rPr>
          <w:i/>
        </w:rPr>
        <w:t>(</w:t>
      </w:r>
      <w:r w:rsidRPr="00BF466A" w:rsidR="00BF466A">
        <w:rPr>
          <w:i/>
        </w:rPr>
        <w:t>Application no. 77955/01</w:t>
      </w:r>
      <w:r w:rsidRPr="00BF466A">
        <w:rPr>
          <w:i/>
        </w:rPr>
        <w:t>)</w:t>
      </w:r>
    </w:p>
    <w:p w:rsidR="007D6830" w:rsidP="000D5632" w:rsidRDefault="007D6830">
      <w:pPr>
        <w:pStyle w:val="JuCase"/>
        <w:ind w:firstLine="0"/>
        <w:jc w:val="center"/>
        <w:rPr>
          <w:b w:val="0"/>
        </w:rPr>
      </w:pPr>
    </w:p>
    <w:p w:rsidR="007D6830" w:rsidP="000D5632" w:rsidRDefault="007D6830">
      <w:pPr>
        <w:pStyle w:val="JuPara"/>
        <w:ind w:firstLine="0"/>
      </w:pPr>
    </w:p>
    <w:p w:rsidR="007D6830" w:rsidP="000D5632" w:rsidRDefault="007D6830">
      <w:pPr>
        <w:pStyle w:val="JuPara"/>
        <w:ind w:firstLine="0"/>
      </w:pPr>
    </w:p>
    <w:p w:rsidR="007D6830" w:rsidP="000D5632" w:rsidRDefault="007D6830">
      <w:pPr>
        <w:pStyle w:val="JuPara"/>
        <w:ind w:firstLine="0"/>
        <w:jc w:val="center"/>
      </w:pPr>
      <w:r>
        <w:t>JUDGMENT</w:t>
      </w:r>
    </w:p>
    <w:p w:rsidR="007D6830" w:rsidP="000D5632" w:rsidRDefault="007D6830">
      <w:pPr>
        <w:pStyle w:val="JuPara"/>
        <w:ind w:firstLine="0"/>
        <w:jc w:val="center"/>
      </w:pPr>
    </w:p>
    <w:p w:rsidR="007D6830" w:rsidP="000D5632" w:rsidRDefault="007D6830">
      <w:pPr>
        <w:pStyle w:val="JuPara"/>
        <w:ind w:firstLine="0"/>
        <w:jc w:val="center"/>
      </w:pPr>
    </w:p>
    <w:p w:rsidR="007D6830" w:rsidP="000D5632" w:rsidRDefault="007D6830">
      <w:pPr>
        <w:pStyle w:val="JuPara"/>
        <w:ind w:firstLine="0"/>
        <w:jc w:val="center"/>
      </w:pPr>
    </w:p>
    <w:p w:rsidR="007D6830" w:rsidP="000D5632" w:rsidRDefault="007D6830">
      <w:pPr>
        <w:pStyle w:val="JuPara"/>
        <w:ind w:firstLine="0"/>
        <w:jc w:val="center"/>
      </w:pPr>
      <w:smartTag w:uri="urn:schemas-microsoft-com:office:smarttags" w:element="place">
        <w:smartTag w:uri="urn:schemas-microsoft-com:office:smarttags" w:element="City">
          <w:r>
            <w:t>STRASBOURG</w:t>
          </w:r>
        </w:smartTag>
      </w:smartTag>
    </w:p>
    <w:p w:rsidR="007D6830" w:rsidP="000D5632" w:rsidRDefault="007D6830">
      <w:pPr>
        <w:pStyle w:val="JuPara"/>
        <w:ind w:firstLine="0"/>
        <w:jc w:val="center"/>
      </w:pPr>
    </w:p>
    <w:p w:rsidR="007D6830" w:rsidP="000D5632" w:rsidRDefault="007D6830">
      <w:pPr>
        <w:pStyle w:val="JuPara"/>
        <w:ind w:firstLine="0"/>
        <w:jc w:val="center"/>
      </w:pPr>
      <w:r>
        <w:t>23 March 2006</w:t>
      </w:r>
    </w:p>
    <w:p w:rsidR="00137202" w:rsidP="000D5632" w:rsidRDefault="00137202">
      <w:pPr>
        <w:pStyle w:val="JuPara"/>
        <w:ind w:firstLine="0"/>
        <w:jc w:val="center"/>
      </w:pPr>
    </w:p>
    <w:p w:rsidR="000D5632" w:rsidP="000D5632" w:rsidRDefault="000D5632">
      <w:pPr>
        <w:pStyle w:val="JuPara"/>
        <w:ind w:firstLine="0"/>
        <w:rPr>
          <w:i/>
        </w:rPr>
      </w:pPr>
    </w:p>
    <w:p w:rsidRPr="000D5632" w:rsidR="000D5632" w:rsidP="000D5632" w:rsidRDefault="000D5632">
      <w:pPr>
        <w:pStyle w:val="JuPara"/>
        <w:ind w:firstLine="0"/>
        <w:jc w:val="center"/>
      </w:pPr>
    </w:p>
    <w:p w:rsidRPr="002A0C51" w:rsidR="000D5632" w:rsidP="000D5632" w:rsidRDefault="000D5632">
      <w:pPr>
        <w:jc w:val="center"/>
        <w:rPr>
          <w:b/>
          <w:color w:val="FF0000"/>
          <w:sz w:val="36"/>
          <w:u w:val="single"/>
        </w:rPr>
      </w:pPr>
      <w:r>
        <w:rPr>
          <w:b/>
          <w:color w:val="FF0000"/>
          <w:sz w:val="36"/>
          <w:u w:val="single"/>
        </w:rPr>
        <w:t>FINAL</w:t>
      </w:r>
    </w:p>
    <w:p w:rsidRPr="002A0C51" w:rsidR="000D5632" w:rsidP="000D5632" w:rsidRDefault="000D5632">
      <w:pPr>
        <w:jc w:val="center"/>
        <w:rPr>
          <w:i/>
          <w:color w:val="FF0000"/>
        </w:rPr>
      </w:pPr>
    </w:p>
    <w:p w:rsidRPr="007D6830" w:rsidR="000D5632" w:rsidP="000D5632" w:rsidRDefault="000D5632">
      <w:pPr>
        <w:pStyle w:val="JuPara"/>
        <w:ind w:firstLine="0"/>
        <w:jc w:val="center"/>
        <w:sectPr w:rsidRPr="007D6830" w:rsidR="000D5632" w:rsidSect="007D6830">
          <w:headerReference w:type="default" r:id="rId7"/>
          <w:footnotePr>
            <w:numRestart w:val="eachPage"/>
          </w:footnotePr>
          <w:pgSz w:w="11906" w:h="16838" w:code="9"/>
          <w:pgMar w:top="2274" w:right="2274" w:bottom="2274" w:left="2274" w:header="1701" w:footer="720" w:gutter="0"/>
          <w:pgNumType w:start="1"/>
          <w:cols w:space="720"/>
          <w:docGrid w:linePitch="326"/>
        </w:sectPr>
      </w:pPr>
      <w:r>
        <w:rPr>
          <w:b/>
          <w:i/>
          <w:color w:val="FF0000"/>
          <w:sz w:val="36"/>
          <w:szCs w:val="36"/>
        </w:rPr>
        <w:t>03/07</w:t>
      </w:r>
      <w:r w:rsidRPr="002A0C51">
        <w:rPr>
          <w:b/>
          <w:i/>
          <w:color w:val="FF0000"/>
          <w:sz w:val="36"/>
          <w:szCs w:val="36"/>
        </w:rPr>
        <w:t>/2006</w:t>
      </w:r>
    </w:p>
    <w:p w:rsidRPr="00BF466A" w:rsidR="00CD49A7" w:rsidP="00DE1FE8" w:rsidRDefault="00CD49A7">
      <w:pPr>
        <w:pStyle w:val="JuCase"/>
      </w:pPr>
      <w:r w:rsidRPr="00BF466A">
        <w:t xml:space="preserve">In the case of </w:t>
      </w:r>
      <w:r w:rsidRPr="00BF466A" w:rsidR="00BF466A">
        <w:t xml:space="preserve">Campagnano v. </w:t>
      </w:r>
      <w:smartTag w:uri="urn:schemas-microsoft-com:office:smarttags" w:element="place">
        <w:smartTag w:uri="urn:schemas-microsoft-com:office:smarttags" w:element="country-region">
          <w:r w:rsidR="00BF466A" w:rsidRPr="00BF466A">
            <w:t>Italy</w:t>
          </w:r>
        </w:smartTag>
      </w:smartTag>
      <w:r w:rsidRPr="00BF466A">
        <w:t>,</w:t>
      </w:r>
    </w:p>
    <w:p w:rsidR="00851729" w:rsidP="00851729" w:rsidRDefault="00CD49A7">
      <w:pPr>
        <w:pStyle w:val="JuPara"/>
      </w:pPr>
      <w:r w:rsidRPr="00BF466A">
        <w:t>The European Court of Human Rights</w:t>
      </w:r>
      <w:r w:rsidRPr="00BF466A" w:rsidR="00BF466A">
        <w:t xml:space="preserve"> (Third Section)</w:t>
      </w:r>
      <w:r w:rsidRPr="00BF466A">
        <w:t xml:space="preserve">, sitting as a </w:t>
      </w:r>
      <w:r w:rsidRPr="00BF466A" w:rsidR="00BF466A">
        <w:t>Chamber</w:t>
      </w:r>
      <w:r w:rsidRPr="00BF466A">
        <w:t xml:space="preserve"> </w:t>
      </w:r>
      <w:r w:rsidRPr="00BF466A" w:rsidR="005803E1">
        <w:t>composed of:</w:t>
      </w:r>
    </w:p>
    <w:p w:rsidRPr="00BF466A" w:rsidR="00CD49A7" w:rsidP="00851729" w:rsidRDefault="00851729">
      <w:pPr>
        <w:pStyle w:val="JuJudges"/>
      </w:pPr>
      <w:r w:rsidRPr="00851729">
        <w:tab/>
        <w:t>Boštjan M.</w:t>
      </w:r>
      <w:r>
        <w:t xml:space="preserve"> </w:t>
      </w:r>
      <w:r w:rsidRPr="00851729">
        <w:t>Zupančič</w:t>
      </w:r>
      <w:r>
        <w:t>,</w:t>
      </w:r>
      <w:r w:rsidRPr="00851729">
        <w:rPr>
          <w:i/>
        </w:rPr>
        <w:t xml:space="preserve"> President</w:t>
      </w:r>
      <w:r w:rsidRPr="00851729">
        <w:t>,</w:t>
      </w:r>
      <w:r>
        <w:rPr>
          <w:i/>
        </w:rPr>
        <w:br/>
      </w:r>
      <w:r w:rsidRPr="00851729">
        <w:tab/>
        <w:t>Lucius</w:t>
      </w:r>
      <w:r>
        <w:t xml:space="preserve"> </w:t>
      </w:r>
      <w:r w:rsidRPr="00851729">
        <w:t>Caflisch</w:t>
      </w:r>
      <w:r>
        <w:t>,</w:t>
      </w:r>
      <w:r>
        <w:rPr>
          <w:i/>
        </w:rPr>
        <w:br/>
      </w:r>
      <w:r w:rsidRPr="00851729">
        <w:tab/>
        <w:t>Margarita</w:t>
      </w:r>
      <w:r>
        <w:t xml:space="preserve"> </w:t>
      </w:r>
      <w:r w:rsidRPr="00851729">
        <w:t>Tsatsa-Nikolovska</w:t>
      </w:r>
      <w:r>
        <w:t>,</w:t>
      </w:r>
      <w:r>
        <w:rPr>
          <w:i/>
        </w:rPr>
        <w:br/>
      </w:r>
      <w:r w:rsidRPr="00851729">
        <w:tab/>
        <w:t>Vladimiro</w:t>
      </w:r>
      <w:r>
        <w:t xml:space="preserve"> </w:t>
      </w:r>
      <w:r w:rsidRPr="00851729">
        <w:t>Zagrebelsky</w:t>
      </w:r>
      <w:r>
        <w:t>,</w:t>
      </w:r>
      <w:r>
        <w:rPr>
          <w:i/>
        </w:rPr>
        <w:br/>
      </w:r>
      <w:r w:rsidRPr="00851729">
        <w:tab/>
        <w:t>Egbert</w:t>
      </w:r>
      <w:r>
        <w:t xml:space="preserve"> </w:t>
      </w:r>
      <w:r w:rsidRPr="00851729">
        <w:t>Myjer</w:t>
      </w:r>
      <w:r>
        <w:t>,</w:t>
      </w:r>
      <w:r>
        <w:rPr>
          <w:i/>
        </w:rPr>
        <w:br/>
      </w:r>
      <w:r w:rsidRPr="00851729">
        <w:tab/>
        <w:t>David Thór</w:t>
      </w:r>
      <w:r>
        <w:t xml:space="preserve"> </w:t>
      </w:r>
      <w:r w:rsidRPr="00851729">
        <w:t>Björgvinsson</w:t>
      </w:r>
      <w:r>
        <w:t>,</w:t>
      </w:r>
      <w:r>
        <w:rPr>
          <w:i/>
        </w:rPr>
        <w:br/>
      </w:r>
      <w:r w:rsidRPr="00851729">
        <w:tab/>
        <w:t>Ineta</w:t>
      </w:r>
      <w:r>
        <w:t xml:space="preserve"> </w:t>
      </w:r>
      <w:r w:rsidRPr="00851729">
        <w:t>Ziemele</w:t>
      </w:r>
      <w:r>
        <w:t>,</w:t>
      </w:r>
      <w:r w:rsidRPr="00851729">
        <w:rPr>
          <w:i/>
        </w:rPr>
        <w:t xml:space="preserve"> judges</w:t>
      </w:r>
      <w:r w:rsidRPr="00851729">
        <w:t>,</w:t>
      </w:r>
      <w:r w:rsidRPr="00BF466A" w:rsidR="005803E1">
        <w:br/>
      </w:r>
      <w:r w:rsidRPr="00BF466A" w:rsidR="00CD49A7">
        <w:t xml:space="preserve">and </w:t>
      </w:r>
      <w:r w:rsidR="00EF0D95">
        <w:t>Vincent</w:t>
      </w:r>
      <w:r w:rsidRPr="00BF466A" w:rsidR="00CD49A7">
        <w:t xml:space="preserve"> </w:t>
      </w:r>
      <w:r w:rsidRPr="00BF466A" w:rsidR="00BF466A">
        <w:rPr>
          <w:rStyle w:val="JuNames"/>
        </w:rPr>
        <w:t>B</w:t>
      </w:r>
      <w:r w:rsidRPr="00851729" w:rsidR="00BF466A">
        <w:rPr>
          <w:rStyle w:val="JuNames"/>
          <w:rFonts w:ascii="Times New (W1)" w:hAnsi="Times New (W1)"/>
          <w:smallCaps w:val="0"/>
        </w:rPr>
        <w:t>erger</w:t>
      </w:r>
      <w:r w:rsidRPr="00BF466A" w:rsidR="00CD49A7">
        <w:t xml:space="preserve">, </w:t>
      </w:r>
      <w:r w:rsidR="00E4031C">
        <w:rPr>
          <w:i/>
        </w:rPr>
        <w:t>Section</w:t>
      </w:r>
      <w:r w:rsidRPr="00BF466A" w:rsidR="00BF466A">
        <w:rPr>
          <w:i/>
        </w:rPr>
        <w:t xml:space="preserve"> Registrar</w:t>
      </w:r>
      <w:r w:rsidRPr="00BF466A" w:rsidR="00CD49A7">
        <w:t>,</w:t>
      </w:r>
    </w:p>
    <w:p w:rsidRPr="00BF466A" w:rsidR="00CD49A7" w:rsidP="00DE1FE8" w:rsidRDefault="00CD49A7">
      <w:pPr>
        <w:pStyle w:val="JuPara"/>
      </w:pPr>
      <w:r w:rsidRPr="00BF466A">
        <w:t xml:space="preserve">Having deliberated in private on </w:t>
      </w:r>
      <w:r w:rsidR="007D6830">
        <w:t>5 January</w:t>
      </w:r>
      <w:r w:rsidRPr="00BF466A">
        <w:t xml:space="preserve"> and </w:t>
      </w:r>
      <w:r w:rsidR="007D6830">
        <w:t>2 March 2006</w:t>
      </w:r>
      <w:r w:rsidRPr="00BF466A">
        <w:t>,</w:t>
      </w:r>
    </w:p>
    <w:p w:rsidRPr="00BF466A" w:rsidR="00CD49A7" w:rsidP="00DE1FE8" w:rsidRDefault="00CD49A7">
      <w:pPr>
        <w:pStyle w:val="JuPara"/>
      </w:pPr>
      <w:r w:rsidRPr="00BF466A">
        <w:t>Delivers the following judgment</w:t>
      </w:r>
      <w:r w:rsidR="006D6722">
        <w:t>, which was adopted on the last-</w:t>
      </w:r>
      <w:r w:rsidRPr="00BF466A">
        <w:t>mentioned date:</w:t>
      </w:r>
    </w:p>
    <w:p w:rsidRPr="00BF466A" w:rsidR="00CD49A7" w:rsidP="00DE1FE8" w:rsidRDefault="00CD49A7">
      <w:pPr>
        <w:pStyle w:val="JuHHead"/>
      </w:pPr>
      <w:r w:rsidRPr="00BF466A">
        <w:t>PROCEDURE</w:t>
      </w:r>
    </w:p>
    <w:p w:rsidRPr="00BF466A" w:rsidR="00CD49A7" w:rsidP="00DE1FE8" w:rsidRDefault="00BF466A">
      <w:pPr>
        <w:pStyle w:val="JuPara"/>
      </w:pPr>
      <w:r w:rsidRPr="00BF466A">
        <w:fldChar w:fldCharType="begin"/>
      </w:r>
      <w:r w:rsidRPr="00BF466A">
        <w:instrText xml:space="preserve"> SEQ level0 \*arabic </w:instrText>
      </w:r>
      <w:r w:rsidRPr="00BF466A">
        <w:fldChar w:fldCharType="separate"/>
      </w:r>
      <w:r w:rsidR="00A72C80">
        <w:rPr>
          <w:noProof/>
        </w:rPr>
        <w:t>1</w:t>
      </w:r>
      <w:r w:rsidRPr="00BF466A">
        <w:fldChar w:fldCharType="end"/>
      </w:r>
      <w:r w:rsidRPr="00BF466A" w:rsidR="00CD49A7">
        <w:t xml:space="preserve">.  The case originated in </w:t>
      </w:r>
      <w:r w:rsidRPr="00BF466A">
        <w:t>an application (no. 77955/01)</w:t>
      </w:r>
      <w:r w:rsidRPr="00BF466A" w:rsidR="00CD49A7">
        <w:t xml:space="preserve"> against </w:t>
      </w:r>
      <w:r w:rsidRPr="00BF466A">
        <w:t xml:space="preserve">the </w:t>
      </w:r>
      <w:smartTag w:uri="urn:schemas-microsoft-com:office:smarttags" w:element="place">
        <w:smartTag w:uri="urn:schemas-microsoft-com:office:smarttags" w:element="PlaceName">
          <w:r w:rsidRPr="00BF466A">
            <w:t>Italian</w:t>
          </w:r>
        </w:smartTag>
        <w:r w:rsidRPr="00BF466A">
          <w:t xml:space="preserve"> </w:t>
        </w:r>
        <w:smartTag w:uri="urn:schemas-microsoft-com:office:smarttags" w:element="PlaceType">
          <w:r w:rsidRPr="00BF466A">
            <w:t>Republic</w:t>
          </w:r>
        </w:smartTag>
      </w:smartTag>
      <w:r w:rsidRPr="00BF466A" w:rsidR="00CD49A7">
        <w:t xml:space="preserve"> lodged with the </w:t>
      </w:r>
      <w:r w:rsidRPr="00BF466A">
        <w:t>Court under Article 34</w:t>
      </w:r>
      <w:r w:rsidRPr="00BF466A" w:rsidR="00CD49A7">
        <w:t xml:space="preserve"> of the Convention for the Protection of Human Rights and Fundamental Freedoms (“the Convention”) by </w:t>
      </w:r>
      <w:r w:rsidR="00EF0D95">
        <w:t xml:space="preserve">an Italian national, </w:t>
      </w:r>
      <w:r w:rsidR="00E4031C">
        <w:t>Mrs Emilia Campagnano (“the applicant”), on 6</w:t>
      </w:r>
      <w:r w:rsidR="00EF0D95">
        <w:t xml:space="preserve"> </w:t>
      </w:r>
      <w:r w:rsidR="00E4031C">
        <w:t>September 2001</w:t>
      </w:r>
      <w:r w:rsidRPr="00BF466A" w:rsidR="00CD49A7">
        <w:t>.</w:t>
      </w:r>
    </w:p>
    <w:p w:rsidRPr="00BF466A" w:rsidR="00CD49A7" w:rsidP="00DE1FE8" w:rsidRDefault="00BF466A">
      <w:pPr>
        <w:pStyle w:val="JuPara"/>
      </w:pPr>
      <w:r w:rsidRPr="00BF466A">
        <w:fldChar w:fldCharType="begin"/>
      </w:r>
      <w:r w:rsidRPr="00BF466A">
        <w:instrText xml:space="preserve"> SEQ level0 \*arabic </w:instrText>
      </w:r>
      <w:r w:rsidRPr="00BF466A">
        <w:fldChar w:fldCharType="separate"/>
      </w:r>
      <w:r w:rsidR="00A72C80">
        <w:rPr>
          <w:noProof/>
        </w:rPr>
        <w:t>2</w:t>
      </w:r>
      <w:r w:rsidRPr="00BF466A">
        <w:fldChar w:fldCharType="end"/>
      </w:r>
      <w:r w:rsidRPr="00BF466A" w:rsidR="00CD49A7">
        <w:t>.  </w:t>
      </w:r>
      <w:r w:rsidR="00E4031C">
        <w:t xml:space="preserve">The applicant was represented before the Court by Mr </w:t>
      </w:r>
      <w:r w:rsidR="0046021F">
        <w:t>G</w:t>
      </w:r>
      <w:r w:rsidR="00E4031C">
        <w:t xml:space="preserve">. Beatrice, a lawyer practising in </w:t>
      </w:r>
      <w:smartTag w:uri="urn:schemas-microsoft-com:office:smarttags" w:element="place">
        <w:smartTag w:uri="urn:schemas-microsoft-com:office:smarttags" w:element="City">
          <w:r w:rsidR="00E4031C">
            <w:t>Benevento</w:t>
          </w:r>
        </w:smartTag>
      </w:smartTag>
      <w:r w:rsidR="00E4031C">
        <w:t xml:space="preserve">. </w:t>
      </w:r>
      <w:r w:rsidRPr="00BF466A" w:rsidR="00CD49A7">
        <w:t xml:space="preserve">The </w:t>
      </w:r>
      <w:r w:rsidRPr="00BF466A">
        <w:t>Italian</w:t>
      </w:r>
      <w:r w:rsidRPr="00BF466A" w:rsidR="00CD49A7">
        <w:t xml:space="preserve"> Government (“the Government”) were represented by their Agent, Mr</w:t>
      </w:r>
      <w:r w:rsidR="00084DF6">
        <w:t xml:space="preserve"> I.M. </w:t>
      </w:r>
      <w:r w:rsidR="00E4031C">
        <w:t>Braguglia</w:t>
      </w:r>
      <w:r w:rsidR="00084DF6">
        <w:t>, their co</w:t>
      </w:r>
      <w:r w:rsidR="00084DF6">
        <w:noBreakHyphen/>
        <w:t xml:space="preserve">Agent, Mr F. </w:t>
      </w:r>
      <w:r w:rsidR="00377BD8">
        <w:t>Crisafulli, and their deputy co-Agent, Mr N. Lettieri.</w:t>
      </w:r>
    </w:p>
    <w:p w:rsidRPr="00BF466A" w:rsidR="00BF466A" w:rsidP="00DE1FE8" w:rsidRDefault="00BF466A">
      <w:pPr>
        <w:pStyle w:val="JuPara"/>
      </w:pPr>
      <w:r w:rsidRPr="00BF466A">
        <w:fldChar w:fldCharType="begin"/>
      </w:r>
      <w:r w:rsidRPr="00BF466A">
        <w:instrText xml:space="preserve"> SEQ level0 \*arabic </w:instrText>
      </w:r>
      <w:r w:rsidRPr="00BF466A">
        <w:fldChar w:fldCharType="separate"/>
      </w:r>
      <w:r w:rsidR="00A72C80">
        <w:rPr>
          <w:noProof/>
        </w:rPr>
        <w:t>3</w:t>
      </w:r>
      <w:r w:rsidRPr="00BF466A">
        <w:fldChar w:fldCharType="end"/>
      </w:r>
      <w:r w:rsidRPr="00BF466A" w:rsidR="00CD49A7">
        <w:t xml:space="preserve">.  The </w:t>
      </w:r>
      <w:r w:rsidRPr="00BF466A">
        <w:t>applicant</w:t>
      </w:r>
      <w:r w:rsidRPr="00BF466A" w:rsidR="00CD49A7">
        <w:t xml:space="preserve"> alleged </w:t>
      </w:r>
      <w:r w:rsidR="00377BD8">
        <w:t>a violation of Articles 8 and 10 of the Convention, Article 1 of Protocol N</w:t>
      </w:r>
      <w:r w:rsidR="00084DF6">
        <w:t xml:space="preserve">o. 1, Article 2 of Protocol No. </w:t>
      </w:r>
      <w:r w:rsidR="00377BD8">
        <w:t>4</w:t>
      </w:r>
      <w:r w:rsidR="00E02B7F">
        <w:t>,</w:t>
      </w:r>
      <w:r w:rsidR="00377BD8">
        <w:t xml:space="preserve"> Articles 6 § 1 and 13 of the Convention and Article 3 of Protocol No. 1.</w:t>
      </w:r>
    </w:p>
    <w:p w:rsidR="00FF1992" w:rsidP="00DE1FE8" w:rsidRDefault="00BF466A">
      <w:pPr>
        <w:pStyle w:val="JuPara"/>
      </w:pPr>
      <w:r w:rsidRPr="00BF466A">
        <w:fldChar w:fldCharType="begin"/>
      </w:r>
      <w:r w:rsidRPr="00BF466A">
        <w:instrText xml:space="preserve"> SEQ level0 \*arabic </w:instrText>
      </w:r>
      <w:r w:rsidRPr="00BF466A">
        <w:fldChar w:fldCharType="separate"/>
      </w:r>
      <w:r w:rsidR="00A72C80">
        <w:rPr>
          <w:noProof/>
        </w:rPr>
        <w:t>4</w:t>
      </w:r>
      <w:r w:rsidRPr="00BF466A">
        <w:fldChar w:fldCharType="end"/>
      </w:r>
      <w:r w:rsidR="006D6722">
        <w:t>.</w:t>
      </w:r>
      <w:r w:rsidR="00377BD8">
        <w:t>  The application was allocated to the First Section of the Court (Rule</w:t>
      </w:r>
      <w:r w:rsidR="00015823">
        <w:t> </w:t>
      </w:r>
      <w:r w:rsidR="00377BD8">
        <w:t>52 § 1 of the Rules of Court</w:t>
      </w:r>
      <w:r w:rsidR="00FF1992">
        <w:t>). Within that Section, the Chamber that would consider the case (Article 27 § 1 of the Convention) was constituted as provided in Rule 26 § 1.</w:t>
      </w:r>
    </w:p>
    <w:p w:rsidR="00FF1992" w:rsidP="00DE1FE8" w:rsidRDefault="00BF466A">
      <w:pPr>
        <w:pStyle w:val="JuPara"/>
      </w:pPr>
      <w:r w:rsidRPr="00BF466A">
        <w:fldChar w:fldCharType="begin"/>
      </w:r>
      <w:r w:rsidRPr="00BF466A">
        <w:instrText xml:space="preserve"> SEQ level0 \*arabic </w:instrText>
      </w:r>
      <w:r w:rsidRPr="00BF466A">
        <w:fldChar w:fldCharType="separate"/>
      </w:r>
      <w:r w:rsidR="00A72C80">
        <w:rPr>
          <w:noProof/>
        </w:rPr>
        <w:t>5</w:t>
      </w:r>
      <w:r w:rsidRPr="00BF466A">
        <w:fldChar w:fldCharType="end"/>
      </w:r>
      <w:r w:rsidRPr="00BF466A" w:rsidR="00CD49A7">
        <w:t>.  </w:t>
      </w:r>
      <w:r w:rsidR="00FF1992">
        <w:t>By a decision of 13 May 2004</w:t>
      </w:r>
      <w:r w:rsidR="00EF0D95">
        <w:t>,</w:t>
      </w:r>
      <w:r w:rsidR="00FF1992">
        <w:t xml:space="preserve"> the Chamber declared the application partly </w:t>
      </w:r>
      <w:r w:rsidR="004E5CE6">
        <w:t>in</w:t>
      </w:r>
      <w:r w:rsidR="00FF1992">
        <w:t xml:space="preserve">admissible and decided to communicate to the Government the complaints under Article 8 of the Convention, Article 1 of Protocol No. 1, Article 2 of Protocol No. 4, Article 13 of the Convention and Article 3 of Protocol No. 1. </w:t>
      </w:r>
      <w:r w:rsidRPr="00FF1992" w:rsidR="00FF1992">
        <w:t>Under the provisions of Article 29 § 3 of the Convention, it decided to examine the merits of the application at the same time as its admissibility</w:t>
      </w:r>
      <w:r w:rsidR="00FF1992">
        <w:t>.</w:t>
      </w:r>
    </w:p>
    <w:p w:rsidR="00E02B7F" w:rsidP="00DE1FE8" w:rsidRDefault="00FF1992">
      <w:pPr>
        <w:pStyle w:val="JuPara"/>
      </w:pPr>
      <w:r>
        <w:fldChar w:fldCharType="begin"/>
      </w:r>
      <w:r>
        <w:instrText xml:space="preserve"> SEQ level0 \*arabic </w:instrText>
      </w:r>
      <w:r>
        <w:fldChar w:fldCharType="separate"/>
      </w:r>
      <w:r w:rsidR="00A72C80">
        <w:rPr>
          <w:noProof/>
        </w:rPr>
        <w:t>6</w:t>
      </w:r>
      <w:r>
        <w:fldChar w:fldCharType="end"/>
      </w:r>
      <w:r>
        <w:t>.  On 1 November 2004 the Court changed the composition of its sections</w:t>
      </w:r>
      <w:r w:rsidR="00E02B7F">
        <w:t xml:space="preserve"> (Rule 25 § 1). This case was assigned to the newly composed Third Section (Rule 52 § 1).</w:t>
      </w:r>
    </w:p>
    <w:p w:rsidRPr="00BF466A" w:rsidR="00CD49A7" w:rsidP="00DE1FE8" w:rsidRDefault="00E02B7F">
      <w:pPr>
        <w:pStyle w:val="JuPara"/>
      </w:pPr>
      <w:r>
        <w:fldChar w:fldCharType="begin"/>
      </w:r>
      <w:r>
        <w:instrText xml:space="preserve"> SEQ level0 \*arabic </w:instrText>
      </w:r>
      <w:r>
        <w:fldChar w:fldCharType="separate"/>
      </w:r>
      <w:r w:rsidR="00A72C80">
        <w:rPr>
          <w:noProof/>
        </w:rPr>
        <w:t>7</w:t>
      </w:r>
      <w:r>
        <w:fldChar w:fldCharType="end"/>
      </w:r>
      <w:r>
        <w:t>.  </w:t>
      </w:r>
      <w:r w:rsidRPr="00BF466A" w:rsidR="00CD49A7">
        <w:t xml:space="preserve">The </w:t>
      </w:r>
      <w:r w:rsidRPr="00BF466A" w:rsidR="00BF466A">
        <w:t>applicant</w:t>
      </w:r>
      <w:r w:rsidRPr="00BF466A" w:rsidR="00CD49A7">
        <w:t xml:space="preserve"> and the Government each filed </w:t>
      </w:r>
      <w:r w:rsidRPr="00BF466A" w:rsidR="00BF466A">
        <w:t xml:space="preserve">observations </w:t>
      </w:r>
      <w:r>
        <w:t xml:space="preserve">on the merits </w:t>
      </w:r>
      <w:r w:rsidRPr="00BF466A" w:rsidR="00BF466A">
        <w:t>(Rule 59 § 1</w:t>
      </w:r>
      <w:r>
        <w:t>).</w:t>
      </w:r>
    </w:p>
    <w:p w:rsidRPr="00BF466A" w:rsidR="00CD49A7" w:rsidP="00DE1FE8" w:rsidRDefault="00CD49A7">
      <w:pPr>
        <w:pStyle w:val="JuHHead"/>
      </w:pPr>
      <w:r w:rsidRPr="00BF466A">
        <w:t>THE FACTS</w:t>
      </w:r>
    </w:p>
    <w:p w:rsidRPr="00BF466A" w:rsidR="00CD49A7" w:rsidP="00DE1FE8" w:rsidRDefault="00CD49A7">
      <w:pPr>
        <w:pStyle w:val="JuHIRoman"/>
      </w:pPr>
      <w:r w:rsidRPr="00BF466A">
        <w:t>I.  THE CIRCUMSTANCES OF THE CASE</w:t>
      </w:r>
    </w:p>
    <w:p w:rsidRPr="00BF466A" w:rsidR="00CD49A7" w:rsidP="00DE1FE8" w:rsidRDefault="00E02B7F">
      <w:pPr>
        <w:pStyle w:val="JuPara"/>
        <w:keepNext/>
        <w:keepLines/>
      </w:pPr>
      <w:r>
        <w:fldChar w:fldCharType="begin"/>
      </w:r>
      <w:r>
        <w:instrText xml:space="preserve"> SEQ level0 \*arabic </w:instrText>
      </w:r>
      <w:r>
        <w:fldChar w:fldCharType="separate"/>
      </w:r>
      <w:r w:rsidR="00A72C80">
        <w:rPr>
          <w:noProof/>
        </w:rPr>
        <w:t>8</w:t>
      </w:r>
      <w:r>
        <w:fldChar w:fldCharType="end"/>
      </w:r>
      <w:r>
        <w:t>.  </w:t>
      </w:r>
      <w:r w:rsidRPr="00BF466A" w:rsidR="00CD49A7">
        <w:t xml:space="preserve">The </w:t>
      </w:r>
      <w:r w:rsidRPr="00BF466A" w:rsidR="00BF466A">
        <w:t>applicant was born in 1933 and lives</w:t>
      </w:r>
      <w:r w:rsidRPr="00BF466A" w:rsidR="00CD49A7">
        <w:t xml:space="preserve"> in </w:t>
      </w:r>
      <w:r w:rsidRPr="00BF466A" w:rsidR="00BF466A">
        <w:t>Amorosi</w:t>
      </w:r>
      <w:r>
        <w:t xml:space="preserve"> (</w:t>
      </w:r>
      <w:smartTag w:uri="urn:schemas-microsoft-com:office:smarttags" w:element="place">
        <w:smartTag w:uri="urn:schemas-microsoft-com:office:smarttags" w:element="City">
          <w:r>
            <w:t>Benevento</w:t>
          </w:r>
        </w:smartTag>
      </w:smartTag>
      <w:r>
        <w:t>)</w:t>
      </w:r>
      <w:r w:rsidRPr="00BF466A" w:rsidR="00CD49A7">
        <w:t>.</w:t>
      </w:r>
    </w:p>
    <w:p w:rsidR="00CD49A7" w:rsidP="00DE1FE8" w:rsidRDefault="00BF466A">
      <w:pPr>
        <w:pStyle w:val="JuPara"/>
      </w:pPr>
      <w:r w:rsidRPr="00BF466A">
        <w:fldChar w:fldCharType="begin"/>
      </w:r>
      <w:r w:rsidRPr="00BF466A">
        <w:instrText xml:space="preserve"> SEQ level0 \*arabic </w:instrText>
      </w:r>
      <w:r w:rsidRPr="00BF466A">
        <w:fldChar w:fldCharType="separate"/>
      </w:r>
      <w:r w:rsidR="00A72C80">
        <w:rPr>
          <w:noProof/>
        </w:rPr>
        <w:t>9</w:t>
      </w:r>
      <w:r w:rsidRPr="00BF466A">
        <w:fldChar w:fldCharType="end"/>
      </w:r>
      <w:r w:rsidRPr="00BF466A" w:rsidR="00CD49A7">
        <w:t>.  </w:t>
      </w:r>
      <w:r w:rsidR="00E02B7F">
        <w:t xml:space="preserve">In a judgment deposited </w:t>
      </w:r>
      <w:r w:rsidR="00037FBD">
        <w:t>with</w:t>
      </w:r>
      <w:r w:rsidR="00C34BC6">
        <w:t xml:space="preserve"> </w:t>
      </w:r>
      <w:r w:rsidR="00B70CD8">
        <w:t>the court</w:t>
      </w:r>
      <w:r w:rsidR="00DE4D33">
        <w:t>'</w:t>
      </w:r>
      <w:r w:rsidR="00B70CD8">
        <w:t>s</w:t>
      </w:r>
      <w:r w:rsidR="00E02B7F">
        <w:t xml:space="preserve"> registry on 30 June 1997</w:t>
      </w:r>
      <w:r w:rsidR="00E5652C">
        <w:t>,</w:t>
      </w:r>
      <w:r w:rsidR="00E02B7F">
        <w:t xml:space="preserve"> the Benevento District Court</w:t>
      </w:r>
      <w:r w:rsidR="006D44F5">
        <w:t xml:space="preserve"> </w:t>
      </w:r>
      <w:r w:rsidR="004F2023">
        <w:t>made a winding-up order in respect of the applicant</w:t>
      </w:r>
      <w:r w:rsidR="00DE4D33">
        <w:t>'</w:t>
      </w:r>
      <w:r w:rsidR="004F2023">
        <w:t>s</w:t>
      </w:r>
      <w:r w:rsidR="006D44F5">
        <w:t xml:space="preserve"> company, </w:t>
      </w:r>
      <w:r w:rsidR="00037FBD">
        <w:t>a beverage company</w:t>
      </w:r>
      <w:r w:rsidR="006D44F5">
        <w:t xml:space="preserve">, </w:t>
      </w:r>
      <w:r w:rsidR="004F2023">
        <w:t xml:space="preserve">and </w:t>
      </w:r>
      <w:r w:rsidR="00037FBD">
        <w:t xml:space="preserve">also </w:t>
      </w:r>
      <w:r w:rsidR="004F2023">
        <w:t xml:space="preserve">declared the applicant personally </w:t>
      </w:r>
      <w:r w:rsidR="006D44F5">
        <w:t>bankrupt.</w:t>
      </w:r>
    </w:p>
    <w:p w:rsidR="006D44F5" w:rsidP="00DE1FE8" w:rsidRDefault="006D44F5">
      <w:pPr>
        <w:pStyle w:val="JuPara"/>
      </w:pPr>
      <w:r>
        <w:fldChar w:fldCharType="begin"/>
      </w:r>
      <w:r>
        <w:instrText xml:space="preserve"> SEQ level0 \*arabic </w:instrText>
      </w:r>
      <w:r>
        <w:fldChar w:fldCharType="separate"/>
      </w:r>
      <w:r w:rsidR="00A72C80">
        <w:rPr>
          <w:noProof/>
        </w:rPr>
        <w:t>10</w:t>
      </w:r>
      <w:r>
        <w:fldChar w:fldCharType="end"/>
      </w:r>
      <w:r>
        <w:t xml:space="preserve">.  On 15 October 1997 the trustee in bankruptcy </w:t>
      </w:r>
      <w:r w:rsidR="002C4737">
        <w:t>filed</w:t>
      </w:r>
      <w:r>
        <w:t xml:space="preserve"> a report.</w:t>
      </w:r>
    </w:p>
    <w:p w:rsidR="006D44F5" w:rsidP="00DE1FE8" w:rsidRDefault="006D44F5">
      <w:pPr>
        <w:pStyle w:val="JuPara"/>
      </w:pPr>
      <w:r>
        <w:fldChar w:fldCharType="begin"/>
      </w:r>
      <w:r>
        <w:instrText xml:space="preserve"> SEQ level0 \*arabic </w:instrText>
      </w:r>
      <w:r>
        <w:fldChar w:fldCharType="separate"/>
      </w:r>
      <w:r w:rsidR="00A72C80">
        <w:rPr>
          <w:noProof/>
        </w:rPr>
        <w:t>11</w:t>
      </w:r>
      <w:r>
        <w:fldChar w:fldCharType="end"/>
      </w:r>
      <w:r>
        <w:t xml:space="preserve">.  On 9 April 1998 the </w:t>
      </w:r>
      <w:r w:rsidR="009C723E">
        <w:t xml:space="preserve">bankruptcy </w:t>
      </w:r>
      <w:r>
        <w:t>judge</w:t>
      </w:r>
      <w:r w:rsidRPr="00F60F2C" w:rsidR="00F60F2C">
        <w:t xml:space="preserve"> </w:t>
      </w:r>
      <w:r>
        <w:t>(“the judge”) checked the statement of liabilities</w:t>
      </w:r>
      <w:r w:rsidR="00441971">
        <w:t xml:space="preserve"> of the bankrupt estate</w:t>
      </w:r>
      <w:r>
        <w:t xml:space="preserve"> and on 7 June 1999 declared </w:t>
      </w:r>
      <w:r w:rsidR="00CC4630">
        <w:t>it</w:t>
      </w:r>
      <w:r>
        <w:t xml:space="preserve"> </w:t>
      </w:r>
      <w:r w:rsidR="00441971">
        <w:t>judicially established (</w:t>
      </w:r>
      <w:r w:rsidR="00441971">
        <w:rPr>
          <w:i/>
        </w:rPr>
        <w:t>esecutivo</w:t>
      </w:r>
      <w:r w:rsidR="00441971">
        <w:t>).</w:t>
      </w:r>
    </w:p>
    <w:p w:rsidR="00441971" w:rsidP="00DE1FE8" w:rsidRDefault="00441971">
      <w:pPr>
        <w:pStyle w:val="JuPara"/>
      </w:pPr>
      <w:r>
        <w:fldChar w:fldCharType="begin"/>
      </w:r>
      <w:r>
        <w:instrText xml:space="preserve"> SEQ level0 \*arabic </w:instrText>
      </w:r>
      <w:r>
        <w:fldChar w:fldCharType="separate"/>
      </w:r>
      <w:r w:rsidR="00A72C80">
        <w:rPr>
          <w:noProof/>
        </w:rPr>
        <w:t>12</w:t>
      </w:r>
      <w:r>
        <w:fldChar w:fldCharType="end"/>
      </w:r>
      <w:r>
        <w:t>.  On 1, 5 and 9 July 1999 respectively the companies C.D.O., C.C.C. and F.C. instituted proceedings contesting the statement of liabilities.</w:t>
      </w:r>
    </w:p>
    <w:p w:rsidR="00441971" w:rsidP="00DE1FE8" w:rsidRDefault="00441971">
      <w:pPr>
        <w:pStyle w:val="JuPara"/>
      </w:pPr>
      <w:r>
        <w:fldChar w:fldCharType="begin"/>
      </w:r>
      <w:r>
        <w:instrText xml:space="preserve"> SEQ level0 \*arabic </w:instrText>
      </w:r>
      <w:r>
        <w:fldChar w:fldCharType="separate"/>
      </w:r>
      <w:r w:rsidR="00A72C80">
        <w:rPr>
          <w:noProof/>
        </w:rPr>
        <w:t>13</w:t>
      </w:r>
      <w:r>
        <w:fldChar w:fldCharType="end"/>
      </w:r>
      <w:r>
        <w:t>.  </w:t>
      </w:r>
      <w:r w:rsidR="00117CE3">
        <w:t>At a hearing held on 14 April 2000</w:t>
      </w:r>
      <w:r w:rsidR="00037FBD">
        <w:t>,</w:t>
      </w:r>
      <w:r w:rsidR="00117CE3">
        <w:t xml:space="preserve"> the judge ordered the striking out of the </w:t>
      </w:r>
      <w:r w:rsidR="002506EA">
        <w:t>action</w:t>
      </w:r>
      <w:r w:rsidR="00117CE3">
        <w:t xml:space="preserve"> brought by the company F.C. as being out of time.</w:t>
      </w:r>
    </w:p>
    <w:p w:rsidR="00117CE3" w:rsidP="00DE1FE8" w:rsidRDefault="00117CE3">
      <w:pPr>
        <w:pStyle w:val="JuPara"/>
      </w:pPr>
      <w:r>
        <w:fldChar w:fldCharType="begin"/>
      </w:r>
      <w:r>
        <w:instrText xml:space="preserve"> SEQ level0 \*arabic </w:instrText>
      </w:r>
      <w:r>
        <w:fldChar w:fldCharType="separate"/>
      </w:r>
      <w:r w:rsidR="00A72C80">
        <w:rPr>
          <w:noProof/>
        </w:rPr>
        <w:t>14</w:t>
      </w:r>
      <w:r>
        <w:fldChar w:fldCharType="end"/>
      </w:r>
      <w:r>
        <w:t>.  On 18 December 2000 the trustee in bankruptcy requested the creditors</w:t>
      </w:r>
      <w:r w:rsidR="00DE4D33">
        <w:t>'</w:t>
      </w:r>
      <w:r>
        <w:t xml:space="preserve"> committee to give </w:t>
      </w:r>
      <w:r w:rsidR="00CC4630">
        <w:t>its</w:t>
      </w:r>
      <w:r>
        <w:t xml:space="preserve"> opinion on the possible sale of two </w:t>
      </w:r>
      <w:r w:rsidR="009C723E">
        <w:t>lorries</w:t>
      </w:r>
      <w:r>
        <w:t xml:space="preserve"> </w:t>
      </w:r>
      <w:r w:rsidR="00CC4630">
        <w:t xml:space="preserve">in very poor condition </w:t>
      </w:r>
      <w:r>
        <w:t>which were listed in the statement of assets.</w:t>
      </w:r>
    </w:p>
    <w:p w:rsidR="00117CE3" w:rsidP="00DE1FE8" w:rsidRDefault="00117CE3">
      <w:pPr>
        <w:pStyle w:val="JuPara"/>
      </w:pPr>
      <w:r>
        <w:fldChar w:fldCharType="begin"/>
      </w:r>
      <w:r>
        <w:instrText xml:space="preserve"> SEQ level0 \*arabic </w:instrText>
      </w:r>
      <w:r>
        <w:fldChar w:fldCharType="separate"/>
      </w:r>
      <w:r w:rsidR="00A72C80">
        <w:rPr>
          <w:noProof/>
        </w:rPr>
        <w:t>15</w:t>
      </w:r>
      <w:r>
        <w:fldChar w:fldCharType="end"/>
      </w:r>
      <w:r>
        <w:t xml:space="preserve">.  On 8 January 2001 the trustee in bankruptcy </w:t>
      </w:r>
      <w:r w:rsidR="00F4400A">
        <w:t>requested</w:t>
      </w:r>
      <w:r>
        <w:t xml:space="preserve"> the judge to declare the lorries unfit for sale (</w:t>
      </w:r>
      <w:r>
        <w:rPr>
          <w:i/>
        </w:rPr>
        <w:t>illiquidabili</w:t>
      </w:r>
      <w:r>
        <w:t xml:space="preserve">) so that the proceedings </w:t>
      </w:r>
      <w:r w:rsidR="001C356D">
        <w:t>could be terminated.</w:t>
      </w:r>
    </w:p>
    <w:p w:rsidR="001C356D" w:rsidP="00DE1FE8" w:rsidRDefault="001C356D">
      <w:pPr>
        <w:pStyle w:val="JuPara"/>
      </w:pPr>
      <w:r>
        <w:fldChar w:fldCharType="begin"/>
      </w:r>
      <w:r>
        <w:instrText xml:space="preserve"> SEQ level0 \*arabic </w:instrText>
      </w:r>
      <w:r>
        <w:fldChar w:fldCharType="separate"/>
      </w:r>
      <w:r w:rsidR="00A72C80">
        <w:rPr>
          <w:noProof/>
        </w:rPr>
        <w:t>16</w:t>
      </w:r>
      <w:r>
        <w:fldChar w:fldCharType="end"/>
      </w:r>
      <w:r>
        <w:t xml:space="preserve">.  On 5 February 2001 the trustee in bankruptcy </w:t>
      </w:r>
      <w:r w:rsidR="002506EA">
        <w:t>filed</w:t>
      </w:r>
      <w:r>
        <w:t xml:space="preserve"> the </w:t>
      </w:r>
      <w:r w:rsidR="009443DC">
        <w:t>revenue</w:t>
      </w:r>
      <w:r>
        <w:t xml:space="preserve"> and expenditure account, which the judge approved on 12 March 2001.</w:t>
      </w:r>
    </w:p>
    <w:p w:rsidR="001C356D" w:rsidP="00DE1FE8" w:rsidRDefault="001C356D">
      <w:pPr>
        <w:pStyle w:val="JuPara"/>
      </w:pPr>
      <w:r>
        <w:fldChar w:fldCharType="begin"/>
      </w:r>
      <w:r>
        <w:instrText xml:space="preserve"> SEQ level0 \*arabic </w:instrText>
      </w:r>
      <w:r>
        <w:fldChar w:fldCharType="separate"/>
      </w:r>
      <w:r w:rsidR="00A72C80">
        <w:rPr>
          <w:noProof/>
        </w:rPr>
        <w:t>17</w:t>
      </w:r>
      <w:r>
        <w:fldChar w:fldCharType="end"/>
      </w:r>
      <w:r>
        <w:t>.  </w:t>
      </w:r>
      <w:r w:rsidR="00BA086E">
        <w:t xml:space="preserve">By a decision </w:t>
      </w:r>
      <w:r w:rsidR="009443DC">
        <w:t xml:space="preserve">deposited </w:t>
      </w:r>
      <w:r w:rsidR="00F13935">
        <w:t>with</w:t>
      </w:r>
      <w:r w:rsidR="00BA086E">
        <w:t xml:space="preserve"> the registry on 20 March 2001</w:t>
      </w:r>
      <w:r w:rsidR="00AA4B59">
        <w:t>,</w:t>
      </w:r>
      <w:r w:rsidR="00BA086E">
        <w:t xml:space="preserve"> the judge terminated the bankruptcy proceedings for lack of any further assets to distribute.</w:t>
      </w:r>
    </w:p>
    <w:p w:rsidRPr="00117CE3" w:rsidR="00761A43" w:rsidP="00DE1FE8" w:rsidRDefault="00761A43">
      <w:pPr>
        <w:pStyle w:val="JuPara"/>
      </w:pPr>
      <w:r>
        <w:fldChar w:fldCharType="begin"/>
      </w:r>
      <w:r>
        <w:instrText xml:space="preserve"> SEQ level0 \*arabic </w:instrText>
      </w:r>
      <w:r>
        <w:fldChar w:fldCharType="separate"/>
      </w:r>
      <w:r w:rsidR="00A72C80">
        <w:rPr>
          <w:noProof/>
        </w:rPr>
        <w:t>18</w:t>
      </w:r>
      <w:r>
        <w:fldChar w:fldCharType="end"/>
      </w:r>
      <w:r>
        <w:t>.  </w:t>
      </w:r>
      <w:r w:rsidR="00F13935">
        <w:t>The decision was posted in the D</w:t>
      </w:r>
      <w:r>
        <w:t xml:space="preserve">istrict </w:t>
      </w:r>
      <w:r w:rsidR="00F13935">
        <w:t>C</w:t>
      </w:r>
      <w:r>
        <w:t>ourt on 23 March 2001. It became final on 7 April 2001.</w:t>
      </w:r>
    </w:p>
    <w:p w:rsidRPr="00BF466A" w:rsidR="00CD49A7" w:rsidP="00DE1FE8" w:rsidRDefault="00CD49A7">
      <w:pPr>
        <w:pStyle w:val="JuHIRoman"/>
      </w:pPr>
      <w:r w:rsidRPr="00BF466A">
        <w:t xml:space="preserve">II.  RELEVANT DOMESTIC LAW </w:t>
      </w:r>
      <w:r w:rsidR="00923590">
        <w:t>AND PRACTICE</w:t>
      </w:r>
    </w:p>
    <w:p w:rsidR="007943AB" w:rsidP="00DE1FE8" w:rsidRDefault="00761A43">
      <w:pPr>
        <w:pStyle w:val="JuPara"/>
      </w:pPr>
      <w:r>
        <w:fldChar w:fldCharType="begin"/>
      </w:r>
      <w:r>
        <w:instrText xml:space="preserve"> SEQ level0 \*arabic </w:instrText>
      </w:r>
      <w:r>
        <w:fldChar w:fldCharType="separate"/>
      </w:r>
      <w:r w:rsidR="00A72C80">
        <w:rPr>
          <w:noProof/>
        </w:rPr>
        <w:t>19</w:t>
      </w:r>
      <w:r>
        <w:fldChar w:fldCharType="end"/>
      </w:r>
      <w:r>
        <w:t>.  </w:t>
      </w:r>
      <w:r w:rsidR="00AA4B59">
        <w:t xml:space="preserve">The Bankruptcy Act </w:t>
      </w:r>
      <w:r w:rsidR="009443DC">
        <w:t>(</w:t>
      </w:r>
      <w:r w:rsidR="00F014CA">
        <w:t>Royal Decree no. 267 of 16</w:t>
      </w:r>
      <w:r w:rsidR="00F13935">
        <w:t xml:space="preserve"> </w:t>
      </w:r>
      <w:r w:rsidR="00AA4B59">
        <w:t>March 1942</w:t>
      </w:r>
      <w:r w:rsidR="009443DC">
        <w:t>)</w:t>
      </w:r>
      <w:r w:rsidR="00AA4B59">
        <w:t xml:space="preserve"> </w:t>
      </w:r>
      <w:r w:rsidR="00F014CA">
        <w:t xml:space="preserve">provides, </w:t>
      </w:r>
      <w:r w:rsidR="00F014CA">
        <w:rPr>
          <w:i/>
        </w:rPr>
        <w:t>inter alia</w:t>
      </w:r>
      <w:r w:rsidR="00F014CA">
        <w:t>:</w:t>
      </w:r>
    </w:p>
    <w:p w:rsidR="007943AB" w:rsidP="00F13935" w:rsidRDefault="005C7CAD">
      <w:pPr>
        <w:pStyle w:val="JuHArticle"/>
      </w:pPr>
      <w:r>
        <w:t>Section</w:t>
      </w:r>
      <w:r w:rsidR="007943AB">
        <w:t xml:space="preserve"> 26</w:t>
      </w:r>
    </w:p>
    <w:p w:rsidR="007943AB" w:rsidP="00DE1FE8" w:rsidRDefault="0000007C">
      <w:pPr>
        <w:pStyle w:val="JuQuot"/>
      </w:pPr>
      <w:r>
        <w:t>“</w:t>
      </w:r>
      <w:r w:rsidR="007943AB">
        <w:t>An appeal shall lie against the decisions of the bankruptcy</w:t>
      </w:r>
      <w:r>
        <w:t xml:space="preserve"> </w:t>
      </w:r>
      <w:r w:rsidR="007943AB">
        <w:t xml:space="preserve">judge ... to the district court within three days of their adoption, and may be lodged by the </w:t>
      </w:r>
      <w:r w:rsidR="009C723E">
        <w:t>trustee in bankruptcy</w:t>
      </w:r>
      <w:r w:rsidR="007943AB">
        <w:t>, the bankrupt, the creditors</w:t>
      </w:r>
      <w:r w:rsidR="00DE4D33">
        <w:t>'</w:t>
      </w:r>
      <w:r w:rsidR="007943AB">
        <w:t xml:space="preserve"> committee or any other person</w:t>
      </w:r>
      <w:r>
        <w:t xml:space="preserve"> </w:t>
      </w:r>
      <w:r w:rsidR="007943AB">
        <w:t>with an interest.</w:t>
      </w:r>
    </w:p>
    <w:p w:rsidR="007943AB" w:rsidP="00DE1FE8" w:rsidRDefault="007943AB">
      <w:pPr>
        <w:pStyle w:val="JuQuot"/>
      </w:pPr>
      <w:r>
        <w:t>The district court shall deliberate in private and</w:t>
      </w:r>
      <w:r w:rsidR="0000007C">
        <w:t xml:space="preserve"> </w:t>
      </w:r>
      <w:r>
        <w:t>give a reasoned decision.</w:t>
      </w:r>
    </w:p>
    <w:p w:rsidR="007943AB" w:rsidP="00DE1FE8" w:rsidRDefault="007943AB">
      <w:pPr>
        <w:pStyle w:val="JuQuot"/>
      </w:pPr>
      <w:r>
        <w:t>The appeal shall not have suspensive effect in relation to the</w:t>
      </w:r>
      <w:r w:rsidR="0000007C">
        <w:t xml:space="preserve"> </w:t>
      </w:r>
      <w:r>
        <w:t>impugned decision.</w:t>
      </w:r>
      <w:r w:rsidR="0000007C">
        <w:t>”</w:t>
      </w:r>
    </w:p>
    <w:p w:rsidR="007943AB" w:rsidP="00DE1FE8" w:rsidRDefault="005C7CAD">
      <w:pPr>
        <w:pStyle w:val="JuHArticle"/>
      </w:pPr>
      <w:r>
        <w:t>Section</w:t>
      </w:r>
      <w:r w:rsidR="007943AB">
        <w:t xml:space="preserve"> 36</w:t>
      </w:r>
    </w:p>
    <w:p w:rsidR="007943AB" w:rsidP="00DE1FE8" w:rsidRDefault="0000007C">
      <w:pPr>
        <w:pStyle w:val="JuQuot"/>
      </w:pPr>
      <w:r>
        <w:t>“</w:t>
      </w:r>
      <w:r w:rsidR="007943AB">
        <w:t xml:space="preserve">An appeal shall lie against measures taken by the </w:t>
      </w:r>
      <w:r w:rsidR="009C723E">
        <w:t>trustee in bankruptcy</w:t>
      </w:r>
      <w:r w:rsidR="007943AB">
        <w:t>.</w:t>
      </w:r>
      <w:r>
        <w:t xml:space="preserve"> </w:t>
      </w:r>
      <w:r w:rsidR="007943AB">
        <w:t>Such appeals may be lodged by the bankrupt</w:t>
      </w:r>
      <w:r w:rsidR="005F4EB5">
        <w:t>,</w:t>
      </w:r>
      <w:r w:rsidR="007943AB">
        <w:t xml:space="preserve"> or any other</w:t>
      </w:r>
      <w:r>
        <w:t xml:space="preserve"> </w:t>
      </w:r>
      <w:r w:rsidR="007943AB">
        <w:t>person with an interest, with the bankruptcy judge, who shall give a reasoned decision.</w:t>
      </w:r>
    </w:p>
    <w:p w:rsidR="007943AB" w:rsidP="00DE1FE8" w:rsidRDefault="007943AB">
      <w:pPr>
        <w:pStyle w:val="JuQuot"/>
      </w:pPr>
      <w:r>
        <w:t xml:space="preserve">An appeal against that decision </w:t>
      </w:r>
      <w:r w:rsidR="00FB6BD0">
        <w:t>may</w:t>
      </w:r>
      <w:r>
        <w:t xml:space="preserve"> be lodged within three days with the district court.</w:t>
      </w:r>
      <w:r w:rsidR="000D5632">
        <w:t xml:space="preserve"> </w:t>
      </w:r>
      <w:r>
        <w:t>That court shall give a</w:t>
      </w:r>
      <w:r w:rsidR="0000007C">
        <w:t xml:space="preserve"> </w:t>
      </w:r>
      <w:r>
        <w:t xml:space="preserve">reasoned decision after hearing </w:t>
      </w:r>
      <w:r w:rsidR="009C723E">
        <w:t xml:space="preserve">evidence from </w:t>
      </w:r>
      <w:r>
        <w:t xml:space="preserve">the </w:t>
      </w:r>
      <w:r w:rsidR="009C723E">
        <w:t>trustee in bankruptcy</w:t>
      </w:r>
      <w:r>
        <w:t xml:space="preserve"> and the appellant.</w:t>
      </w:r>
      <w:r w:rsidR="0000007C">
        <w:t>”</w:t>
      </w:r>
    </w:p>
    <w:p w:rsidRPr="007943AB" w:rsidR="007943AB" w:rsidP="00DE1FE8" w:rsidRDefault="005C7CAD">
      <w:pPr>
        <w:pStyle w:val="JuHArticle"/>
      </w:pPr>
      <w:r>
        <w:t>Section</w:t>
      </w:r>
      <w:r w:rsidRPr="007943AB" w:rsidR="007943AB">
        <w:t xml:space="preserve"> 42</w:t>
      </w:r>
    </w:p>
    <w:p w:rsidRPr="007943AB" w:rsidR="007943AB" w:rsidP="00DE1FE8" w:rsidRDefault="007943AB">
      <w:pPr>
        <w:pStyle w:val="JuQuot"/>
      </w:pPr>
      <w:r w:rsidRPr="007943AB">
        <w:t xml:space="preserve">“The </w:t>
      </w:r>
      <w:bookmarkStart w:name="HIT32" w:id="1"/>
      <w:bookmarkEnd w:id="1"/>
      <w:r w:rsidRPr="007943AB">
        <w:rPr>
          <w:bCs/>
        </w:rPr>
        <w:t>bankruptcy</w:t>
      </w:r>
      <w:r w:rsidRPr="007943AB">
        <w:t xml:space="preserve"> order </w:t>
      </w:r>
      <w:r w:rsidR="00923590">
        <w:t xml:space="preserve">shall </w:t>
      </w:r>
      <w:r w:rsidRPr="007943AB">
        <w:t>divest the bankrupt of the rights to administer or to deal with assets that were in existence at the date of the said order. ...”</w:t>
      </w:r>
    </w:p>
    <w:p w:rsidR="007943AB" w:rsidP="00DE1FE8" w:rsidRDefault="005C7CAD">
      <w:pPr>
        <w:pStyle w:val="JuHArticle"/>
      </w:pPr>
      <w:r>
        <w:t>Section</w:t>
      </w:r>
      <w:r w:rsidR="007943AB">
        <w:t xml:space="preserve"> 48</w:t>
      </w:r>
    </w:p>
    <w:p w:rsidR="007943AB" w:rsidP="00DE1FE8" w:rsidRDefault="0000007C">
      <w:pPr>
        <w:pStyle w:val="JuQuot"/>
      </w:pPr>
      <w:r>
        <w:t>“</w:t>
      </w:r>
      <w:r w:rsidRPr="00923590" w:rsidR="00923590">
        <w:t xml:space="preserve">Correspondence addressed to the bankrupt </w:t>
      </w:r>
      <w:r w:rsidR="00923590">
        <w:t>shall</w:t>
      </w:r>
      <w:r w:rsidRPr="00923590" w:rsidR="00923590">
        <w:t xml:space="preserve"> be passed to the trustee in bankruptcy, who shall be empowered to retain correspondence concerning property interests. The bankrupt may consult the correspondence. The trustee in bankruptcy shall keep the content of correspondence not relating to such interests confidential</w:t>
      </w:r>
      <w:r w:rsidR="007943AB">
        <w:t>.</w:t>
      </w:r>
      <w:r>
        <w:t>”</w:t>
      </w:r>
    </w:p>
    <w:p w:rsidR="007943AB" w:rsidP="00DE1FE8" w:rsidRDefault="005C7CAD">
      <w:pPr>
        <w:pStyle w:val="JuHArticle"/>
      </w:pPr>
      <w:r>
        <w:t>Section</w:t>
      </w:r>
      <w:r w:rsidR="007943AB">
        <w:t xml:space="preserve"> 49</w:t>
      </w:r>
    </w:p>
    <w:p w:rsidR="007943AB" w:rsidP="00DE1FE8" w:rsidRDefault="0000007C">
      <w:pPr>
        <w:pStyle w:val="JuQuot"/>
      </w:pPr>
      <w:r>
        <w:t>“</w:t>
      </w:r>
      <w:r w:rsidR="007943AB">
        <w:t>The bankrupt may not leave his place of residence without the authorisation of the bankruptcy judge and must report to that</w:t>
      </w:r>
      <w:r>
        <w:t xml:space="preserve"> </w:t>
      </w:r>
      <w:r w:rsidR="007943AB">
        <w:t xml:space="preserve">judge, the </w:t>
      </w:r>
      <w:r w:rsidR="009C723E">
        <w:t>trustee in bankruptcy</w:t>
      </w:r>
      <w:r w:rsidR="007943AB">
        <w:t xml:space="preserve"> </w:t>
      </w:r>
      <w:r w:rsidR="005F4EB5">
        <w:t>or</w:t>
      </w:r>
      <w:r w:rsidR="007943AB">
        <w:t xml:space="preserve"> the creditors</w:t>
      </w:r>
      <w:r w:rsidR="00DE4D33">
        <w:t>'</w:t>
      </w:r>
      <w:r w:rsidR="007943AB">
        <w:t xml:space="preserve"> committee each</w:t>
      </w:r>
      <w:r>
        <w:t xml:space="preserve"> </w:t>
      </w:r>
      <w:r w:rsidR="007943AB">
        <w:t>time he is duly summoned, exce</w:t>
      </w:r>
      <w:r w:rsidR="0041454F">
        <w:t xml:space="preserve">pt where he is unable to </w:t>
      </w:r>
      <w:r w:rsidR="007943AB">
        <w:t>appear on legitimate grounds and the judge gives him leave to</w:t>
      </w:r>
      <w:r>
        <w:t xml:space="preserve"> </w:t>
      </w:r>
      <w:r w:rsidR="007943AB">
        <w:t>send a representative.</w:t>
      </w:r>
    </w:p>
    <w:p w:rsidR="007943AB" w:rsidP="00DE1FE8" w:rsidRDefault="007943AB">
      <w:pPr>
        <w:pStyle w:val="JuQuot"/>
      </w:pPr>
      <w:r>
        <w:t>If the bankrupt fails to comply with a summons, the judge may order that he be brought by the police.</w:t>
      </w:r>
      <w:r w:rsidR="0000007C">
        <w:t>”</w:t>
      </w:r>
    </w:p>
    <w:p w:rsidR="00AF6522" w:rsidP="00DE1FE8" w:rsidRDefault="005C7CAD">
      <w:pPr>
        <w:pStyle w:val="JuHArticle"/>
      </w:pPr>
      <w:r>
        <w:t>Section</w:t>
      </w:r>
      <w:r w:rsidR="00AF6522">
        <w:t xml:space="preserve"> 50</w:t>
      </w:r>
    </w:p>
    <w:p w:rsidR="00AF6522" w:rsidP="00DE1FE8" w:rsidRDefault="00AF6522">
      <w:pPr>
        <w:pStyle w:val="JuQuot"/>
      </w:pPr>
      <w:r>
        <w:t xml:space="preserve">“A public register of the names of bankrupts shall be held at the registry of each district court. Names shall be deleted from the register by order of the district court. </w:t>
      </w:r>
      <w:r w:rsidR="00A770E1">
        <w:t>A b</w:t>
      </w:r>
      <w:r>
        <w:t xml:space="preserve">ankrupt shall be subject to the </w:t>
      </w:r>
      <w:r w:rsidR="009C723E">
        <w:t>restrictions</w:t>
      </w:r>
      <w:r>
        <w:t xml:space="preserve"> laid down by law until such time as </w:t>
      </w:r>
      <w:r w:rsidR="00A770E1">
        <w:t xml:space="preserve">his </w:t>
      </w:r>
      <w:r>
        <w:t xml:space="preserve">name </w:t>
      </w:r>
      <w:r w:rsidR="005F4EB5">
        <w:t>is</w:t>
      </w:r>
      <w:r>
        <w:t xml:space="preserve"> deleted from the register.”</w:t>
      </w:r>
    </w:p>
    <w:p w:rsidR="00AF6522" w:rsidP="00DE1FE8" w:rsidRDefault="005C7CAD">
      <w:pPr>
        <w:pStyle w:val="JuHArticle"/>
      </w:pPr>
      <w:r>
        <w:t>Section</w:t>
      </w:r>
      <w:r w:rsidR="00AF6522">
        <w:t xml:space="preserve"> 119</w:t>
      </w:r>
    </w:p>
    <w:p w:rsidR="00AF6522" w:rsidP="00DE1FE8" w:rsidRDefault="00AF6522">
      <w:pPr>
        <w:pStyle w:val="JuQuot"/>
      </w:pPr>
      <w:r>
        <w:t xml:space="preserve">“The bankruptcy proceedings shall be terminated by means of a </w:t>
      </w:r>
      <w:r w:rsidR="00F13935">
        <w:t>reasoned decision of the court ...</w:t>
      </w:r>
    </w:p>
    <w:p w:rsidR="00AF6522" w:rsidP="00DE1FE8" w:rsidRDefault="00AF6522">
      <w:pPr>
        <w:pStyle w:val="JuQuot"/>
      </w:pPr>
      <w:r>
        <w:t xml:space="preserve">An appeal against that decision </w:t>
      </w:r>
      <w:r w:rsidR="0087095A">
        <w:t>may be lodged with the</w:t>
      </w:r>
      <w:r>
        <w:t xml:space="preserve"> court of appeal </w:t>
      </w:r>
      <w:r w:rsidR="0087095A">
        <w:t>within fifteen days of</w:t>
      </w:r>
      <w:r w:rsidR="00F13935">
        <w:t xml:space="preserve"> its being posted in the court ...</w:t>
      </w:r>
      <w:r w:rsidR="0087095A">
        <w:t>”</w:t>
      </w:r>
    </w:p>
    <w:p w:rsidR="0087095A" w:rsidP="00DE1FE8" w:rsidRDefault="005C7CAD">
      <w:pPr>
        <w:pStyle w:val="JuHArticle"/>
      </w:pPr>
      <w:r>
        <w:t>Section</w:t>
      </w:r>
      <w:r w:rsidR="0087095A">
        <w:t xml:space="preserve"> 143</w:t>
      </w:r>
    </w:p>
    <w:p w:rsidR="0087095A" w:rsidP="00DE1FE8" w:rsidRDefault="0087095A">
      <w:pPr>
        <w:pStyle w:val="JuQuot"/>
      </w:pPr>
      <w:r>
        <w:t>“</w:t>
      </w:r>
      <w:r w:rsidR="005516DC">
        <w:t>Rehabilitation</w:t>
      </w:r>
      <w:r w:rsidR="0056521C">
        <w:t xml:space="preserve"> may be granted to</w:t>
      </w:r>
      <w:r w:rsidR="004B5C22">
        <w:t xml:space="preserve"> </w:t>
      </w:r>
      <w:r w:rsidR="0056521C">
        <w:t>bankrupt</w:t>
      </w:r>
      <w:r w:rsidR="00581A74">
        <w:t>s</w:t>
      </w:r>
      <w:r w:rsidR="0056521C">
        <w:t xml:space="preserve"> who</w:t>
      </w:r>
    </w:p>
    <w:p w:rsidR="0056521C" w:rsidP="00DE1FE8" w:rsidRDefault="0056521C">
      <w:pPr>
        <w:pStyle w:val="JuQuot"/>
      </w:pPr>
      <w:r>
        <w:t>1.  </w:t>
      </w:r>
      <w:r w:rsidR="00581A74">
        <w:t>have</w:t>
      </w:r>
      <w:r>
        <w:t xml:space="preserve"> paid in full the debts </w:t>
      </w:r>
      <w:r w:rsidR="00FB6BD0">
        <w:t>included in the bankruptcy</w:t>
      </w:r>
      <w:r w:rsidR="004B5C22">
        <w:t>, including interest and expenses;</w:t>
      </w:r>
    </w:p>
    <w:p w:rsidR="004B5C22" w:rsidP="00DE1FE8" w:rsidRDefault="004B5C22">
      <w:pPr>
        <w:pStyle w:val="JuQuot"/>
      </w:pPr>
      <w:r>
        <w:t>2.  </w:t>
      </w:r>
      <w:r w:rsidR="00581A74">
        <w:t>have</w:t>
      </w:r>
      <w:r>
        <w:t xml:space="preserve"> complied with the terms of the composition with creditors if the court considers </w:t>
      </w:r>
      <w:r w:rsidR="00581A74">
        <w:t>them</w:t>
      </w:r>
      <w:r>
        <w:t xml:space="preserve"> eligible for such a measure, taking into account the causes and circumstances of the bankruptcy, the terms of the composition and the percentage agreed. </w:t>
      </w:r>
      <w:r w:rsidR="005516DC">
        <w:t>Rehabilitation</w:t>
      </w:r>
      <w:r>
        <w:t xml:space="preserve"> may not be </w:t>
      </w:r>
      <w:r w:rsidR="005516DC">
        <w:t>granted</w:t>
      </w:r>
      <w:r>
        <w:t xml:space="preserve"> in cases where the percentage agreed for unsecured creditors is below 25%</w:t>
      </w:r>
      <w:r w:rsidR="00F13935">
        <w:t xml:space="preserve"> </w:t>
      </w:r>
      <w:r>
        <w:t>...</w:t>
      </w:r>
      <w:r w:rsidR="00FB6BD0">
        <w:t>;</w:t>
      </w:r>
    </w:p>
    <w:p w:rsidR="004B5C22" w:rsidP="00DE1FE8" w:rsidRDefault="004B5C22">
      <w:pPr>
        <w:pStyle w:val="JuQuot"/>
      </w:pPr>
      <w:r>
        <w:t>3.  </w:t>
      </w:r>
      <w:r w:rsidR="00581A74">
        <w:t>have</w:t>
      </w:r>
      <w:r>
        <w:t xml:space="preserve"> shown proof of effective and consistent good conduct for at least five years following the end of the bankruptcy</w:t>
      </w:r>
      <w:r w:rsidR="00FD0145">
        <w:t xml:space="preserve"> proceedings</w:t>
      </w:r>
      <w:r>
        <w:t>.”</w:t>
      </w:r>
    </w:p>
    <w:p w:rsidR="007D3CA5" w:rsidP="00DE1FE8" w:rsidRDefault="007D3CA5">
      <w:pPr>
        <w:pStyle w:val="JuPara"/>
      </w:pPr>
      <w:r>
        <w:fldChar w:fldCharType="begin"/>
      </w:r>
      <w:r>
        <w:instrText xml:space="preserve"> SEQ level0 \*arabic </w:instrText>
      </w:r>
      <w:r>
        <w:fldChar w:fldCharType="separate"/>
      </w:r>
      <w:r w:rsidR="00A72C80">
        <w:rPr>
          <w:noProof/>
        </w:rPr>
        <w:t>20</w:t>
      </w:r>
      <w:r>
        <w:fldChar w:fldCharType="end"/>
      </w:r>
      <w:r>
        <w:t>.  </w:t>
      </w:r>
      <w:r w:rsidRPr="009C57E7" w:rsidR="009C57E7">
        <w:t>Article 2</w:t>
      </w:r>
      <w:r w:rsidR="00FB6BD0">
        <w:t xml:space="preserve"> §</w:t>
      </w:r>
      <w:r w:rsidRPr="009C57E7" w:rsidR="009C57E7">
        <w:t xml:space="preserve"> </w:t>
      </w:r>
      <w:r w:rsidR="00FB6BD0">
        <w:t>1</w:t>
      </w:r>
      <w:r w:rsidR="00F13935">
        <w:t xml:space="preserve"> </w:t>
      </w:r>
      <w:r w:rsidR="00FB6BD0">
        <w:t xml:space="preserve">(a) </w:t>
      </w:r>
      <w:r w:rsidRPr="009C57E7" w:rsidR="009C57E7">
        <w:t>of Presidential Decree no. 223 of 20 March 1967, as amended by Law no. 15 of 16 January 1992, provides</w:t>
      </w:r>
      <w:r w:rsidRPr="0053045F" w:rsidR="0053045F">
        <w:t xml:space="preserve"> </w:t>
      </w:r>
      <w:r w:rsidR="0053045F">
        <w:t>essentially</w:t>
      </w:r>
      <w:r w:rsidRPr="009C57E7" w:rsidR="009C57E7">
        <w:t xml:space="preserve"> for the suspension of the bankrupt</w:t>
      </w:r>
      <w:r w:rsidR="00DE4D33">
        <w:t>'</w:t>
      </w:r>
      <w:r w:rsidRPr="009C57E7" w:rsidR="009C57E7">
        <w:t>s electoral rights for the duration of the bankruptcy proceedings and, in any event, for a period not exceeding five years from the date of the bankruptcy order.</w:t>
      </w:r>
    </w:p>
    <w:p w:rsidR="007D3CA5" w:rsidP="00DE1FE8" w:rsidRDefault="007D3CA5">
      <w:pPr>
        <w:pStyle w:val="JuPara"/>
      </w:pPr>
      <w:r>
        <w:fldChar w:fldCharType="begin"/>
      </w:r>
      <w:r>
        <w:instrText xml:space="preserve"> SEQ level0 \*arabic </w:instrText>
      </w:r>
      <w:r>
        <w:fldChar w:fldCharType="separate"/>
      </w:r>
      <w:r w:rsidR="00A72C80">
        <w:rPr>
          <w:noProof/>
        </w:rPr>
        <w:t>21</w:t>
      </w:r>
      <w:r>
        <w:fldChar w:fldCharType="end"/>
      </w:r>
      <w:r>
        <w:t>.  Legislative Decree (</w:t>
      </w:r>
      <w:r>
        <w:rPr>
          <w:i/>
        </w:rPr>
        <w:t>decreto legislativ</w:t>
      </w:r>
      <w:r w:rsidR="001A7C18">
        <w:rPr>
          <w:i/>
        </w:rPr>
        <w:t>o</w:t>
      </w:r>
      <w:r>
        <w:t xml:space="preserve">) no. 5 of 9 January 2006 on </w:t>
      </w:r>
      <w:r w:rsidR="009C57E7">
        <w:t xml:space="preserve">the </w:t>
      </w:r>
      <w:r>
        <w:t xml:space="preserve">reform of the Bankruptcy Act provides, </w:t>
      </w:r>
      <w:r>
        <w:rPr>
          <w:i/>
        </w:rPr>
        <w:t>inter alia</w:t>
      </w:r>
      <w:r>
        <w:t>, as follows:</w:t>
      </w:r>
    </w:p>
    <w:p w:rsidR="007D3CA5" w:rsidP="00DE1FE8" w:rsidRDefault="009C57E7">
      <w:pPr>
        <w:pStyle w:val="JuHArticle"/>
      </w:pPr>
      <w:r>
        <w:t>Article 45 – Replacement of Article 48 of Royal Decree no. 267 of 16 March 1942</w:t>
      </w:r>
    </w:p>
    <w:p w:rsidR="009C57E7" w:rsidP="00DE1FE8" w:rsidRDefault="005C0254">
      <w:pPr>
        <w:pStyle w:val="JuQuot"/>
      </w:pPr>
      <w:r>
        <w:t>“</w:t>
      </w:r>
      <w:r w:rsidR="009C57E7">
        <w:t xml:space="preserve">Article 48 of Royal Decree no. 267 of 16 March 1942 </w:t>
      </w:r>
      <w:r w:rsidR="005A4D50">
        <w:t>is hereby</w:t>
      </w:r>
      <w:r w:rsidR="009C57E7">
        <w:t xml:space="preserve"> replaced by the following:</w:t>
      </w:r>
    </w:p>
    <w:p w:rsidR="009C57E7" w:rsidP="00F13935" w:rsidRDefault="00DE4D33">
      <w:pPr>
        <w:pStyle w:val="JuQuotSub"/>
      </w:pPr>
      <w:r>
        <w:t>'</w:t>
      </w:r>
      <w:r w:rsidR="009C57E7">
        <w:t>Article 48</w:t>
      </w:r>
      <w:r w:rsidR="00FB6BD0">
        <w:t xml:space="preserve"> </w:t>
      </w:r>
      <w:r w:rsidR="009C57E7">
        <w:t>(</w:t>
      </w:r>
      <w:r w:rsidR="00FB6BD0">
        <w:t xml:space="preserve">correspondence </w:t>
      </w:r>
      <w:r w:rsidR="009C57E7">
        <w:t>addressed to bankrupt</w:t>
      </w:r>
      <w:r w:rsidR="00F232A9">
        <w:t>s</w:t>
      </w:r>
      <w:r w:rsidR="009C57E7">
        <w:t xml:space="preserve">): </w:t>
      </w:r>
      <w:r w:rsidR="005C0254">
        <w:t>Entrepreneurs who are</w:t>
      </w:r>
      <w:r w:rsidR="009C432B">
        <w:t xml:space="preserve"> declared bankrupt</w:t>
      </w:r>
      <w:r w:rsidR="001F6720">
        <w:t xml:space="preserve"> and the </w:t>
      </w:r>
      <w:r w:rsidR="00655B7D">
        <w:t>directors</w:t>
      </w:r>
      <w:r w:rsidR="001F6720">
        <w:t xml:space="preserve"> or liquidators of companies </w:t>
      </w:r>
      <w:r w:rsidR="000D4499">
        <w:t xml:space="preserve">or corporations </w:t>
      </w:r>
      <w:r w:rsidR="001F6720">
        <w:t>which are the subject of bankruptcy proceedings shall be required to hand over to the trustee in bankruptcy all correspondence, and in particular electronic correspondence,</w:t>
      </w:r>
      <w:r w:rsidR="00F13935">
        <w:t xml:space="preserve"> concerning property interests [</w:t>
      </w:r>
      <w:r w:rsidR="001F6720">
        <w:rPr>
          <w:i/>
        </w:rPr>
        <w:t>rapporti</w:t>
      </w:r>
      <w:r w:rsidR="00F13935">
        <w:t>]</w:t>
      </w:r>
      <w:r w:rsidR="001F6720">
        <w:t xml:space="preserve"> </w:t>
      </w:r>
      <w:r w:rsidR="000D4499">
        <w:t>included in the bankruptcy</w:t>
      </w:r>
      <w:r w:rsidR="001F6720">
        <w:t>.</w:t>
      </w:r>
      <w:r>
        <w:t>'</w:t>
      </w:r>
      <w:r w:rsidR="00F13935">
        <w:t xml:space="preserve"> </w:t>
      </w:r>
      <w:r w:rsidR="005C0254">
        <w:t>”</w:t>
      </w:r>
    </w:p>
    <w:p w:rsidR="001F6720" w:rsidP="00DE1FE8" w:rsidRDefault="00DE2393">
      <w:pPr>
        <w:pStyle w:val="JuHArticle"/>
      </w:pPr>
      <w:r>
        <w:t>Article 46 – Replacement of Article 49 of Royal Decree no. 267 of 16 March 1942</w:t>
      </w:r>
    </w:p>
    <w:p w:rsidR="00DE2393" w:rsidP="00DE1FE8" w:rsidRDefault="005C0254">
      <w:pPr>
        <w:pStyle w:val="JuQuot"/>
      </w:pPr>
      <w:r>
        <w:t>“</w:t>
      </w:r>
      <w:r w:rsidR="00DE2393">
        <w:t xml:space="preserve">Article 49 of Royal Decree no. 267 of 16 March 1942 </w:t>
      </w:r>
      <w:r w:rsidR="005A4D50">
        <w:t>is hereby</w:t>
      </w:r>
      <w:r w:rsidR="00DE2393">
        <w:t xml:space="preserve"> replaced by the following:</w:t>
      </w:r>
    </w:p>
    <w:p w:rsidR="00DE2393" w:rsidP="00F13935" w:rsidRDefault="00DE4D33">
      <w:pPr>
        <w:pStyle w:val="JuQuotSub"/>
      </w:pPr>
      <w:r>
        <w:t>'</w:t>
      </w:r>
      <w:r w:rsidR="00DE2393">
        <w:t>Article 49 (obligations of bankrupt</w:t>
      </w:r>
      <w:r w:rsidR="00F232A9">
        <w:t>s</w:t>
      </w:r>
      <w:r w:rsidR="00DE2393">
        <w:t xml:space="preserve">): </w:t>
      </w:r>
      <w:r w:rsidR="005C0254">
        <w:t>Entrepreneurs who are</w:t>
      </w:r>
      <w:r w:rsidR="00B7634A">
        <w:t xml:space="preserve"> </w:t>
      </w:r>
      <w:r w:rsidR="00DE2393">
        <w:t xml:space="preserve">declared bankrupt and the </w:t>
      </w:r>
      <w:r w:rsidR="00655B7D">
        <w:t>directors</w:t>
      </w:r>
      <w:r w:rsidR="00DE2393">
        <w:t xml:space="preserve"> or liquidators of companies </w:t>
      </w:r>
      <w:r w:rsidR="007E6EDA">
        <w:t xml:space="preserve">or corporations </w:t>
      </w:r>
      <w:r w:rsidR="00DE2393">
        <w:t>which are the subject of bankruptcy proceedings shall be required to inform the trustee in bankruptcy of any change of residence or address.</w:t>
      </w:r>
    </w:p>
    <w:p w:rsidR="00DE2393" w:rsidP="00F13935" w:rsidRDefault="00DE2393">
      <w:pPr>
        <w:pStyle w:val="JuQuotSub"/>
      </w:pPr>
      <w:r>
        <w:t xml:space="preserve">Where information or clarification is </w:t>
      </w:r>
      <w:r w:rsidR="007E6EDA">
        <w:t>needed</w:t>
      </w:r>
      <w:r>
        <w:t xml:space="preserve"> for the conduct of the proceedings, the above-mentioned individuals must report in person to the </w:t>
      </w:r>
      <w:r w:rsidR="007E6EDA">
        <w:t xml:space="preserve">bankruptcy </w:t>
      </w:r>
      <w:r w:rsidR="00F60F2C">
        <w:t>judge, the trustee in bankruptcy or the creditors</w:t>
      </w:r>
      <w:r w:rsidR="00DE4D33">
        <w:t>'</w:t>
      </w:r>
      <w:r w:rsidR="00F60F2C">
        <w:t xml:space="preserve"> committee.</w:t>
      </w:r>
    </w:p>
    <w:p w:rsidR="00F60F2C" w:rsidP="00F13935" w:rsidRDefault="00F60F2C">
      <w:pPr>
        <w:pStyle w:val="JuQuotSub"/>
      </w:pPr>
      <w:r>
        <w:t xml:space="preserve">If they are unable to do so, the judge may </w:t>
      </w:r>
      <w:r w:rsidR="007E6EDA">
        <w:t>give leave to</w:t>
      </w:r>
      <w:r>
        <w:t xml:space="preserve"> the </w:t>
      </w:r>
      <w:r w:rsidR="005C0254">
        <w:t>entrepreneur</w:t>
      </w:r>
      <w:r>
        <w:t xml:space="preserve"> or the legal representative of the company </w:t>
      </w:r>
      <w:r w:rsidR="007E6EDA">
        <w:t xml:space="preserve">or corporation </w:t>
      </w:r>
      <w:r>
        <w:t>which is the subject of the bankruptcy proceedings to send a representative.</w:t>
      </w:r>
      <w:r w:rsidR="00DE4D33">
        <w:t>'</w:t>
      </w:r>
      <w:r w:rsidR="00F13935">
        <w:t xml:space="preserve"> </w:t>
      </w:r>
      <w:r w:rsidR="005C0254">
        <w:t>”</w:t>
      </w:r>
    </w:p>
    <w:p w:rsidR="00F60F2C" w:rsidP="00DE1FE8" w:rsidRDefault="00F60F2C">
      <w:pPr>
        <w:pStyle w:val="JuHArticle"/>
      </w:pPr>
      <w:r>
        <w:t>Article 47 – Repeal of Article 50 of Royal Decree no. 267 of 16 March 1942</w:t>
      </w:r>
    </w:p>
    <w:p w:rsidR="00F60F2C" w:rsidP="00DE1FE8" w:rsidRDefault="005C0254">
      <w:pPr>
        <w:pStyle w:val="JuQuot"/>
      </w:pPr>
      <w:r>
        <w:t>“</w:t>
      </w:r>
      <w:r w:rsidR="00F60F2C">
        <w:t>Article 50 of Royal Decree no. 267 of 16 March 1942 is hereby repealed.</w:t>
      </w:r>
      <w:r>
        <w:t>”</w:t>
      </w:r>
    </w:p>
    <w:p w:rsidR="00F60F2C" w:rsidP="00DE1FE8" w:rsidRDefault="00F60F2C">
      <w:pPr>
        <w:pStyle w:val="JuHArticle"/>
      </w:pPr>
      <w:r>
        <w:t xml:space="preserve">Article 152 – </w:t>
      </w:r>
      <w:r w:rsidR="00562628">
        <w:t xml:space="preserve">Repealing provisions concerning personal restrictions </w:t>
      </w:r>
      <w:r w:rsidR="00EF0D95">
        <w:br/>
      </w:r>
      <w:r w:rsidR="00562628">
        <w:t>imposed on bankrupts</w:t>
      </w:r>
    </w:p>
    <w:p w:rsidR="00562628" w:rsidP="00DE1FE8" w:rsidRDefault="005C0254">
      <w:pPr>
        <w:pStyle w:val="JuQuot"/>
      </w:pPr>
      <w:r>
        <w:t>“</w:t>
      </w:r>
      <w:r w:rsidR="00562628">
        <w:t xml:space="preserve">The following provisions </w:t>
      </w:r>
      <w:r w:rsidR="005A4D50">
        <w:t>are hereby</w:t>
      </w:r>
      <w:r w:rsidR="00562628">
        <w:t xml:space="preserve"> repealed:</w:t>
      </w:r>
    </w:p>
    <w:p w:rsidR="00562628" w:rsidP="00DE1FE8" w:rsidRDefault="00562628">
      <w:pPr>
        <w:pStyle w:val="JuQuot"/>
      </w:pPr>
      <w:r>
        <w:t>(a)  Article 2 § 1</w:t>
      </w:r>
      <w:r w:rsidR="00F13935">
        <w:t xml:space="preserve"> (a) ...</w:t>
      </w:r>
      <w:r>
        <w:t xml:space="preserve"> of Presidential Decree no. 223 of 20 March 1967;</w:t>
      </w:r>
    </w:p>
    <w:p w:rsidR="00562628" w:rsidP="00DE1FE8" w:rsidRDefault="00F13935">
      <w:pPr>
        <w:pStyle w:val="JuQuot"/>
      </w:pPr>
      <w:r>
        <w:t>...</w:t>
      </w:r>
      <w:r w:rsidR="00562628">
        <w:t>”</w:t>
      </w:r>
    </w:p>
    <w:p w:rsidR="000D5632" w:rsidP="00DE1FE8" w:rsidRDefault="00562628">
      <w:pPr>
        <w:pStyle w:val="JuPara"/>
      </w:pPr>
      <w:r>
        <w:fldChar w:fldCharType="begin"/>
      </w:r>
      <w:r>
        <w:instrText xml:space="preserve"> SEQ level0 \*arabic </w:instrText>
      </w:r>
      <w:r>
        <w:fldChar w:fldCharType="separate"/>
      </w:r>
      <w:r w:rsidR="00A72C80">
        <w:rPr>
          <w:noProof/>
        </w:rPr>
        <w:t>22</w:t>
      </w:r>
      <w:r>
        <w:fldChar w:fldCharType="end"/>
      </w:r>
      <w:r>
        <w:t>.  </w:t>
      </w:r>
      <w:r w:rsidR="00F77E9D">
        <w:t xml:space="preserve">According to legal commentators, the institution of bankruptcy has its origins </w:t>
      </w:r>
      <w:r w:rsidR="00F13935">
        <w:t>in the Middle Ages (thirteen</w:t>
      </w:r>
      <w:r w:rsidRPr="005C0254" w:rsidR="0011683D">
        <w:t>th</w:t>
      </w:r>
      <w:r w:rsidR="0011683D">
        <w:t xml:space="preserve"> century), an era when merchants (in the broad sense, encompassing </w:t>
      </w:r>
      <w:r w:rsidR="005A4D50">
        <w:t>traders</w:t>
      </w:r>
      <w:r w:rsidR="0011683D">
        <w:t xml:space="preserve">, entrepreneurs and bankers) </w:t>
      </w:r>
      <w:r w:rsidR="005A4D50">
        <w:t>formed the nucleus</w:t>
      </w:r>
      <w:r w:rsidR="0011683D">
        <w:t xml:space="preserve"> of a new social class. In this context, in which the public interest coincided </w:t>
      </w:r>
      <w:r w:rsidR="00B7634A">
        <w:t xml:space="preserve">at times </w:t>
      </w:r>
      <w:r w:rsidR="0011683D">
        <w:t xml:space="preserve">with the interests of the merchant class, bankruptcy was designed to impose stringent measures on insolvent merchants. Hence, </w:t>
      </w:r>
      <w:r w:rsidR="000F0ECA">
        <w:t>bankruptcy</w:t>
      </w:r>
      <w:r w:rsidR="0011683D">
        <w:t xml:space="preserve"> was subject to criminal penalties (such as banishment, arrest and, in some cases, torture or death) or civil penalties such as </w:t>
      </w:r>
      <w:r w:rsidR="00084DF6">
        <w:t xml:space="preserve">the </w:t>
      </w:r>
      <w:r w:rsidR="0011683D">
        <w:t xml:space="preserve">entry of </w:t>
      </w:r>
      <w:r w:rsidR="000F0ECA">
        <w:t>the bankrupt</w:t>
      </w:r>
      <w:r w:rsidR="00DE4D33">
        <w:t>'</w:t>
      </w:r>
      <w:r w:rsidR="000F0ECA">
        <w:t>s</w:t>
      </w:r>
      <w:r w:rsidR="0011683D">
        <w:t xml:space="preserve"> name in a register, forcing bankrupts to wear distinguishing marks (such as a green beret)</w:t>
      </w:r>
      <w:r w:rsidR="00521280">
        <w:t>, loss of citizenship</w:t>
      </w:r>
      <w:r w:rsidR="00F13935">
        <w:t>,</w:t>
      </w:r>
      <w:r w:rsidR="00521280">
        <w:t xml:space="preserve"> and other restrictions (</w:t>
      </w:r>
      <w:r w:rsidR="00FF66D6">
        <w:t xml:space="preserve">see </w:t>
      </w:r>
      <w:r w:rsidR="00521280">
        <w:t>A.</w:t>
      </w:r>
      <w:r w:rsidR="00084DF6">
        <w:t xml:space="preserve"> </w:t>
      </w:r>
      <w:r w:rsidR="00521280">
        <w:t xml:space="preserve">Jorio, </w:t>
      </w:r>
      <w:r w:rsidR="00521280">
        <w:rPr>
          <w:i/>
        </w:rPr>
        <w:t>La crisi d</w:t>
      </w:r>
      <w:r w:rsidR="00DE4D33">
        <w:rPr>
          <w:i/>
        </w:rPr>
        <w:t>'</w:t>
      </w:r>
      <w:r w:rsidR="00521280">
        <w:rPr>
          <w:i/>
        </w:rPr>
        <w:t>impresa, il fallimento</w:t>
      </w:r>
      <w:r w:rsidR="00F13935">
        <w:t xml:space="preserve">, </w:t>
      </w:r>
      <w:r w:rsidR="00521280">
        <w:t>Guiffré, 2000, p.</w:t>
      </w:r>
      <w:r w:rsidR="00084DF6">
        <w:t xml:space="preserve"> </w:t>
      </w:r>
      <w:r w:rsidR="00521280">
        <w:t>364; S.</w:t>
      </w:r>
      <w:r w:rsidR="00F13935">
        <w:t xml:space="preserve"> </w:t>
      </w:r>
      <w:r w:rsidR="00521280">
        <w:t xml:space="preserve">Bonfatti and P.F. Censoni, </w:t>
      </w:r>
      <w:r w:rsidR="00521280">
        <w:rPr>
          <w:i/>
        </w:rPr>
        <w:t>Manuale di diritto fallimentare</w:t>
      </w:r>
      <w:r w:rsidR="00F13935">
        <w:t xml:space="preserve">, </w:t>
      </w:r>
      <w:r w:rsidR="00521280">
        <w:t>Cedam, 2004, pp. 1-2 and 72-73; and L. Guglie</w:t>
      </w:r>
      <w:r w:rsidR="005A4D50">
        <w:t>l</w:t>
      </w:r>
      <w:r w:rsidR="00521280">
        <w:t xml:space="preserve">mucci, </w:t>
      </w:r>
      <w:r w:rsidR="00521280">
        <w:rPr>
          <w:i/>
        </w:rPr>
        <w:t>Lezioni di diritto fallimentare</w:t>
      </w:r>
      <w:r w:rsidR="00F13935">
        <w:t>, G. Giappichelli, Turin</w:t>
      </w:r>
      <w:r w:rsidR="006D6722">
        <w:t>,</w:t>
      </w:r>
      <w:r w:rsidR="00F13935">
        <w:t xml:space="preserve"> 2004</w:t>
      </w:r>
      <w:r w:rsidR="00A04622">
        <w:t>, p. 122).</w:t>
      </w:r>
    </w:p>
    <w:p w:rsidRPr="00BF466A" w:rsidR="00CD49A7" w:rsidP="00DE1FE8" w:rsidRDefault="00CD49A7">
      <w:pPr>
        <w:pStyle w:val="JuHHead"/>
      </w:pPr>
      <w:r w:rsidRPr="00BF466A">
        <w:t>THE LAW</w:t>
      </w:r>
    </w:p>
    <w:p w:rsidRPr="00BF466A" w:rsidR="00CD49A7" w:rsidP="00DE1FE8" w:rsidRDefault="00A04622">
      <w:pPr>
        <w:pStyle w:val="JuHIRoman"/>
      </w:pPr>
      <w:r>
        <w:t>I</w:t>
      </w:r>
      <w:r w:rsidRPr="00BF466A" w:rsidR="00CD49A7">
        <w:t xml:space="preserve">.  ALLEGED VIOLATION OF ARTICLE </w:t>
      </w:r>
      <w:r>
        <w:t>8</w:t>
      </w:r>
      <w:r w:rsidRPr="00BF466A" w:rsidR="00CD49A7">
        <w:t xml:space="preserve"> OF THE CONVENTION</w:t>
      </w:r>
      <w:r>
        <w:t xml:space="preserve"> </w:t>
      </w:r>
      <w:r w:rsidR="00EF0D95">
        <w:br/>
      </w:r>
      <w:r>
        <w:t xml:space="preserve">(AS REGARDS RESPECT FOR </w:t>
      </w:r>
      <w:r w:rsidR="009A4D5E">
        <w:t>THE APPLICANT</w:t>
      </w:r>
      <w:r w:rsidR="00DE4D33">
        <w:t>'</w:t>
      </w:r>
      <w:r w:rsidR="009A4D5E">
        <w:t xml:space="preserve">S </w:t>
      </w:r>
      <w:r>
        <w:t>CORRESPON</w:t>
      </w:r>
      <w:r w:rsidR="00EF0D95">
        <w:t>-</w:t>
      </w:r>
      <w:r w:rsidR="00F13935">
        <w:t>DENCE), ARTICLE 1 OF PROTOCOL No. 1 AND ARTICLE 2 OF PROTOCOL No</w:t>
      </w:r>
      <w:r>
        <w:t>. 4</w:t>
      </w:r>
    </w:p>
    <w:p w:rsidR="00CD49A7" w:rsidP="00DE1FE8" w:rsidRDefault="00A04622">
      <w:pPr>
        <w:pStyle w:val="JuPara"/>
      </w:pPr>
      <w:r>
        <w:fldChar w:fldCharType="begin"/>
      </w:r>
      <w:r>
        <w:instrText xml:space="preserve"> SEQ level0 \*arabic </w:instrText>
      </w:r>
      <w:r>
        <w:fldChar w:fldCharType="separate"/>
      </w:r>
      <w:r w:rsidR="00A72C80">
        <w:rPr>
          <w:noProof/>
        </w:rPr>
        <w:t>23</w:t>
      </w:r>
      <w:r>
        <w:fldChar w:fldCharType="end"/>
      </w:r>
      <w:r>
        <w:t>.  Relying on Article 8 of the Convention, Article 1 of Protocol No. 1 and Article 2 of Protocol No. 4</w:t>
      </w:r>
      <w:r w:rsidR="00EF0D95">
        <w:t xml:space="preserve"> respectively</w:t>
      </w:r>
      <w:r>
        <w:t xml:space="preserve">, the applicant </w:t>
      </w:r>
      <w:r w:rsidR="00137BF1">
        <w:t xml:space="preserve">complained of a violation of </w:t>
      </w:r>
      <w:r w:rsidR="00FF66D6">
        <w:t>her</w:t>
      </w:r>
      <w:r>
        <w:t xml:space="preserve"> right to respect for </w:t>
      </w:r>
      <w:r w:rsidR="00FF66D6">
        <w:t>her</w:t>
      </w:r>
      <w:r>
        <w:t xml:space="preserve"> correspondence and </w:t>
      </w:r>
      <w:r w:rsidR="00B7634A">
        <w:t>her right to the peaceful enjoyment of her possessions</w:t>
      </w:r>
      <w:r w:rsidR="00137BF1">
        <w:t xml:space="preserve">, </w:t>
      </w:r>
      <w:r>
        <w:t xml:space="preserve">and of the restrictions </w:t>
      </w:r>
      <w:r w:rsidR="006E78CC">
        <w:t xml:space="preserve">placed </w:t>
      </w:r>
      <w:r>
        <w:t xml:space="preserve">on </w:t>
      </w:r>
      <w:r w:rsidR="00FF66D6">
        <w:t>her</w:t>
      </w:r>
      <w:r>
        <w:t xml:space="preserve"> freedom of movement</w:t>
      </w:r>
      <w:r w:rsidR="00137BF1">
        <w:t>,</w:t>
      </w:r>
      <w:r>
        <w:t xml:space="preserve"> </w:t>
      </w:r>
      <w:r w:rsidR="00A25CBA">
        <w:t>notably on account of</w:t>
      </w:r>
      <w:r>
        <w:t xml:space="preserve"> the length of the proceedings.</w:t>
      </w:r>
    </w:p>
    <w:p w:rsidR="00A04622" w:rsidP="00DE1FE8" w:rsidRDefault="00A04622">
      <w:pPr>
        <w:pStyle w:val="JuPara"/>
      </w:pPr>
      <w:r>
        <w:fldChar w:fldCharType="begin"/>
      </w:r>
      <w:r>
        <w:instrText xml:space="preserve"> SEQ level0 \*arabic </w:instrText>
      </w:r>
      <w:r>
        <w:fldChar w:fldCharType="separate"/>
      </w:r>
      <w:r w:rsidR="00A72C80">
        <w:rPr>
          <w:noProof/>
        </w:rPr>
        <w:t>24</w:t>
      </w:r>
      <w:r>
        <w:fldChar w:fldCharType="end"/>
      </w:r>
      <w:r>
        <w:t>.  The Articles in question provide:</w:t>
      </w:r>
    </w:p>
    <w:p w:rsidR="00A04622" w:rsidP="00DE1FE8" w:rsidRDefault="00A04622">
      <w:pPr>
        <w:pStyle w:val="JuHArticle"/>
      </w:pPr>
      <w:r>
        <w:t>Article 8 of the Convention</w:t>
      </w:r>
    </w:p>
    <w:p w:rsidR="00A04622" w:rsidP="00DE1FE8" w:rsidRDefault="00A04622">
      <w:pPr>
        <w:pStyle w:val="JuQuot"/>
      </w:pPr>
      <w:r>
        <w:t>“1.  Everyone ha</w:t>
      </w:r>
      <w:r w:rsidR="00F13935">
        <w:t>s the right to respect for his ...</w:t>
      </w:r>
      <w:r>
        <w:t xml:space="preserve"> correspondence.</w:t>
      </w:r>
    </w:p>
    <w:p w:rsidR="00A04622" w:rsidP="00DE1FE8" w:rsidRDefault="00A04622">
      <w:pPr>
        <w:pStyle w:val="JuQuot"/>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A04622" w:rsidP="00DE1FE8" w:rsidRDefault="00A04622">
      <w:pPr>
        <w:pStyle w:val="JuHArticle"/>
      </w:pPr>
      <w:r>
        <w:t>Article 1 of Protocol No. 1</w:t>
      </w:r>
    </w:p>
    <w:p w:rsidR="00A04622" w:rsidP="00DE1FE8" w:rsidRDefault="00A04622">
      <w:pPr>
        <w:pStyle w:val="JuQuot"/>
      </w:pPr>
      <w: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00A04622" w:rsidP="00DE1FE8" w:rsidRDefault="00A04622">
      <w:pPr>
        <w:pStyle w:val="JuQuot"/>
      </w:pPr>
      <w: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006E78CC" w:rsidP="00DE1FE8" w:rsidRDefault="006E78CC">
      <w:pPr>
        <w:pStyle w:val="JuHArticle"/>
      </w:pPr>
      <w:r>
        <w:t>Article 2 of Protocol No. 4</w:t>
      </w:r>
    </w:p>
    <w:p w:rsidR="006E78CC" w:rsidP="00DE1FE8" w:rsidRDefault="006E78CC">
      <w:pPr>
        <w:pStyle w:val="JuQuot"/>
      </w:pPr>
      <w:r>
        <w:t>“1.  Everyone lawfully within the territory of a State shall, within that territory, have the right to liberty of movement and freedom to choose his residence.</w:t>
      </w:r>
    </w:p>
    <w:p w:rsidR="006E78CC" w:rsidP="00DE1FE8" w:rsidRDefault="006E78CC">
      <w:pPr>
        <w:pStyle w:val="JuQuot"/>
      </w:pPr>
      <w:r>
        <w:t>2.  Everyone shall be free to leave any country, including his own.</w:t>
      </w:r>
    </w:p>
    <w:p w:rsidR="006E78CC" w:rsidP="00DE1FE8" w:rsidRDefault="006E78CC">
      <w:pPr>
        <w:pStyle w:val="JuQuot"/>
      </w:pPr>
      <w:r>
        <w:t xml:space="preserve">3.  No restrictions shall be placed on the exercise of these rights other than such as are in accordance with law and are necessary in a democratic society in the interests of national security or public safety, for the maintenance of </w:t>
      </w:r>
      <w:r w:rsidRPr="00F13935">
        <w:rPr>
          <w:i/>
        </w:rPr>
        <w:t>ordre public</w:t>
      </w:r>
      <w:r>
        <w:t>, for the prevention of crime, for the protection of health or morals, or for the protection of the rights and freedoms of others.</w:t>
      </w:r>
    </w:p>
    <w:p w:rsidR="006E78CC" w:rsidP="00DE1FE8" w:rsidRDefault="00F13935">
      <w:pPr>
        <w:pStyle w:val="JuQuot"/>
      </w:pPr>
      <w:r>
        <w:t>...</w:t>
      </w:r>
      <w:r w:rsidR="006E78CC">
        <w:t>”</w:t>
      </w:r>
    </w:p>
    <w:p w:rsidR="0046021F" w:rsidP="00DE1FE8" w:rsidRDefault="0046021F">
      <w:pPr>
        <w:pStyle w:val="JuHA"/>
      </w:pPr>
      <w:r>
        <w:t>A.  Admissibility</w:t>
      </w:r>
    </w:p>
    <w:p w:rsidR="0046021F" w:rsidP="00DE1FE8" w:rsidRDefault="0046021F">
      <w:pPr>
        <w:pStyle w:val="JuPara"/>
      </w:pPr>
      <w:r>
        <w:fldChar w:fldCharType="begin"/>
      </w:r>
      <w:r>
        <w:instrText xml:space="preserve"> SEQ level0 \*arabic </w:instrText>
      </w:r>
      <w:r>
        <w:fldChar w:fldCharType="separate"/>
      </w:r>
      <w:r w:rsidR="00A72C80">
        <w:rPr>
          <w:noProof/>
        </w:rPr>
        <w:t>25</w:t>
      </w:r>
      <w:r>
        <w:fldChar w:fldCharType="end"/>
      </w:r>
      <w:r>
        <w:t xml:space="preserve">.  The Government </w:t>
      </w:r>
      <w:r w:rsidR="00B7634A">
        <w:t>submitted</w:t>
      </w:r>
      <w:r>
        <w:t xml:space="preserve"> first of all </w:t>
      </w:r>
      <w:r w:rsidR="00FF66D6">
        <w:t>that the applicant had failed to exhaust domestic remedies. As her complaints related to the length of the proceedings</w:t>
      </w:r>
      <w:r w:rsidR="006D0A92">
        <w:t>,</w:t>
      </w:r>
      <w:r w:rsidR="00FF66D6">
        <w:t xml:space="preserve"> she should have lodged an appeal with the relevant appellate court in accordance with </w:t>
      </w:r>
      <w:r w:rsidR="00453E6E">
        <w:t>Law no. 89 of 24 March 2001 – “</w:t>
      </w:r>
      <w:r w:rsidR="00FF66D6">
        <w:t>the Pinto Act</w:t>
      </w:r>
      <w:r w:rsidR="00453E6E">
        <w:t>”</w:t>
      </w:r>
      <w:r w:rsidR="00FF66D6">
        <w:t>.</w:t>
      </w:r>
    </w:p>
    <w:p w:rsidR="00FF66D6" w:rsidP="00DE1FE8" w:rsidRDefault="00FF66D6">
      <w:pPr>
        <w:pStyle w:val="JuPara"/>
      </w:pPr>
      <w:r>
        <w:fldChar w:fldCharType="begin"/>
      </w:r>
      <w:r>
        <w:instrText xml:space="preserve"> SEQ level0 \*arabic </w:instrText>
      </w:r>
      <w:r>
        <w:fldChar w:fldCharType="separate"/>
      </w:r>
      <w:r w:rsidR="00A72C80">
        <w:rPr>
          <w:noProof/>
        </w:rPr>
        <w:t>26</w:t>
      </w:r>
      <w:r>
        <w:fldChar w:fldCharType="end"/>
      </w:r>
      <w:r>
        <w:t xml:space="preserve">.  The Government further </w:t>
      </w:r>
      <w:r w:rsidR="00FE1218">
        <w:t>referred to</w:t>
      </w:r>
      <w:r>
        <w:t xml:space="preserve"> Court of Cassation judgment no.</w:t>
      </w:r>
      <w:r w:rsidR="005D3FD4">
        <w:t> </w:t>
      </w:r>
      <w:r>
        <w:t>362 of 2003</w:t>
      </w:r>
      <w:r w:rsidR="000D0516">
        <w:t xml:space="preserve"> upholding</w:t>
      </w:r>
      <w:r w:rsidR="00952A30">
        <w:t xml:space="preserve"> a Venice Court of Appeal </w:t>
      </w:r>
      <w:r w:rsidR="00FE1218">
        <w:t xml:space="preserve">decision </w:t>
      </w:r>
      <w:r w:rsidR="00952A30">
        <w:t xml:space="preserve">on an appeal </w:t>
      </w:r>
      <w:r w:rsidR="005D3FD4">
        <w:t>under</w:t>
      </w:r>
      <w:r w:rsidR="00952A30">
        <w:t xml:space="preserve"> the Pinto Act </w:t>
      </w:r>
      <w:r w:rsidR="00CF1100">
        <w:t>concerning</w:t>
      </w:r>
      <w:r w:rsidR="00952A30">
        <w:t xml:space="preserve"> the length of bankruptcy proceedings</w:t>
      </w:r>
      <w:r w:rsidR="005D3FD4">
        <w:t>. In its judgment</w:t>
      </w:r>
      <w:r w:rsidR="00453E6E">
        <w:t>,</w:t>
      </w:r>
      <w:r w:rsidR="005D3FD4">
        <w:t xml:space="preserve"> the </w:t>
      </w:r>
      <w:r w:rsidR="000F0ECA">
        <w:t>C</w:t>
      </w:r>
      <w:r w:rsidR="005D3FD4">
        <w:t xml:space="preserve">ourt </w:t>
      </w:r>
      <w:r w:rsidR="000F0ECA">
        <w:t xml:space="preserve">of Cassation </w:t>
      </w:r>
      <w:r w:rsidR="00952A30">
        <w:t xml:space="preserve">had stated that “the non-pecuniary damage </w:t>
      </w:r>
      <w:r w:rsidR="00FE1218">
        <w:t>results</w:t>
      </w:r>
      <w:r w:rsidR="00952A30">
        <w:t xml:space="preserve"> from the </w:t>
      </w:r>
      <w:r w:rsidR="00FE1218">
        <w:t>distress</w:t>
      </w:r>
      <w:r w:rsidR="00952A30">
        <w:t xml:space="preserve"> </w:t>
      </w:r>
      <w:r w:rsidR="003E541D">
        <w:t>suffered by</w:t>
      </w:r>
      <w:r w:rsidR="00952A30">
        <w:t xml:space="preserve"> the </w:t>
      </w:r>
      <w:r w:rsidR="003A751C">
        <w:t>appellant</w:t>
      </w:r>
      <w:r w:rsidR="00952A30">
        <w:t xml:space="preserve"> </w:t>
      </w:r>
      <w:r w:rsidR="000D0516">
        <w:t>owing to</w:t>
      </w:r>
      <w:r w:rsidR="003E541D">
        <w:t xml:space="preserve"> the</w:t>
      </w:r>
      <w:r w:rsidR="00952A30">
        <w:t xml:space="preserve"> </w:t>
      </w:r>
      <w:r w:rsidR="003E541D">
        <w:t xml:space="preserve">fact that </w:t>
      </w:r>
      <w:r w:rsidR="00952A30">
        <w:t xml:space="preserve">his </w:t>
      </w:r>
      <w:r w:rsidR="003E541D">
        <w:t>bankrupt status</w:t>
      </w:r>
      <w:r w:rsidR="005D3FD4">
        <w:t>,</w:t>
      </w:r>
      <w:r w:rsidRPr="005D3FD4" w:rsidR="005D3FD4">
        <w:t xml:space="preserve"> </w:t>
      </w:r>
      <w:r w:rsidR="005D3FD4">
        <w:t>with the attendant restrictions on his freedom of movement, electoral rights and possibility of practising a profession,</w:t>
      </w:r>
      <w:r w:rsidR="003E541D">
        <w:t xml:space="preserve"> continued</w:t>
      </w:r>
      <w:r w:rsidR="00952A30">
        <w:t xml:space="preserve"> beyond </w:t>
      </w:r>
      <w:r w:rsidR="005D3FD4">
        <w:t>the</w:t>
      </w:r>
      <w:r w:rsidR="00952A30">
        <w:t xml:space="preserve"> time </w:t>
      </w:r>
      <w:r w:rsidR="003E541D">
        <w:t xml:space="preserve">which could be considered reasonable </w:t>
      </w:r>
      <w:r w:rsidR="00952A30">
        <w:t>for the proceedings</w:t>
      </w:r>
      <w:r w:rsidR="003E541D">
        <w:t xml:space="preserve">. </w:t>
      </w:r>
      <w:r w:rsidR="00A37AEE">
        <w:t>Compensation</w:t>
      </w:r>
      <w:r w:rsidR="003E541D">
        <w:t xml:space="preserve"> for this damage can be afforded only by means of an equitable assessment which takes account not just of the length of the proceedings but also of the particular nature of the personal rights which were infringed </w:t>
      </w:r>
      <w:r w:rsidR="006D0A92">
        <w:t>wholly</w:t>
      </w:r>
      <w:r w:rsidR="003E541D">
        <w:t xml:space="preserve"> or in part.</w:t>
      </w:r>
      <w:r w:rsidR="00453E6E">
        <w:t>”</w:t>
      </w:r>
    </w:p>
    <w:p w:rsidR="003E541D" w:rsidP="00DE1FE8" w:rsidRDefault="003E541D">
      <w:pPr>
        <w:pStyle w:val="JuPara"/>
      </w:pPr>
      <w:r>
        <w:fldChar w:fldCharType="begin"/>
      </w:r>
      <w:r>
        <w:instrText xml:space="preserve"> SEQ level0 \*arabic </w:instrText>
      </w:r>
      <w:r>
        <w:fldChar w:fldCharType="separate"/>
      </w:r>
      <w:r w:rsidR="00A72C80">
        <w:rPr>
          <w:noProof/>
        </w:rPr>
        <w:t>27</w:t>
      </w:r>
      <w:r>
        <w:fldChar w:fldCharType="end"/>
      </w:r>
      <w:r>
        <w:t>.  The applicant maintained that the Government</w:t>
      </w:r>
      <w:r w:rsidR="00DE4D33">
        <w:t>'</w:t>
      </w:r>
      <w:r>
        <w:t>s observations had been submitted out of time for the purposes of Rule 38 of the Rules of Court.</w:t>
      </w:r>
    </w:p>
    <w:p w:rsidR="003E541D" w:rsidP="00DE1FE8" w:rsidRDefault="003E541D">
      <w:pPr>
        <w:pStyle w:val="JuPara"/>
      </w:pPr>
      <w:r>
        <w:fldChar w:fldCharType="begin"/>
      </w:r>
      <w:r>
        <w:instrText xml:space="preserve"> SEQ level0 \*arabic </w:instrText>
      </w:r>
      <w:r>
        <w:fldChar w:fldCharType="separate"/>
      </w:r>
      <w:r w:rsidR="00A72C80">
        <w:rPr>
          <w:noProof/>
        </w:rPr>
        <w:t>28</w:t>
      </w:r>
      <w:r>
        <w:fldChar w:fldCharType="end"/>
      </w:r>
      <w:r>
        <w:t>.  The Court notes firstly that it set an initial deadline of 9 August 2004 for submission of the Government</w:t>
      </w:r>
      <w:r w:rsidR="00DE4D33">
        <w:t>'</w:t>
      </w:r>
      <w:r>
        <w:t>s observations. At the latter</w:t>
      </w:r>
      <w:r w:rsidR="00DE4D33">
        <w:t>'</w:t>
      </w:r>
      <w:r>
        <w:t>s request, it subsequently extended the deadline until 17 September 2004</w:t>
      </w:r>
      <w:r w:rsidR="00A37AEE">
        <w:t>. The Government</w:t>
      </w:r>
      <w:r w:rsidR="00DE4D33">
        <w:t>'</w:t>
      </w:r>
      <w:r w:rsidR="00A37AEE">
        <w:t>s observations were sent on that date.</w:t>
      </w:r>
    </w:p>
    <w:p w:rsidR="00A37AEE" w:rsidP="00DE1FE8" w:rsidRDefault="00A37AEE">
      <w:pPr>
        <w:pStyle w:val="JuPara"/>
      </w:pPr>
      <w:r>
        <w:fldChar w:fldCharType="begin"/>
      </w:r>
      <w:r>
        <w:instrText xml:space="preserve"> SEQ level0 \*arabic </w:instrText>
      </w:r>
      <w:r>
        <w:fldChar w:fldCharType="separate"/>
      </w:r>
      <w:r w:rsidR="00A72C80">
        <w:rPr>
          <w:noProof/>
        </w:rPr>
        <w:t>29</w:t>
      </w:r>
      <w:r>
        <w:fldChar w:fldCharType="end"/>
      </w:r>
      <w:r>
        <w:t>.  Secondly, it observes that</w:t>
      </w:r>
      <w:r w:rsidRPr="000D0516" w:rsidR="000D0516">
        <w:t xml:space="preserve"> </w:t>
      </w:r>
      <w:r w:rsidR="000D0516">
        <w:t>the Court of Cassation</w:t>
      </w:r>
      <w:r>
        <w:t xml:space="preserve">, in </w:t>
      </w:r>
      <w:r w:rsidR="001A5261">
        <w:t xml:space="preserve">its </w:t>
      </w:r>
      <w:r>
        <w:t>judgment no.</w:t>
      </w:r>
      <w:r w:rsidR="000D0516">
        <w:t> </w:t>
      </w:r>
      <w:r>
        <w:t xml:space="preserve">362 of 2003 </w:t>
      </w:r>
      <w:r w:rsidR="006B38A9">
        <w:t xml:space="preserve">deposited </w:t>
      </w:r>
      <w:r w:rsidR="00453E6E">
        <w:t>with</w:t>
      </w:r>
      <w:r>
        <w:t xml:space="preserve"> the registry on 14 January 2003, acknowledged </w:t>
      </w:r>
      <w:r w:rsidR="00453E6E">
        <w:t xml:space="preserve">for the first time </w:t>
      </w:r>
      <w:r>
        <w:t xml:space="preserve">that compensation for non-pecuniary damage resulting from the length of bankruptcy proceedings must take into account, </w:t>
      </w:r>
      <w:r>
        <w:rPr>
          <w:i/>
        </w:rPr>
        <w:t>inter alia</w:t>
      </w:r>
      <w:r>
        <w:t xml:space="preserve">, the </w:t>
      </w:r>
      <w:r w:rsidR="00771915">
        <w:t>prolongation</w:t>
      </w:r>
      <w:r>
        <w:t xml:space="preserve"> of the restrictions arising out of the person</w:t>
      </w:r>
      <w:r w:rsidR="00DE4D33">
        <w:t>'</w:t>
      </w:r>
      <w:r>
        <w:t>s bankrupt status.</w:t>
      </w:r>
    </w:p>
    <w:p w:rsidR="00A37AEE" w:rsidP="00DE1FE8" w:rsidRDefault="00A37AEE">
      <w:pPr>
        <w:pStyle w:val="JuPara"/>
      </w:pPr>
      <w:r>
        <w:fldChar w:fldCharType="begin"/>
      </w:r>
      <w:r>
        <w:instrText xml:space="preserve"> SEQ level0 \*arabic </w:instrText>
      </w:r>
      <w:r>
        <w:fldChar w:fldCharType="separate"/>
      </w:r>
      <w:r w:rsidR="00A72C80">
        <w:rPr>
          <w:noProof/>
        </w:rPr>
        <w:t>30</w:t>
      </w:r>
      <w:r>
        <w:fldChar w:fldCharType="end"/>
      </w:r>
      <w:r>
        <w:t>.  </w:t>
      </w:r>
      <w:r w:rsidR="00301B31">
        <w:t>A</w:t>
      </w:r>
      <w:r>
        <w:t xml:space="preserve">s to the complaint under Article 1 of Protocol No. 1, the Court </w:t>
      </w:r>
      <w:r w:rsidR="00301B31">
        <w:t>points out</w:t>
      </w:r>
      <w:r>
        <w:t xml:space="preserve"> that in </w:t>
      </w:r>
      <w:r w:rsidR="008C6D25">
        <w:rPr>
          <w:i/>
        </w:rPr>
        <w:t>Mascolo v. Italy</w:t>
      </w:r>
      <w:r w:rsidR="008C6D25">
        <w:t xml:space="preserve"> </w:t>
      </w:r>
      <w:r w:rsidR="00EF0D95">
        <w:t>(</w:t>
      </w:r>
      <w:r w:rsidR="008C6D25">
        <w:t>(dec.</w:t>
      </w:r>
      <w:r w:rsidR="005D3FD4">
        <w:t>),</w:t>
      </w:r>
      <w:r w:rsidR="00453E6E">
        <w:t xml:space="preserve"> no. 68792/01, 16 </w:t>
      </w:r>
      <w:r w:rsidR="008C6D25">
        <w:t>October 2003</w:t>
      </w:r>
      <w:r w:rsidR="00EF0D95">
        <w:t>)</w:t>
      </w:r>
      <w:r w:rsidR="008C6D25">
        <w:t xml:space="preserve"> it </w:t>
      </w:r>
      <w:r w:rsidR="006D0A92">
        <w:t>found</w:t>
      </w:r>
      <w:r w:rsidR="008C6D25">
        <w:t xml:space="preserve"> that the violation of the applicant</w:t>
      </w:r>
      <w:r w:rsidR="00DE4D33">
        <w:t>'</w:t>
      </w:r>
      <w:r w:rsidR="008C6D25">
        <w:t>s right of property had been “linked specifically to the length of the proceedings, of which it [was] a</w:t>
      </w:r>
      <w:r w:rsidR="00E858FB">
        <w:t>n in</w:t>
      </w:r>
      <w:r w:rsidR="008C6D25">
        <w:t>direct consequence</w:t>
      </w:r>
      <w:r w:rsidR="00E858FB">
        <w:t xml:space="preserve">” and that </w:t>
      </w:r>
      <w:r w:rsidR="00FF18FB">
        <w:t xml:space="preserve">therefore </w:t>
      </w:r>
      <w:r w:rsidR="00FC7E11">
        <w:t>“</w:t>
      </w:r>
      <w:r w:rsidR="00FF18FB">
        <w:t>the same</w:t>
      </w:r>
      <w:r w:rsidR="00971812">
        <w:t xml:space="preserve"> remedy under the Pinto Act provide[d] the most likely means by which </w:t>
      </w:r>
      <w:r w:rsidR="00FC7E11">
        <w:t xml:space="preserve">applicants [could] </w:t>
      </w:r>
      <w:r w:rsidR="00DB49D5">
        <w:t>raise their claims</w:t>
      </w:r>
      <w:r w:rsidR="00E858FB">
        <w:t xml:space="preserve"> concerning the financial </w:t>
      </w:r>
      <w:r w:rsidR="00FC7E11">
        <w:t>effects</w:t>
      </w:r>
      <w:r w:rsidR="00E858FB">
        <w:t xml:space="preserve"> of the excessive length of the proceedings on their right of property”. </w:t>
      </w:r>
      <w:r w:rsidR="00301B31">
        <w:t>Furthermor</w:t>
      </w:r>
      <w:r w:rsidR="00DB49D5">
        <w:t>e</w:t>
      </w:r>
      <w:r w:rsidR="00E858FB">
        <w:t xml:space="preserve">, in </w:t>
      </w:r>
      <w:r w:rsidR="00E858FB">
        <w:rPr>
          <w:i/>
        </w:rPr>
        <w:t xml:space="preserve">Provvedi v. Italy </w:t>
      </w:r>
      <w:r w:rsidR="00453E6E">
        <w:t>(</w:t>
      </w:r>
      <w:r w:rsidR="00E858FB">
        <w:t>(dec.), no. 66644/01, 2 December 2004</w:t>
      </w:r>
      <w:r w:rsidR="00453E6E">
        <w:t>)</w:t>
      </w:r>
      <w:r w:rsidR="00E858FB">
        <w:t xml:space="preserve">, the Court </w:t>
      </w:r>
      <w:r w:rsidR="00FF18FB">
        <w:t>found</w:t>
      </w:r>
      <w:r w:rsidR="00E858FB">
        <w:t xml:space="preserve"> that “an action under the </w:t>
      </w:r>
      <w:r w:rsidR="00DE4D33">
        <w:t>'</w:t>
      </w:r>
      <w:r w:rsidR="00E858FB">
        <w:t>Pinto Act</w:t>
      </w:r>
      <w:r w:rsidR="00DE4D33">
        <w:t>'</w:t>
      </w:r>
      <w:r w:rsidR="00E858FB">
        <w:t xml:space="preserve"> constitutes a remedy of which applicants must avail themselves</w:t>
      </w:r>
      <w:r w:rsidR="00453E6E">
        <w:t xml:space="preserve"> ...</w:t>
      </w:r>
      <w:r w:rsidRPr="00DB49D5" w:rsidR="00DB49D5">
        <w:t xml:space="preserve"> </w:t>
      </w:r>
      <w:r w:rsidR="00DB49D5">
        <w:t>in order to satisfy the requirements of Article 35 § 1 of the Convention, not only in respect of allegations under Article 6 § 1 but also in respect of those under Article 1 of Protocol No. 1</w:t>
      </w:r>
      <w:r w:rsidR="00E858FB">
        <w:t>”.</w:t>
      </w:r>
    </w:p>
    <w:p w:rsidR="00FD5103" w:rsidP="00DE1FE8" w:rsidRDefault="00FD5103">
      <w:pPr>
        <w:pStyle w:val="JuPara"/>
      </w:pPr>
      <w:r>
        <w:fldChar w:fldCharType="begin"/>
      </w:r>
      <w:r>
        <w:instrText xml:space="preserve"> SEQ level0 \*arabic </w:instrText>
      </w:r>
      <w:r>
        <w:fldChar w:fldCharType="separate"/>
      </w:r>
      <w:r w:rsidR="00A72C80">
        <w:rPr>
          <w:noProof/>
        </w:rPr>
        <w:t>31</w:t>
      </w:r>
      <w:r>
        <w:fldChar w:fldCharType="end"/>
      </w:r>
      <w:r>
        <w:t xml:space="preserve">.  The Court reiterates its </w:t>
      </w:r>
      <w:r w:rsidR="003A751C">
        <w:t xml:space="preserve">previous </w:t>
      </w:r>
      <w:r>
        <w:t xml:space="preserve">finding that, </w:t>
      </w:r>
      <w:r w:rsidR="00B11A00">
        <w:t>from</w:t>
      </w:r>
      <w:r>
        <w:t xml:space="preserve"> 14 July 2003</w:t>
      </w:r>
      <w:r w:rsidR="00B11A00">
        <w:t xml:space="preserve"> onwards</w:t>
      </w:r>
      <w:r>
        <w:t xml:space="preserve">, the public should have been aware of </w:t>
      </w:r>
      <w:r w:rsidR="00FF18FB">
        <w:t xml:space="preserve">the existence of </w:t>
      </w:r>
      <w:r>
        <w:t>judgment no. 362 of 2003</w:t>
      </w:r>
      <w:r w:rsidR="0007096F">
        <w:t>,</w:t>
      </w:r>
      <w:r>
        <w:t xml:space="preserve"> and that </w:t>
      </w:r>
      <w:r w:rsidR="0007096F">
        <w:t xml:space="preserve">it was </w:t>
      </w:r>
      <w:r>
        <w:t xml:space="preserve">from that </w:t>
      </w:r>
      <w:r w:rsidR="00B11A00">
        <w:t>point on</w:t>
      </w:r>
      <w:r w:rsidR="0007096F">
        <w:t xml:space="preserve"> that</w:t>
      </w:r>
      <w:r>
        <w:t xml:space="preserve"> </w:t>
      </w:r>
      <w:r w:rsidR="00B11A00">
        <w:t xml:space="preserve">applicants should be required </w:t>
      </w:r>
      <w:r>
        <w:t xml:space="preserve">to avail themselves of </w:t>
      </w:r>
      <w:r w:rsidR="00301B31">
        <w:t>the</w:t>
      </w:r>
      <w:r>
        <w:t xml:space="preserve"> remedy </w:t>
      </w:r>
      <w:r w:rsidR="00301B31">
        <w:t xml:space="preserve">in question </w:t>
      </w:r>
      <w:r>
        <w:t xml:space="preserve">for the purposes of Article 35 § 1 of the Convention (see </w:t>
      </w:r>
      <w:r>
        <w:rPr>
          <w:i/>
        </w:rPr>
        <w:t>Sgattoni v. Italy</w:t>
      </w:r>
      <w:r>
        <w:t>, no. 77132/01</w:t>
      </w:r>
      <w:r w:rsidR="00FC7E11">
        <w:t>,</w:t>
      </w:r>
      <w:r>
        <w:t xml:space="preserve"> § 48, 6</w:t>
      </w:r>
      <w:r w:rsidR="00222E1E">
        <w:t> </w:t>
      </w:r>
      <w:r>
        <w:t>October 2005</w:t>
      </w:r>
      <w:r w:rsidR="00301B31">
        <w:t>)</w:t>
      </w:r>
      <w:r>
        <w:t>.</w:t>
      </w:r>
    </w:p>
    <w:p w:rsidR="00FD5103" w:rsidP="00DE1FE8" w:rsidRDefault="00FD5103">
      <w:pPr>
        <w:pStyle w:val="JuPara"/>
      </w:pPr>
      <w:r>
        <w:fldChar w:fldCharType="begin"/>
      </w:r>
      <w:r>
        <w:instrText xml:space="preserve"> SEQ level0 \*arabic </w:instrText>
      </w:r>
      <w:r>
        <w:fldChar w:fldCharType="separate"/>
      </w:r>
      <w:r w:rsidR="00A72C80">
        <w:rPr>
          <w:noProof/>
        </w:rPr>
        <w:t>32</w:t>
      </w:r>
      <w:r>
        <w:fldChar w:fldCharType="end"/>
      </w:r>
      <w:r>
        <w:t xml:space="preserve">.  The Court notes that the decision terminating the bankruptcy proceedings became final on 7 April 2001, fifteen days after it had been </w:t>
      </w:r>
      <w:r w:rsidR="00453E6E">
        <w:t>posted in</w:t>
      </w:r>
      <w:r>
        <w:t xml:space="preserve"> the </w:t>
      </w:r>
      <w:r w:rsidR="00453E6E">
        <w:t>D</w:t>
      </w:r>
      <w:r>
        <w:t xml:space="preserve">istrict </w:t>
      </w:r>
      <w:r w:rsidR="00453E6E">
        <w:t>C</w:t>
      </w:r>
      <w:r>
        <w:t xml:space="preserve">ourt, in accordance with </w:t>
      </w:r>
      <w:r w:rsidR="00301B31">
        <w:t>s</w:t>
      </w:r>
      <w:r>
        <w:t>ection 119 of the Bankruptcy Act. The applicant</w:t>
      </w:r>
      <w:r w:rsidR="00FF18FB">
        <w:t xml:space="preserve"> had six months from that date, that is, until 7 October 2001, to </w:t>
      </w:r>
      <w:r>
        <w:t xml:space="preserve">lodge an appeal </w:t>
      </w:r>
      <w:r w:rsidR="00FF18FB">
        <w:t>under</w:t>
      </w:r>
      <w:r>
        <w:t xml:space="preserve"> the Pinto Act.</w:t>
      </w:r>
    </w:p>
    <w:p w:rsidR="00FD5103" w:rsidP="00DE1FE8" w:rsidRDefault="00FD5103">
      <w:pPr>
        <w:pStyle w:val="JuPara"/>
      </w:pPr>
      <w:r>
        <w:fldChar w:fldCharType="begin"/>
      </w:r>
      <w:r>
        <w:instrText xml:space="preserve"> SEQ level0 \*arabic </w:instrText>
      </w:r>
      <w:r>
        <w:fldChar w:fldCharType="separate"/>
      </w:r>
      <w:r w:rsidR="00A72C80">
        <w:rPr>
          <w:noProof/>
        </w:rPr>
        <w:t>33</w:t>
      </w:r>
      <w:r>
        <w:fldChar w:fldCharType="end"/>
      </w:r>
      <w:r>
        <w:t>.  In view of the above considerations</w:t>
      </w:r>
      <w:r w:rsidR="00453E6E">
        <w:t>,</w:t>
      </w:r>
      <w:r>
        <w:t xml:space="preserve"> the Court observes that, </w:t>
      </w:r>
      <w:r w:rsidR="00E41408">
        <w:t>at that time, the applicant could not have complained effectively of the restrictions arising out of her bankruptcy</w:t>
      </w:r>
      <w:r w:rsidR="00EF0D95">
        <w:t>,</w:t>
      </w:r>
      <w:r w:rsidR="00E41408">
        <w:t xml:space="preserve"> </w:t>
      </w:r>
      <w:r w:rsidR="00B11A00">
        <w:t>notably on account</w:t>
      </w:r>
      <w:r w:rsidR="00211B9E">
        <w:t xml:space="preserve"> </w:t>
      </w:r>
      <w:r w:rsidR="00E41408">
        <w:t xml:space="preserve">of the length of the proceedings. </w:t>
      </w:r>
      <w:r w:rsidR="00211B9E">
        <w:t>T</w:t>
      </w:r>
      <w:r w:rsidR="00E41408">
        <w:t>he Government</w:t>
      </w:r>
      <w:r w:rsidR="00DE4D33">
        <w:t>'</w:t>
      </w:r>
      <w:r w:rsidR="00E41408">
        <w:t xml:space="preserve">s preliminary objection should </w:t>
      </w:r>
      <w:r w:rsidR="00211B9E">
        <w:t xml:space="preserve">therefore </w:t>
      </w:r>
      <w:r w:rsidR="00E41408">
        <w:t xml:space="preserve">be dismissed (see </w:t>
      </w:r>
      <w:r w:rsidR="00E41408">
        <w:rPr>
          <w:i/>
        </w:rPr>
        <w:t>Sgattoni</w:t>
      </w:r>
      <w:r w:rsidR="00E41408">
        <w:t>, cited above, §§ 44-49).</w:t>
      </w:r>
    </w:p>
    <w:p w:rsidRPr="00E41408" w:rsidR="00E41408" w:rsidP="00DE1FE8" w:rsidRDefault="00E41408">
      <w:pPr>
        <w:pStyle w:val="JuPara"/>
      </w:pPr>
      <w:r>
        <w:fldChar w:fldCharType="begin"/>
      </w:r>
      <w:r>
        <w:instrText xml:space="preserve"> SEQ level0 \*arabic </w:instrText>
      </w:r>
      <w:r>
        <w:fldChar w:fldCharType="separate"/>
      </w:r>
      <w:r w:rsidR="00A72C80">
        <w:rPr>
          <w:noProof/>
        </w:rPr>
        <w:t>34</w:t>
      </w:r>
      <w:r>
        <w:fldChar w:fldCharType="end"/>
      </w:r>
      <w:r>
        <w:t>.  The Court notes that this part of the application is not manifestly ill</w:t>
      </w:r>
      <w:r>
        <w:noBreakHyphen/>
        <w:t xml:space="preserve">founded within the meaning of Article 35 § 3 of the Convention. </w:t>
      </w:r>
      <w:r w:rsidR="00211B9E">
        <w:t>N</w:t>
      </w:r>
      <w:r>
        <w:t>o other ground for declaring it inadmissible has been established</w:t>
      </w:r>
      <w:r w:rsidR="00211B9E">
        <w:t>.</w:t>
      </w:r>
      <w:r>
        <w:t xml:space="preserve"> </w:t>
      </w:r>
      <w:r w:rsidR="00211B9E">
        <w:t>I</w:t>
      </w:r>
      <w:r>
        <w:t xml:space="preserve">t </w:t>
      </w:r>
      <w:r w:rsidR="003F538B">
        <w:t>must</w:t>
      </w:r>
      <w:r>
        <w:t xml:space="preserve"> therefore be declared admissible.</w:t>
      </w:r>
    </w:p>
    <w:p w:rsidRPr="00BF466A" w:rsidR="00CD49A7" w:rsidP="00DE1FE8" w:rsidRDefault="00CD49A7">
      <w:pPr>
        <w:pStyle w:val="JuHA"/>
      </w:pPr>
      <w:r w:rsidRPr="00BF466A">
        <w:t>B.  </w:t>
      </w:r>
      <w:r w:rsidR="00E41408">
        <w:t>Merits</w:t>
      </w:r>
    </w:p>
    <w:p w:rsidR="00CD49A7" w:rsidP="00DE1FE8" w:rsidRDefault="00E41408">
      <w:pPr>
        <w:pStyle w:val="JuPara"/>
      </w:pPr>
      <w:r>
        <w:fldChar w:fldCharType="begin"/>
      </w:r>
      <w:r>
        <w:instrText xml:space="preserve"> SEQ level0 \*arabic </w:instrText>
      </w:r>
      <w:r>
        <w:fldChar w:fldCharType="separate"/>
      </w:r>
      <w:r w:rsidR="00A72C80">
        <w:rPr>
          <w:noProof/>
        </w:rPr>
        <w:t>35</w:t>
      </w:r>
      <w:r>
        <w:fldChar w:fldCharType="end"/>
      </w:r>
      <w:r>
        <w:t>.  </w:t>
      </w:r>
      <w:r w:rsidR="003F538B">
        <w:t>The Government considered that the restrictions imposed on the applicant</w:t>
      </w:r>
      <w:r w:rsidR="00DE4D33">
        <w:t>'</w:t>
      </w:r>
      <w:r w:rsidR="003F538B">
        <w:t>s right to the peaceful enjoyment of her possessions</w:t>
      </w:r>
      <w:r w:rsidR="004548E7">
        <w:t>, her right</w:t>
      </w:r>
      <w:r w:rsidR="00A95FEE">
        <w:t xml:space="preserve"> </w:t>
      </w:r>
      <w:r w:rsidR="004548E7">
        <w:t>to</w:t>
      </w:r>
      <w:r w:rsidR="003F538B">
        <w:t xml:space="preserve"> respect for her correspondence and</w:t>
      </w:r>
      <w:r w:rsidR="00A95FEE">
        <w:t xml:space="preserve"> her</w:t>
      </w:r>
      <w:r w:rsidR="003F538B">
        <w:t xml:space="preserve"> freedom of movement were proportionate to the need to protect her creditors.</w:t>
      </w:r>
    </w:p>
    <w:p w:rsidR="003F538B" w:rsidP="00DE1FE8" w:rsidRDefault="003F538B">
      <w:pPr>
        <w:pStyle w:val="JuPara"/>
      </w:pPr>
      <w:r>
        <w:fldChar w:fldCharType="begin"/>
      </w:r>
      <w:r>
        <w:instrText xml:space="preserve"> SEQ level0 \*arabic </w:instrText>
      </w:r>
      <w:r>
        <w:fldChar w:fldCharType="separate"/>
      </w:r>
      <w:r w:rsidR="00A72C80">
        <w:rPr>
          <w:noProof/>
        </w:rPr>
        <w:t>36</w:t>
      </w:r>
      <w:r>
        <w:fldChar w:fldCharType="end"/>
      </w:r>
      <w:r>
        <w:t>.  The</w:t>
      </w:r>
      <w:r w:rsidR="004548E7">
        <w:t>y</w:t>
      </w:r>
      <w:r>
        <w:t xml:space="preserve"> observed that, in any event, the </w:t>
      </w:r>
      <w:r w:rsidR="006656DC">
        <w:t xml:space="preserve">duration of the </w:t>
      </w:r>
      <w:r>
        <w:t>bankruptcy proceedings</w:t>
      </w:r>
      <w:r w:rsidR="006656DC">
        <w:t>, namely</w:t>
      </w:r>
      <w:r>
        <w:t xml:space="preserve"> three years and nine months, could not be considered excessive.</w:t>
      </w:r>
    </w:p>
    <w:p w:rsidR="003F538B" w:rsidP="00DE1FE8" w:rsidRDefault="003F538B">
      <w:pPr>
        <w:pStyle w:val="JuPara"/>
      </w:pPr>
      <w:r>
        <w:fldChar w:fldCharType="begin"/>
      </w:r>
      <w:r>
        <w:instrText xml:space="preserve"> SEQ level0 \*arabic </w:instrText>
      </w:r>
      <w:r>
        <w:fldChar w:fldCharType="separate"/>
      </w:r>
      <w:r w:rsidR="00A72C80">
        <w:rPr>
          <w:noProof/>
        </w:rPr>
        <w:t>37</w:t>
      </w:r>
      <w:r>
        <w:fldChar w:fldCharType="end"/>
      </w:r>
      <w:r>
        <w:t>.  </w:t>
      </w:r>
      <w:r w:rsidR="00B11A00">
        <w:t>In the applicant</w:t>
      </w:r>
      <w:r w:rsidR="00DE4D33">
        <w:t>'</w:t>
      </w:r>
      <w:r w:rsidR="00B11A00">
        <w:t>s submission,</w:t>
      </w:r>
      <w:r>
        <w:t xml:space="preserve"> the application related not to the length of the proceedings but to the disproportionate nature of the State</w:t>
      </w:r>
      <w:r w:rsidR="00DE4D33">
        <w:t>'</w:t>
      </w:r>
      <w:r>
        <w:t>s interference with her right to</w:t>
      </w:r>
      <w:r w:rsidR="00264975">
        <w:t xml:space="preserve"> respect for her correspondence</w:t>
      </w:r>
      <w:r w:rsidR="00211B9E">
        <w:t>,</w:t>
      </w:r>
      <w:r w:rsidR="00264975">
        <w:t xml:space="preserve"> her right to the peaceful enjoyment of her possessions and her freedom of movement, </w:t>
      </w:r>
      <w:r w:rsidR="00590073">
        <w:t>notably on account of</w:t>
      </w:r>
      <w:r w:rsidR="00264975">
        <w:t xml:space="preserve"> the proceedings.</w:t>
      </w:r>
    </w:p>
    <w:p w:rsidR="00264975" w:rsidP="00DE1FE8" w:rsidRDefault="00264975">
      <w:pPr>
        <w:pStyle w:val="JuPara"/>
        <w:rPr>
          <w:lang w:eastAsia="en-US"/>
        </w:rPr>
      </w:pPr>
      <w:r>
        <w:fldChar w:fldCharType="begin"/>
      </w:r>
      <w:r>
        <w:instrText xml:space="preserve"> SEQ level0 \*arabic </w:instrText>
      </w:r>
      <w:r>
        <w:fldChar w:fldCharType="separate"/>
      </w:r>
      <w:r w:rsidR="00A72C80">
        <w:rPr>
          <w:noProof/>
        </w:rPr>
        <w:t>38</w:t>
      </w:r>
      <w:r>
        <w:fldChar w:fldCharType="end"/>
      </w:r>
      <w:r>
        <w:t xml:space="preserve">.  The Court observes that the bankruptcy proceedings commenced on 30 June 1997 and </w:t>
      </w:r>
      <w:r w:rsidR="00A95FEE">
        <w:t>ended</w:t>
      </w:r>
      <w:r>
        <w:t xml:space="preserve"> on 20 March 2001, the date on which the decision terminating the proceedings was </w:t>
      </w:r>
      <w:r w:rsidR="004548E7">
        <w:t xml:space="preserve">deposited </w:t>
      </w:r>
      <w:r w:rsidR="00453E6E">
        <w:t>with</w:t>
      </w:r>
      <w:r>
        <w:t xml:space="preserve"> the registry. They therefore lasted for over three years and eight months. In the Court</w:t>
      </w:r>
      <w:r w:rsidR="00DE4D33">
        <w:t>'</w:t>
      </w:r>
      <w:r>
        <w:t xml:space="preserve">s view, this length of time did not </w:t>
      </w:r>
      <w:r w:rsidR="00594D71">
        <w:t>upset</w:t>
      </w:r>
      <w:r>
        <w:t xml:space="preserve"> the balance to be struck between the general interest in ensuring that the applicant</w:t>
      </w:r>
      <w:r w:rsidR="00DE4D33">
        <w:t>'</w:t>
      </w:r>
      <w:r>
        <w:t>s creditors were paid and the applicant</w:t>
      </w:r>
      <w:r w:rsidR="00DE4D33">
        <w:t>'</w:t>
      </w:r>
      <w:r>
        <w:t xml:space="preserve">s interest in securing respect for her correspondence, the peaceful enjoyment of her possessions and </w:t>
      </w:r>
      <w:r w:rsidR="00CF1C0B">
        <w:t xml:space="preserve">her </w:t>
      </w:r>
      <w:r>
        <w:t xml:space="preserve">freedom of movement, </w:t>
      </w:r>
      <w:r w:rsidR="00594D71">
        <w:t xml:space="preserve">particularly in view of the fact that the Court sees no evidence of any delay on the part of the judicial authorities in dealing with the case (see, </w:t>
      </w:r>
      <w:r w:rsidR="00594D71">
        <w:rPr>
          <w:i/>
        </w:rPr>
        <w:t>mutatis mutandis</w:t>
      </w:r>
      <w:r w:rsidR="00594D71">
        <w:t xml:space="preserve">, </w:t>
      </w:r>
      <w:r w:rsidR="00453E6E">
        <w:rPr>
          <w:i/>
          <w:lang w:eastAsia="en-US"/>
        </w:rPr>
        <w:t xml:space="preserve">Luordo </w:t>
      </w:r>
      <w:r w:rsidRPr="00594D71" w:rsidR="00594D71">
        <w:rPr>
          <w:i/>
          <w:lang w:eastAsia="en-US"/>
        </w:rPr>
        <w:t xml:space="preserve">v. </w:t>
      </w:r>
      <w:smartTag w:uri="urn:schemas-microsoft-com:office:smarttags" w:element="place">
        <w:smartTag w:uri="urn:schemas-microsoft-com:office:smarttags" w:element="country-region">
          <w:r w:rsidR="00594D71" w:rsidRPr="00594D71">
            <w:rPr>
              <w:i/>
              <w:lang w:eastAsia="en-US"/>
            </w:rPr>
            <w:t>Italy</w:t>
          </w:r>
        </w:smartTag>
      </w:smartTag>
      <w:r w:rsidRPr="00594D71" w:rsidR="00594D71">
        <w:rPr>
          <w:lang w:eastAsia="en-US"/>
        </w:rPr>
        <w:t>,</w:t>
      </w:r>
      <w:r w:rsidRPr="00594D71" w:rsidR="00594D71">
        <w:rPr>
          <w:i/>
          <w:lang w:eastAsia="en-US"/>
        </w:rPr>
        <w:t xml:space="preserve"> </w:t>
      </w:r>
      <w:r w:rsidRPr="00594D71" w:rsidR="00594D71">
        <w:rPr>
          <w:lang w:eastAsia="en-US"/>
        </w:rPr>
        <w:t>no. 32190/96, ECHR 2003</w:t>
      </w:r>
      <w:r w:rsidRPr="00594D71" w:rsidR="00594D71">
        <w:rPr>
          <w:lang w:eastAsia="en-US"/>
        </w:rPr>
        <w:noBreakHyphen/>
        <w:t>IX</w:t>
      </w:r>
      <w:r w:rsidR="00594D71">
        <w:rPr>
          <w:lang w:eastAsia="en-US"/>
        </w:rPr>
        <w:t xml:space="preserve">, and </w:t>
      </w:r>
      <w:r w:rsidR="00594D71">
        <w:rPr>
          <w:i/>
          <w:lang w:eastAsia="en-US"/>
        </w:rPr>
        <w:t>Sgattoni</w:t>
      </w:r>
      <w:r w:rsidR="00594D71">
        <w:rPr>
          <w:lang w:eastAsia="en-US"/>
        </w:rPr>
        <w:t>, cited above, §§ 63-65).</w:t>
      </w:r>
    </w:p>
    <w:p w:rsidR="00594D71" w:rsidP="00DE1FE8" w:rsidRDefault="00594D71">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39</w:t>
      </w:r>
      <w:r>
        <w:rPr>
          <w:lang w:eastAsia="en-US"/>
        </w:rPr>
        <w:fldChar w:fldCharType="end"/>
      </w:r>
      <w:r>
        <w:rPr>
          <w:lang w:eastAsia="en-US"/>
        </w:rPr>
        <w:t>.  Accordingly, there has been no violation of Article 8 of the Convention (as regards the applicant</w:t>
      </w:r>
      <w:r w:rsidR="00DE4D33">
        <w:rPr>
          <w:lang w:eastAsia="en-US"/>
        </w:rPr>
        <w:t>'</w:t>
      </w:r>
      <w:r>
        <w:rPr>
          <w:lang w:eastAsia="en-US"/>
        </w:rPr>
        <w:t xml:space="preserve">s right to respect for her correspondence), Article 1 of Protocol No. 1 </w:t>
      </w:r>
      <w:r w:rsidR="00F232A9">
        <w:rPr>
          <w:lang w:eastAsia="en-US"/>
        </w:rPr>
        <w:t>or</w:t>
      </w:r>
      <w:r>
        <w:rPr>
          <w:lang w:eastAsia="en-US"/>
        </w:rPr>
        <w:t xml:space="preserve"> Article 2 of Protocol No.</w:t>
      </w:r>
      <w:r w:rsidR="00453E6E">
        <w:rPr>
          <w:lang w:eastAsia="en-US"/>
        </w:rPr>
        <w:t xml:space="preserve"> </w:t>
      </w:r>
      <w:r>
        <w:rPr>
          <w:lang w:eastAsia="en-US"/>
        </w:rPr>
        <w:t>4.</w:t>
      </w:r>
    </w:p>
    <w:p w:rsidRPr="00594D71" w:rsidR="00063FE0" w:rsidP="00DE1FE8" w:rsidRDefault="00063FE0">
      <w:pPr>
        <w:pStyle w:val="JuHIRoman"/>
        <w:rPr>
          <w:lang w:eastAsia="en-US"/>
        </w:rPr>
      </w:pPr>
      <w:r>
        <w:rPr>
          <w:lang w:eastAsia="en-US"/>
        </w:rPr>
        <w:t>II.  </w:t>
      </w:r>
      <w:r>
        <w:rPr>
          <w:rStyle w:val="JuHIRomanChar"/>
        </w:rPr>
        <w:t>ALLEGED VIOLA</w:t>
      </w:r>
      <w:r w:rsidR="00453E6E">
        <w:rPr>
          <w:rStyle w:val="JuHIRomanChar"/>
        </w:rPr>
        <w:t>TION OF ARTICLE 3 OF PROTOCOL No</w:t>
      </w:r>
      <w:r>
        <w:rPr>
          <w:rStyle w:val="JuHIRomanChar"/>
        </w:rPr>
        <w:t>. 1</w:t>
      </w:r>
    </w:p>
    <w:p w:rsidR="00CD49A7" w:rsidP="00DE1FE8" w:rsidRDefault="00BF466A">
      <w:pPr>
        <w:pStyle w:val="JuPara"/>
        <w:rPr>
          <w:rStyle w:val="JuHIRomanChar"/>
        </w:rPr>
      </w:pPr>
      <w:r w:rsidRPr="00BF466A">
        <w:fldChar w:fldCharType="begin"/>
      </w:r>
      <w:r w:rsidRPr="00BF466A">
        <w:instrText xml:space="preserve"> SEQ level0 \*arabic </w:instrText>
      </w:r>
      <w:r w:rsidRPr="00BF466A">
        <w:fldChar w:fldCharType="separate"/>
      </w:r>
      <w:r w:rsidR="00A72C80">
        <w:rPr>
          <w:noProof/>
        </w:rPr>
        <w:t>40</w:t>
      </w:r>
      <w:r w:rsidRPr="00BF466A">
        <w:fldChar w:fldCharType="end"/>
      </w:r>
      <w:r w:rsidRPr="00BF466A" w:rsidR="00CD49A7">
        <w:t>.  </w:t>
      </w:r>
      <w:r w:rsidR="00063FE0">
        <w:rPr>
          <w:rStyle w:val="JuHIRomanChar"/>
        </w:rPr>
        <w:t xml:space="preserve">The applicant complained of the restriction of her electoral rights, arguing that it constituted a repressive and </w:t>
      </w:r>
      <w:r w:rsidR="00CF1C0B">
        <w:rPr>
          <w:rStyle w:val="JuHIRomanChar"/>
        </w:rPr>
        <w:t>outdated</w:t>
      </w:r>
      <w:r w:rsidR="00063FE0">
        <w:rPr>
          <w:rStyle w:val="JuHIRomanChar"/>
        </w:rPr>
        <w:t xml:space="preserve"> measure which had no legitimate justification and was designed to punish and marginalise bankrupts. She relied on Article 3 of Protocol No. 1, which provides:</w:t>
      </w:r>
    </w:p>
    <w:p w:rsidR="00063FE0" w:rsidP="00DE1FE8" w:rsidRDefault="00063FE0">
      <w:pPr>
        <w:pStyle w:val="JuQuot"/>
      </w:pPr>
      <w:r>
        <w:t>“The High Contracting Parties undertake to hold free elections at reasonable intervals by secret ballot, under conditions which will ensure the free expression of the opinion of the people in the choice of the legislature.”</w:t>
      </w:r>
    </w:p>
    <w:p w:rsidRPr="00BF466A" w:rsidR="00063FE0" w:rsidP="00DE1FE8" w:rsidRDefault="00063FE0">
      <w:pPr>
        <w:pStyle w:val="JuHA"/>
      </w:pPr>
      <w:r>
        <w:t>A.  Admissibility</w:t>
      </w:r>
    </w:p>
    <w:p w:rsidR="00CD49A7" w:rsidP="00DE1FE8" w:rsidRDefault="00BF466A">
      <w:pPr>
        <w:pStyle w:val="JuPara"/>
      </w:pPr>
      <w:r w:rsidRPr="00BF466A">
        <w:fldChar w:fldCharType="begin"/>
      </w:r>
      <w:r w:rsidRPr="00BF466A">
        <w:instrText xml:space="preserve"> SEQ level0 \*arabic </w:instrText>
      </w:r>
      <w:r w:rsidRPr="00BF466A">
        <w:fldChar w:fldCharType="separate"/>
      </w:r>
      <w:r w:rsidR="00A72C80">
        <w:rPr>
          <w:noProof/>
        </w:rPr>
        <w:t>41</w:t>
      </w:r>
      <w:r w:rsidRPr="00BF466A">
        <w:fldChar w:fldCharType="end"/>
      </w:r>
      <w:r w:rsidRPr="00BF466A" w:rsidR="00CD49A7">
        <w:t>.  </w:t>
      </w:r>
      <w:r w:rsidR="00063FE0">
        <w:t>The Court notes that this complaint is not manifestly ill-founded within the meaning of Article 35 § 3 of the Convention. It further notes that no other ground for declaring it inadmissible has been established. It must therefore be declared admissible.</w:t>
      </w:r>
    </w:p>
    <w:p w:rsidR="00063FE0" w:rsidP="00DE1FE8" w:rsidRDefault="00063FE0">
      <w:pPr>
        <w:pStyle w:val="JuHA"/>
      </w:pPr>
      <w:r>
        <w:t>B.  Merits</w:t>
      </w:r>
    </w:p>
    <w:p w:rsidR="00063FE0" w:rsidP="00DE1FE8" w:rsidRDefault="00063FE0">
      <w:pPr>
        <w:pStyle w:val="JuPara"/>
      </w:pPr>
      <w:r>
        <w:fldChar w:fldCharType="begin"/>
      </w:r>
      <w:r>
        <w:instrText xml:space="preserve"> SEQ level0 \*arabic </w:instrText>
      </w:r>
      <w:r>
        <w:fldChar w:fldCharType="separate"/>
      </w:r>
      <w:r w:rsidR="00A72C80">
        <w:rPr>
          <w:noProof/>
        </w:rPr>
        <w:t>42</w:t>
      </w:r>
      <w:r>
        <w:fldChar w:fldCharType="end"/>
      </w:r>
      <w:r>
        <w:t>.  The Government argued that States were left a wide margin of appreciation in laying down the conditions governing the electoral rights guaranteed by Article 3 of Protocol No. 1 and that, in any event, the restriction in question was limited to five years following the bankruptcy order.</w:t>
      </w:r>
    </w:p>
    <w:p w:rsidR="00513A13" w:rsidP="00DE1FE8" w:rsidRDefault="00513A13">
      <w:pPr>
        <w:pStyle w:val="JuPara"/>
      </w:pPr>
      <w:r>
        <w:fldChar w:fldCharType="begin"/>
      </w:r>
      <w:r>
        <w:instrText xml:space="preserve"> SEQ level0 \*arabic </w:instrText>
      </w:r>
      <w:r>
        <w:fldChar w:fldCharType="separate"/>
      </w:r>
      <w:r w:rsidR="00A72C80">
        <w:rPr>
          <w:noProof/>
        </w:rPr>
        <w:t>43</w:t>
      </w:r>
      <w:r>
        <w:fldChar w:fldCharType="end"/>
      </w:r>
      <w:r>
        <w:t>.  The applicant considered that the restriction of bankrupt</w:t>
      </w:r>
      <w:r w:rsidR="00F232A9">
        <w:t>s</w:t>
      </w:r>
      <w:r w:rsidR="00DE4D33">
        <w:t>'</w:t>
      </w:r>
      <w:r>
        <w:t xml:space="preserve"> electoral rights was based on the notion that the bankrupt was criminally liable </w:t>
      </w:r>
      <w:r w:rsidR="001627B8">
        <w:t xml:space="preserve">for his or her bankruptcy. </w:t>
      </w:r>
      <w:r w:rsidR="00B71D31">
        <w:t>The measure, which had no purpose other than to punish the bankrupt, was anti-democratic in a modern context and diminished the human dignity of the person concerned.</w:t>
      </w:r>
    </w:p>
    <w:p w:rsidR="00B71D31" w:rsidP="00DE1FE8" w:rsidRDefault="00B71D31">
      <w:pPr>
        <w:pStyle w:val="JuPara"/>
        <w:rPr>
          <w:lang w:eastAsia="en-US"/>
        </w:rPr>
      </w:pPr>
      <w:r>
        <w:fldChar w:fldCharType="begin"/>
      </w:r>
      <w:r>
        <w:instrText xml:space="preserve"> SEQ level0 \*arabic </w:instrText>
      </w:r>
      <w:r>
        <w:fldChar w:fldCharType="separate"/>
      </w:r>
      <w:r w:rsidR="00A72C80">
        <w:rPr>
          <w:noProof/>
        </w:rPr>
        <w:t>44</w:t>
      </w:r>
      <w:r>
        <w:fldChar w:fldCharType="end"/>
      </w:r>
      <w:r>
        <w:t>.  </w:t>
      </w:r>
      <w:r w:rsidR="00C4445F">
        <w:t>The Court reiterates that</w:t>
      </w:r>
      <w:r w:rsidRPr="00D75BE9" w:rsidR="00D75BE9">
        <w:t xml:space="preserve"> </w:t>
      </w:r>
      <w:r w:rsidR="00D75BE9">
        <w:t xml:space="preserve">implicit in Article 3 of Protocol No. </w:t>
      </w:r>
      <w:r w:rsidR="00466DB6">
        <w:t xml:space="preserve">1 </w:t>
      </w:r>
      <w:r w:rsidR="00D75BE9">
        <w:t xml:space="preserve">are </w:t>
      </w:r>
      <w:r w:rsidR="00C4445F">
        <w:t>the subjective rights to vote and to stand for election (see</w:t>
      </w:r>
      <w:r w:rsidRPr="00C4445F" w:rsidR="00C4445F">
        <w:rPr>
          <w:i/>
          <w:lang w:eastAsia="en-US"/>
        </w:rPr>
        <w:t xml:space="preserve"> Mathieu-Mohin and</w:t>
      </w:r>
      <w:r w:rsidR="00795CB4">
        <w:rPr>
          <w:i/>
          <w:lang w:eastAsia="en-US"/>
        </w:rPr>
        <w:t xml:space="preserve"> Clerfayt </w:t>
      </w:r>
      <w:r w:rsidRPr="00C4445F" w:rsidR="00C4445F">
        <w:rPr>
          <w:i/>
          <w:lang w:eastAsia="en-US"/>
        </w:rPr>
        <w:t>v. Belgium</w:t>
      </w:r>
      <w:r w:rsidRPr="00C4445F" w:rsidR="00C4445F">
        <w:rPr>
          <w:lang w:eastAsia="en-US"/>
        </w:rPr>
        <w:t>, 2 March 1987</w:t>
      </w:r>
      <w:r w:rsidR="00795CB4">
        <w:rPr>
          <w:lang w:eastAsia="en-US"/>
        </w:rPr>
        <w:t xml:space="preserve">, § 51, Series A no. </w:t>
      </w:r>
      <w:r w:rsidRPr="00C4445F" w:rsidR="00C4445F">
        <w:rPr>
          <w:lang w:eastAsia="en-US"/>
        </w:rPr>
        <w:t>113</w:t>
      </w:r>
      <w:r w:rsidR="00C4445F">
        <w:rPr>
          <w:lang w:eastAsia="en-US"/>
        </w:rPr>
        <w:t>), which it considers</w:t>
      </w:r>
      <w:r w:rsidRPr="00C4445F" w:rsidR="00C4445F">
        <w:t xml:space="preserve"> </w:t>
      </w:r>
      <w:r w:rsidRPr="00C4445F" w:rsidR="00C4445F">
        <w:rPr>
          <w:lang w:eastAsia="en-US"/>
        </w:rPr>
        <w:t>crucial to establishing and maintaining the foundations of an effective and meaningful democracy governed by the rule of law</w:t>
      </w:r>
      <w:r w:rsidR="00C4445F">
        <w:rPr>
          <w:lang w:eastAsia="en-US"/>
        </w:rPr>
        <w:t xml:space="preserve"> (see </w:t>
      </w:r>
      <w:r w:rsidR="00795CB4">
        <w:rPr>
          <w:i/>
          <w:szCs w:val="24"/>
          <w:lang w:eastAsia="en-US"/>
        </w:rPr>
        <w:t xml:space="preserve">Hirst </w:t>
      </w:r>
      <w:r w:rsidRPr="00C4445F" w:rsidR="00C4445F">
        <w:rPr>
          <w:i/>
          <w:szCs w:val="24"/>
          <w:lang w:eastAsia="en-US"/>
        </w:rPr>
        <w:t>v. the United Kingdom</w:t>
      </w:r>
      <w:r w:rsidR="00795CB4">
        <w:rPr>
          <w:i/>
          <w:szCs w:val="24"/>
          <w:lang w:eastAsia="en-US"/>
        </w:rPr>
        <w:t xml:space="preserve"> (no. </w:t>
      </w:r>
      <w:r w:rsidRPr="00C4445F" w:rsidR="00C4445F">
        <w:rPr>
          <w:i/>
          <w:szCs w:val="24"/>
          <w:lang w:eastAsia="en-US"/>
        </w:rPr>
        <w:t>2)</w:t>
      </w:r>
      <w:r w:rsidR="00795CB4">
        <w:rPr>
          <w:szCs w:val="24"/>
          <w:lang w:eastAsia="en-US"/>
        </w:rPr>
        <w:t xml:space="preserve"> [GC], no. 74025/01, § </w:t>
      </w:r>
      <w:r w:rsidR="00C4445F">
        <w:rPr>
          <w:szCs w:val="24"/>
          <w:lang w:eastAsia="en-US"/>
        </w:rPr>
        <w:t>58</w:t>
      </w:r>
      <w:r w:rsidRPr="00C4445F" w:rsidR="00C4445F">
        <w:rPr>
          <w:szCs w:val="24"/>
          <w:lang w:eastAsia="en-US"/>
        </w:rPr>
        <w:t>, ECHR 2005</w:t>
      </w:r>
      <w:r w:rsidRPr="00C4445F" w:rsidR="00C4445F">
        <w:rPr>
          <w:szCs w:val="24"/>
          <w:lang w:eastAsia="en-US"/>
        </w:rPr>
        <w:noBreakHyphen/>
      </w:r>
      <w:r w:rsidR="00C4445F">
        <w:rPr>
          <w:szCs w:val="24"/>
          <w:lang w:eastAsia="en-US"/>
        </w:rPr>
        <w:t>IX). It further reiterates that,</w:t>
      </w:r>
      <w:r w:rsidRPr="00C4445F" w:rsidR="00C4445F">
        <w:t xml:space="preserve"> </w:t>
      </w:r>
      <w:r w:rsidR="00C4445F">
        <w:t>a</w:t>
      </w:r>
      <w:r w:rsidRPr="00C4445F" w:rsidR="00C4445F">
        <w:rPr>
          <w:szCs w:val="24"/>
          <w:lang w:eastAsia="en-US"/>
        </w:rPr>
        <w:t>s</w:t>
      </w:r>
      <w:r w:rsidR="00C4445F">
        <w:rPr>
          <w:szCs w:val="24"/>
          <w:lang w:eastAsia="en-US"/>
        </w:rPr>
        <w:t xml:space="preserve"> </w:t>
      </w:r>
      <w:r w:rsidRPr="00C4445F" w:rsidR="00C4445F">
        <w:rPr>
          <w:szCs w:val="24"/>
          <w:lang w:eastAsia="en-US"/>
        </w:rPr>
        <w:t>important as those rights are, they are not, however, absolute.</w:t>
      </w:r>
      <w:r w:rsidRPr="00C4445F" w:rsidR="00C4445F">
        <w:t xml:space="preserve"> </w:t>
      </w:r>
      <w:r w:rsidRPr="00C4445F" w:rsidR="00C4445F">
        <w:rPr>
          <w:szCs w:val="24"/>
          <w:lang w:eastAsia="en-US"/>
        </w:rPr>
        <w:t>In their internal</w:t>
      </w:r>
      <w:r w:rsidR="00C4445F">
        <w:rPr>
          <w:szCs w:val="24"/>
          <w:lang w:eastAsia="en-US"/>
        </w:rPr>
        <w:t xml:space="preserve"> </w:t>
      </w:r>
      <w:r w:rsidRPr="00C4445F" w:rsidR="00C4445F">
        <w:rPr>
          <w:szCs w:val="24"/>
          <w:lang w:eastAsia="en-US"/>
        </w:rPr>
        <w:t>legal orders the Contracting States make the rights to vote and to</w:t>
      </w:r>
      <w:r w:rsidR="00C4445F">
        <w:rPr>
          <w:szCs w:val="24"/>
          <w:lang w:eastAsia="en-US"/>
        </w:rPr>
        <w:t xml:space="preserve"> </w:t>
      </w:r>
      <w:r w:rsidRPr="00C4445F" w:rsidR="00C4445F">
        <w:rPr>
          <w:szCs w:val="24"/>
          <w:lang w:eastAsia="en-US"/>
        </w:rPr>
        <w:t>stand for election subject to conditions which are not in principle</w:t>
      </w:r>
      <w:r w:rsidR="00C4445F">
        <w:rPr>
          <w:szCs w:val="24"/>
          <w:lang w:eastAsia="en-US"/>
        </w:rPr>
        <w:t xml:space="preserve"> </w:t>
      </w:r>
      <w:r w:rsidR="00D75BE9">
        <w:rPr>
          <w:szCs w:val="24"/>
          <w:lang w:eastAsia="en-US"/>
        </w:rPr>
        <w:t xml:space="preserve">precluded under Article 3. </w:t>
      </w:r>
      <w:r w:rsidRPr="00C4445F" w:rsidR="00C4445F">
        <w:rPr>
          <w:szCs w:val="24"/>
          <w:lang w:eastAsia="en-US"/>
        </w:rPr>
        <w:t>They have a wide margin of</w:t>
      </w:r>
      <w:r w:rsidR="00C4445F">
        <w:rPr>
          <w:szCs w:val="24"/>
          <w:lang w:eastAsia="en-US"/>
        </w:rPr>
        <w:t xml:space="preserve"> </w:t>
      </w:r>
      <w:r w:rsidRPr="00C4445F" w:rsidR="00C4445F">
        <w:rPr>
          <w:szCs w:val="24"/>
          <w:lang w:eastAsia="en-US"/>
        </w:rPr>
        <w:t>appreciation in this sphere, but it is for the Court to determine in</w:t>
      </w:r>
      <w:r w:rsidR="00C4445F">
        <w:rPr>
          <w:szCs w:val="24"/>
          <w:lang w:eastAsia="en-US"/>
        </w:rPr>
        <w:t xml:space="preserve"> </w:t>
      </w:r>
      <w:r w:rsidRPr="00C4445F" w:rsidR="00C4445F">
        <w:rPr>
          <w:szCs w:val="24"/>
          <w:lang w:eastAsia="en-US"/>
        </w:rPr>
        <w:t>the last resort whether the requirements of Protocol No. 1 have</w:t>
      </w:r>
      <w:r w:rsidR="00C4445F">
        <w:rPr>
          <w:szCs w:val="24"/>
          <w:lang w:eastAsia="en-US"/>
        </w:rPr>
        <w:t xml:space="preserve"> </w:t>
      </w:r>
      <w:r w:rsidRPr="00C4445F" w:rsidR="00C4445F">
        <w:rPr>
          <w:szCs w:val="24"/>
          <w:lang w:eastAsia="en-US"/>
        </w:rPr>
        <w:t>been complied with; it has to satisfy itself that the conditions do not</w:t>
      </w:r>
      <w:r w:rsidR="00C4445F">
        <w:rPr>
          <w:szCs w:val="24"/>
          <w:lang w:eastAsia="en-US"/>
        </w:rPr>
        <w:t xml:space="preserve"> </w:t>
      </w:r>
      <w:r w:rsidRPr="00C4445F" w:rsidR="00C4445F">
        <w:rPr>
          <w:szCs w:val="24"/>
          <w:lang w:eastAsia="en-US"/>
        </w:rPr>
        <w:t>curtail the rights in question to such an extent as to impair their</w:t>
      </w:r>
      <w:r w:rsidR="00C4445F">
        <w:rPr>
          <w:szCs w:val="24"/>
          <w:lang w:eastAsia="en-US"/>
        </w:rPr>
        <w:t xml:space="preserve"> </w:t>
      </w:r>
      <w:r w:rsidRPr="00C4445F" w:rsidR="00C4445F">
        <w:rPr>
          <w:szCs w:val="24"/>
          <w:lang w:eastAsia="en-US"/>
        </w:rPr>
        <w:t>very essence and deprive them of their effectiveness; that they are</w:t>
      </w:r>
      <w:r w:rsidR="00C4445F">
        <w:rPr>
          <w:szCs w:val="24"/>
          <w:lang w:eastAsia="en-US"/>
        </w:rPr>
        <w:t xml:space="preserve"> </w:t>
      </w:r>
      <w:r w:rsidRPr="00C4445F" w:rsidR="00C4445F">
        <w:rPr>
          <w:szCs w:val="24"/>
          <w:lang w:eastAsia="en-US"/>
        </w:rPr>
        <w:t>imposed in pursuit of a legitimate aim; and that the means employed are</w:t>
      </w:r>
      <w:r w:rsidR="00C4445F">
        <w:rPr>
          <w:szCs w:val="24"/>
          <w:lang w:eastAsia="en-US"/>
        </w:rPr>
        <w:t xml:space="preserve"> </w:t>
      </w:r>
      <w:r w:rsidRPr="00C4445F" w:rsidR="00C4445F">
        <w:rPr>
          <w:szCs w:val="24"/>
          <w:lang w:eastAsia="en-US"/>
        </w:rPr>
        <w:t>not disproportionate</w:t>
      </w:r>
      <w:r w:rsidR="001318AC">
        <w:rPr>
          <w:szCs w:val="24"/>
          <w:lang w:eastAsia="en-US"/>
        </w:rPr>
        <w:t xml:space="preserve"> (see</w:t>
      </w:r>
      <w:r w:rsidRPr="001318AC" w:rsidR="001318AC">
        <w:rPr>
          <w:i/>
          <w:lang w:eastAsia="en-US"/>
        </w:rPr>
        <w:t xml:space="preserve"> Gitonas and Others</w:t>
      </w:r>
      <w:r w:rsidR="00795CB4">
        <w:rPr>
          <w:i/>
          <w:lang w:eastAsia="en-US"/>
        </w:rPr>
        <w:t xml:space="preserve"> </w:t>
      </w:r>
      <w:r w:rsidRPr="001318AC" w:rsidR="001318AC">
        <w:rPr>
          <w:i/>
          <w:lang w:eastAsia="en-US"/>
        </w:rPr>
        <w:t>v. Greece</w:t>
      </w:r>
      <w:r w:rsidRPr="001318AC" w:rsidR="001318AC">
        <w:rPr>
          <w:lang w:eastAsia="en-US"/>
        </w:rPr>
        <w:t>, 1 July 1997</w:t>
      </w:r>
      <w:r w:rsidR="00795CB4">
        <w:rPr>
          <w:lang w:eastAsia="en-US"/>
        </w:rPr>
        <w:t>, § 39</w:t>
      </w:r>
      <w:r w:rsidRPr="001318AC" w:rsidR="001318AC">
        <w:rPr>
          <w:lang w:eastAsia="en-US"/>
        </w:rPr>
        <w:t xml:space="preserve">, </w:t>
      </w:r>
      <w:r w:rsidRPr="001318AC" w:rsidR="001318AC">
        <w:rPr>
          <w:i/>
          <w:lang w:eastAsia="en-US"/>
        </w:rPr>
        <w:t>Reports of Judgments and Decisions</w:t>
      </w:r>
      <w:r w:rsidRPr="001318AC" w:rsidR="001318AC">
        <w:rPr>
          <w:lang w:eastAsia="en-US"/>
        </w:rPr>
        <w:t xml:space="preserve"> 1997</w:t>
      </w:r>
      <w:r w:rsidRPr="001318AC" w:rsidR="001318AC">
        <w:rPr>
          <w:lang w:eastAsia="en-US"/>
        </w:rPr>
        <w:noBreakHyphen/>
        <w:t>IV</w:t>
      </w:r>
      <w:r w:rsidR="001318AC">
        <w:rPr>
          <w:lang w:eastAsia="en-US"/>
        </w:rPr>
        <w:t>;</w:t>
      </w:r>
      <w:r w:rsidR="00795CB4">
        <w:rPr>
          <w:i/>
          <w:lang w:eastAsia="en-US"/>
        </w:rPr>
        <w:t xml:space="preserve"> Aziz </w:t>
      </w:r>
      <w:r w:rsidRPr="001318AC" w:rsidR="001318AC">
        <w:rPr>
          <w:i/>
          <w:lang w:eastAsia="en-US"/>
        </w:rPr>
        <w:t>v. Cyprus</w:t>
      </w:r>
      <w:r w:rsidR="00795CB4">
        <w:rPr>
          <w:lang w:eastAsia="en-US"/>
        </w:rPr>
        <w:t xml:space="preserve">, no. </w:t>
      </w:r>
      <w:r w:rsidR="00084DF6">
        <w:rPr>
          <w:lang w:eastAsia="en-US"/>
        </w:rPr>
        <w:t xml:space="preserve">69949/01, § </w:t>
      </w:r>
      <w:r w:rsidR="001318AC">
        <w:rPr>
          <w:lang w:eastAsia="en-US"/>
        </w:rPr>
        <w:t>25</w:t>
      </w:r>
      <w:r w:rsidRPr="001318AC" w:rsidR="001318AC">
        <w:rPr>
          <w:lang w:eastAsia="en-US"/>
        </w:rPr>
        <w:t>, ECHR 2004</w:t>
      </w:r>
      <w:r w:rsidRPr="001318AC" w:rsidR="001318AC">
        <w:rPr>
          <w:lang w:eastAsia="en-US"/>
        </w:rPr>
        <w:noBreakHyphen/>
        <w:t>V</w:t>
      </w:r>
      <w:r w:rsidR="001318AC">
        <w:rPr>
          <w:lang w:eastAsia="en-US"/>
        </w:rPr>
        <w:t xml:space="preserve">; and </w:t>
      </w:r>
      <w:r w:rsidR="001318AC">
        <w:rPr>
          <w:i/>
          <w:lang w:eastAsia="en-US"/>
        </w:rPr>
        <w:t>Hirst</w:t>
      </w:r>
      <w:r w:rsidR="00795CB4">
        <w:rPr>
          <w:lang w:eastAsia="en-US"/>
        </w:rPr>
        <w:t>, cited above, § </w:t>
      </w:r>
      <w:r w:rsidR="001318AC">
        <w:rPr>
          <w:lang w:eastAsia="en-US"/>
        </w:rPr>
        <w:t>62).</w:t>
      </w:r>
    </w:p>
    <w:p w:rsidR="001318AC" w:rsidP="00DE1FE8" w:rsidRDefault="001318AC">
      <w:pPr>
        <w:pStyle w:val="JuPara"/>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45</w:t>
      </w:r>
      <w:r>
        <w:rPr>
          <w:lang w:eastAsia="en-US"/>
        </w:rPr>
        <w:fldChar w:fldCharType="end"/>
      </w:r>
      <w:r>
        <w:rPr>
          <w:lang w:eastAsia="en-US"/>
        </w:rPr>
        <w:t xml:space="preserve">.  In the instant case the Court observes that the impugned measure was </w:t>
      </w:r>
      <w:r w:rsidR="00763532">
        <w:rPr>
          <w:lang w:eastAsia="en-US"/>
        </w:rPr>
        <w:t>in accordance with the</w:t>
      </w:r>
      <w:r>
        <w:rPr>
          <w:lang w:eastAsia="en-US"/>
        </w:rPr>
        <w:t xml:space="preserve"> law, namely </w:t>
      </w:r>
      <w:r w:rsidRPr="009C57E7">
        <w:t>Article 2</w:t>
      </w:r>
      <w:r>
        <w:t xml:space="preserve"> §</w:t>
      </w:r>
      <w:r w:rsidRPr="009C57E7">
        <w:t xml:space="preserve"> </w:t>
      </w:r>
      <w:r>
        <w:t>1</w:t>
      </w:r>
      <w:r w:rsidR="00795CB4">
        <w:t xml:space="preserve"> </w:t>
      </w:r>
      <w:r>
        <w:t xml:space="preserve">(a) </w:t>
      </w:r>
      <w:r w:rsidRPr="009C57E7">
        <w:t>of Presidential Decree no.</w:t>
      </w:r>
      <w:r w:rsidR="00795CB4">
        <w:t xml:space="preserve"> </w:t>
      </w:r>
      <w:r w:rsidRPr="009C57E7">
        <w:t>223 of 20 March 1967</w:t>
      </w:r>
      <w:r>
        <w:t xml:space="preserve"> –</w:t>
      </w:r>
      <w:r w:rsidRPr="009C57E7">
        <w:t xml:space="preserve"> as amended by Law no. 15 of 16</w:t>
      </w:r>
      <w:r w:rsidR="00466DB6">
        <w:t> </w:t>
      </w:r>
      <w:r w:rsidRPr="009C57E7">
        <w:t>January 1992</w:t>
      </w:r>
      <w:r w:rsidR="00795CB4">
        <w:t xml:space="preserve"> –</w:t>
      </w:r>
      <w:r>
        <w:t xml:space="preserve"> which </w:t>
      </w:r>
      <w:r w:rsidRPr="009C57E7">
        <w:t xml:space="preserve">provides </w:t>
      </w:r>
      <w:r w:rsidRPr="009C57E7" w:rsidR="00C82CFE">
        <w:t xml:space="preserve">essentially </w:t>
      </w:r>
      <w:r w:rsidRPr="009C57E7">
        <w:t>for the suspension of the bankrupt</w:t>
      </w:r>
      <w:r w:rsidR="00DE4D33">
        <w:t>'</w:t>
      </w:r>
      <w:r w:rsidRPr="009C57E7">
        <w:t>s electoral rights for the duration of the bankruptcy proceedings and, in any event, for a period not exceeding five years from the date of the bankruptcy order</w:t>
      </w:r>
      <w:r>
        <w:t>.</w:t>
      </w:r>
    </w:p>
    <w:p w:rsidR="001318AC" w:rsidP="00DE1FE8" w:rsidRDefault="001318AC">
      <w:pPr>
        <w:pStyle w:val="JuPara"/>
      </w:pPr>
      <w:r>
        <w:fldChar w:fldCharType="begin"/>
      </w:r>
      <w:r>
        <w:instrText xml:space="preserve"> SEQ level0 \*arabic </w:instrText>
      </w:r>
      <w:r>
        <w:fldChar w:fldCharType="separate"/>
      </w:r>
      <w:r w:rsidR="00A72C80">
        <w:rPr>
          <w:noProof/>
        </w:rPr>
        <w:t>46</w:t>
      </w:r>
      <w:r>
        <w:fldChar w:fldCharType="end"/>
      </w:r>
      <w:r>
        <w:t xml:space="preserve">.  It is quite </w:t>
      </w:r>
      <w:r w:rsidR="00590073">
        <w:t>clear</w:t>
      </w:r>
      <w:r>
        <w:t xml:space="preserve"> that this measure amounted to interference with the applicant</w:t>
      </w:r>
      <w:r w:rsidR="00DE4D33">
        <w:t>'</w:t>
      </w:r>
      <w:r>
        <w:t xml:space="preserve">s </w:t>
      </w:r>
      <w:r w:rsidR="00466DB6">
        <w:t>electoral</w:t>
      </w:r>
      <w:r>
        <w:t xml:space="preserve"> rights guaranteed by Article 3 of Protocol No. 1.</w:t>
      </w:r>
    </w:p>
    <w:p w:rsidR="001318AC" w:rsidP="00DE1FE8" w:rsidRDefault="00D75BE9">
      <w:pPr>
        <w:pStyle w:val="JuPara"/>
      </w:pPr>
      <w:r>
        <w:t>F</w:t>
      </w:r>
      <w:r w:rsidR="001318AC">
        <w:t xml:space="preserve">urther personal restrictions flow from the restriction of </w:t>
      </w:r>
      <w:r w:rsidR="00466DB6">
        <w:t>electoral</w:t>
      </w:r>
      <w:r w:rsidR="001318AC">
        <w:t xml:space="preserve"> rights, for instance </w:t>
      </w:r>
      <w:r>
        <w:t>a</w:t>
      </w:r>
      <w:r w:rsidR="001318AC">
        <w:t xml:space="preserve"> </w:t>
      </w:r>
      <w:r w:rsidR="00451EB1">
        <w:t xml:space="preserve">prohibition on occupying </w:t>
      </w:r>
      <w:r>
        <w:t>public</w:t>
      </w:r>
      <w:r w:rsidR="00795CB4">
        <w:t xml:space="preserve">-sector </w:t>
      </w:r>
      <w:r w:rsidR="00451EB1">
        <w:t>posts.</w:t>
      </w:r>
    </w:p>
    <w:p w:rsidR="00451EB1" w:rsidP="00DE1FE8" w:rsidRDefault="00451EB1">
      <w:pPr>
        <w:pStyle w:val="JuPara"/>
      </w:pPr>
      <w:r>
        <w:fldChar w:fldCharType="begin"/>
      </w:r>
      <w:r>
        <w:instrText xml:space="preserve"> SEQ level0 \*arabic </w:instrText>
      </w:r>
      <w:r>
        <w:fldChar w:fldCharType="separate"/>
      </w:r>
      <w:r w:rsidR="00A72C80">
        <w:rPr>
          <w:noProof/>
        </w:rPr>
        <w:t>47</w:t>
      </w:r>
      <w:r>
        <w:fldChar w:fldCharType="end"/>
      </w:r>
      <w:r>
        <w:t>.  The Court also notes that the applicant</w:t>
      </w:r>
      <w:r w:rsidR="00DE4D33">
        <w:t>'</w:t>
      </w:r>
      <w:r>
        <w:t xml:space="preserve">s </w:t>
      </w:r>
      <w:r w:rsidR="00466DB6">
        <w:t>electoral</w:t>
      </w:r>
      <w:r>
        <w:t xml:space="preserve"> rights were suspended from 30 June 1997 to 30 June 2002 and that the elections of 13</w:t>
      </w:r>
      <w:r w:rsidR="00CF50B2">
        <w:t> </w:t>
      </w:r>
      <w:r>
        <w:t>May 2001 were held during that period.</w:t>
      </w:r>
    </w:p>
    <w:p w:rsidR="00451EB1" w:rsidP="00DE1FE8" w:rsidRDefault="00451EB1">
      <w:pPr>
        <w:pStyle w:val="JuPara"/>
        <w:rPr>
          <w:lang w:eastAsia="en-US"/>
        </w:rPr>
      </w:pPr>
      <w:r>
        <w:fldChar w:fldCharType="begin"/>
      </w:r>
      <w:r>
        <w:instrText xml:space="preserve"> SEQ level0 \*arabic </w:instrText>
      </w:r>
      <w:r>
        <w:fldChar w:fldCharType="separate"/>
      </w:r>
      <w:r w:rsidR="00A72C80">
        <w:rPr>
          <w:noProof/>
        </w:rPr>
        <w:t>48</w:t>
      </w:r>
      <w:r>
        <w:fldChar w:fldCharType="end"/>
      </w:r>
      <w:r>
        <w:t xml:space="preserve">.  As to the aim pursued by the measure, the Court reiterates that </w:t>
      </w:r>
      <w:r w:rsidRPr="00451EB1">
        <w:t>Article 3 of Protocol No.</w:t>
      </w:r>
      <w:r w:rsidR="00795CB4">
        <w:t xml:space="preserve"> </w:t>
      </w:r>
      <w:r w:rsidRPr="00451EB1">
        <w:t xml:space="preserve">1 does not, </w:t>
      </w:r>
      <w:r w:rsidR="00795CB4">
        <w:t>like</w:t>
      </w:r>
      <w:r w:rsidRPr="00451EB1">
        <w:t xml:space="preserve"> other provisions of the Convention, specify or limit the aims which a </w:t>
      </w:r>
      <w:r w:rsidR="00E76698">
        <w:t>measure</w:t>
      </w:r>
      <w:r w:rsidRPr="00451EB1">
        <w:t xml:space="preserve"> must pursue. A wide</w:t>
      </w:r>
      <w:r w:rsidR="009A4D5E">
        <w:t>r</w:t>
      </w:r>
      <w:r w:rsidRPr="00451EB1">
        <w:t xml:space="preserve"> range of purposes may therefore be compatible with Article 3 </w:t>
      </w:r>
      <w:r>
        <w:t xml:space="preserve">(see </w:t>
      </w:r>
      <w:r>
        <w:rPr>
          <w:i/>
        </w:rPr>
        <w:t>Hirst</w:t>
      </w:r>
      <w:r>
        <w:t xml:space="preserve">, cited above, § 74, and, by way of example, </w:t>
      </w:r>
      <w:r w:rsidR="00795CB4">
        <w:rPr>
          <w:i/>
          <w:lang w:eastAsia="en-US"/>
        </w:rPr>
        <w:t xml:space="preserve">Podkolzina </w:t>
      </w:r>
      <w:r w:rsidRPr="00451EB1">
        <w:rPr>
          <w:i/>
          <w:lang w:eastAsia="en-US"/>
        </w:rPr>
        <w:t xml:space="preserve">v. </w:t>
      </w:r>
      <w:smartTag w:uri="urn:schemas-microsoft-com:office:smarttags" w:element="place">
        <w:smartTag w:uri="urn:schemas-microsoft-com:office:smarttags" w:element="country-region">
          <w:r w:rsidRPr="00451EB1">
            <w:rPr>
              <w:i/>
              <w:lang w:eastAsia="en-US"/>
            </w:rPr>
            <w:t>Latvia</w:t>
          </w:r>
        </w:smartTag>
      </w:smartTag>
      <w:r w:rsidR="00795CB4">
        <w:rPr>
          <w:lang w:eastAsia="en-US"/>
        </w:rPr>
        <w:t xml:space="preserve">, no. 46726/99, § </w:t>
      </w:r>
      <w:r w:rsidR="00CF50B2">
        <w:rPr>
          <w:lang w:eastAsia="en-US"/>
        </w:rPr>
        <w:t>33</w:t>
      </w:r>
      <w:r w:rsidRPr="00451EB1">
        <w:rPr>
          <w:lang w:eastAsia="en-US"/>
        </w:rPr>
        <w:t>, ECHR 2002</w:t>
      </w:r>
      <w:r w:rsidRPr="00451EB1">
        <w:rPr>
          <w:lang w:eastAsia="en-US"/>
        </w:rPr>
        <w:noBreakHyphen/>
        <w:t>II</w:t>
      </w:r>
      <w:r w:rsidR="00CF50B2">
        <w:rPr>
          <w:lang w:eastAsia="en-US"/>
        </w:rPr>
        <w:t>).</w:t>
      </w:r>
    </w:p>
    <w:p w:rsidR="00CF50B2" w:rsidP="00DE1FE8" w:rsidRDefault="00CF50B2">
      <w:pPr>
        <w:pStyle w:val="JuPara"/>
        <w:rPr>
          <w:lang w:eastAsia="en-US"/>
        </w:rPr>
      </w:pPr>
      <w:r>
        <w:rPr>
          <w:lang w:eastAsia="en-US"/>
        </w:rPr>
        <w:t xml:space="preserve">The Court also notes that, in </w:t>
      </w:r>
      <w:r>
        <w:rPr>
          <w:i/>
          <w:lang w:eastAsia="en-US"/>
        </w:rPr>
        <w:t>Hirst</w:t>
      </w:r>
      <w:r>
        <w:rPr>
          <w:lang w:eastAsia="en-US"/>
        </w:rPr>
        <w:t xml:space="preserve"> (</w:t>
      </w:r>
      <w:r w:rsidR="00795CB4">
        <w:rPr>
          <w:lang w:eastAsia="en-US"/>
        </w:rPr>
        <w:t>loc. cit.</w:t>
      </w:r>
      <w:r>
        <w:rPr>
          <w:lang w:eastAsia="en-US"/>
        </w:rPr>
        <w:t>), the Grand Chamber found that the restriction of prisoners</w:t>
      </w:r>
      <w:r w:rsidR="00DE4D33">
        <w:rPr>
          <w:lang w:eastAsia="en-US"/>
        </w:rPr>
        <w:t>'</w:t>
      </w:r>
      <w:r>
        <w:rPr>
          <w:lang w:eastAsia="en-US"/>
        </w:rPr>
        <w:t xml:space="preserve"> voting rights could be said to </w:t>
      </w:r>
      <w:r w:rsidRPr="00CF50B2">
        <w:rPr>
          <w:lang w:eastAsia="en-US"/>
        </w:rPr>
        <w:t>pursue the aim of preventing crime</w:t>
      </w:r>
      <w:r>
        <w:rPr>
          <w:lang w:eastAsia="en-US"/>
        </w:rPr>
        <w:t xml:space="preserve"> and</w:t>
      </w:r>
      <w:r w:rsidRPr="00CF50B2">
        <w:rPr>
          <w:lang w:eastAsia="en-US"/>
        </w:rPr>
        <w:t xml:space="preserve"> enhancing civic responsibility and respect for the rule of law.</w:t>
      </w:r>
    </w:p>
    <w:p w:rsidR="00CF50B2" w:rsidP="00DE1FE8" w:rsidRDefault="00CF50B2">
      <w:pPr>
        <w:pStyle w:val="JuPara"/>
        <w:rPr>
          <w:lang w:eastAsia="en-US"/>
        </w:rPr>
      </w:pPr>
      <w:r>
        <w:rPr>
          <w:lang w:eastAsia="en-US"/>
        </w:rPr>
        <w:t>The Court emphasises that</w:t>
      </w:r>
      <w:r w:rsidR="00205B4F">
        <w:rPr>
          <w:lang w:eastAsia="en-US"/>
        </w:rPr>
        <w:t xml:space="preserve"> the bankruptcy proceedings in question </w:t>
      </w:r>
      <w:r w:rsidR="00A05A05">
        <w:rPr>
          <w:lang w:eastAsia="en-US"/>
        </w:rPr>
        <w:t>fell within the sphere</w:t>
      </w:r>
      <w:r w:rsidR="00205B4F">
        <w:rPr>
          <w:lang w:eastAsia="en-US"/>
        </w:rPr>
        <w:t xml:space="preserve"> of civil and not criminal law. As a result, the facts of the case do not imply any deceit or fraud</w:t>
      </w:r>
      <w:r w:rsidR="00C82CFE">
        <w:rPr>
          <w:lang w:eastAsia="en-US"/>
        </w:rPr>
        <w:t xml:space="preserve"> on the</w:t>
      </w:r>
      <w:r w:rsidR="00205B4F">
        <w:rPr>
          <w:lang w:eastAsia="en-US"/>
        </w:rPr>
        <w:t xml:space="preserve"> part of the person declared bankrupt; </w:t>
      </w:r>
      <w:r w:rsidR="00E76698">
        <w:rPr>
          <w:lang w:eastAsia="en-US"/>
        </w:rPr>
        <w:t>were this not the case</w:t>
      </w:r>
      <w:r w:rsidR="00205B4F">
        <w:rPr>
          <w:lang w:eastAsia="en-US"/>
        </w:rPr>
        <w:t>, the issue at stake would be the offence of negligent or fraudulent bankruptcy under sections 216 and 217 of the Bankruptcy Act. The Court further observes that the restriction of bankrupt</w:t>
      </w:r>
      <w:r w:rsidR="00A05A05">
        <w:rPr>
          <w:lang w:eastAsia="en-US"/>
        </w:rPr>
        <w:t>s</w:t>
      </w:r>
      <w:r w:rsidR="00DE4D33">
        <w:rPr>
          <w:lang w:eastAsia="en-US"/>
        </w:rPr>
        <w:t>'</w:t>
      </w:r>
      <w:r w:rsidR="00205B4F">
        <w:rPr>
          <w:lang w:eastAsia="en-US"/>
        </w:rPr>
        <w:t xml:space="preserve"> </w:t>
      </w:r>
      <w:r w:rsidR="00A05A05">
        <w:rPr>
          <w:lang w:eastAsia="en-US"/>
        </w:rPr>
        <w:t>electoral</w:t>
      </w:r>
      <w:r w:rsidR="00205B4F">
        <w:rPr>
          <w:lang w:eastAsia="en-US"/>
        </w:rPr>
        <w:t xml:space="preserve"> rights is an essentially punitive measure designed to belittle and punish the person</w:t>
      </w:r>
      <w:r w:rsidR="00C82CFE">
        <w:rPr>
          <w:lang w:eastAsia="en-US"/>
        </w:rPr>
        <w:t>s</w:t>
      </w:r>
      <w:r w:rsidR="00205B4F">
        <w:rPr>
          <w:lang w:eastAsia="en-US"/>
        </w:rPr>
        <w:t xml:space="preserve"> concerned</w:t>
      </w:r>
      <w:r w:rsidR="00831D57">
        <w:rPr>
          <w:lang w:eastAsia="en-US"/>
        </w:rPr>
        <w:t xml:space="preserve">, demeaning them </w:t>
      </w:r>
      <w:r w:rsidR="00A05A05">
        <w:rPr>
          <w:lang w:eastAsia="en-US"/>
        </w:rPr>
        <w:t>as individuals for</w:t>
      </w:r>
      <w:r w:rsidR="00831D57">
        <w:rPr>
          <w:lang w:eastAsia="en-US"/>
        </w:rPr>
        <w:t xml:space="preserve"> no other reason than their having been the subject of civil bankruptcy proceedings.</w:t>
      </w:r>
    </w:p>
    <w:p w:rsidR="00831D57" w:rsidP="00DE1FE8" w:rsidRDefault="00831D57">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49</w:t>
      </w:r>
      <w:r>
        <w:rPr>
          <w:lang w:eastAsia="en-US"/>
        </w:rPr>
        <w:fldChar w:fldCharType="end"/>
      </w:r>
      <w:r>
        <w:rPr>
          <w:lang w:eastAsia="en-US"/>
        </w:rPr>
        <w:t xml:space="preserve">.  In view of these considerations, the Court </w:t>
      </w:r>
      <w:r w:rsidR="009A4D5E">
        <w:rPr>
          <w:lang w:eastAsia="en-US"/>
        </w:rPr>
        <w:t>takes the view</w:t>
      </w:r>
      <w:r>
        <w:rPr>
          <w:lang w:eastAsia="en-US"/>
        </w:rPr>
        <w:t xml:space="preserve"> that the measure provided for by Article 2 of Presidential Decree </w:t>
      </w:r>
      <w:r w:rsidR="009A4D5E">
        <w:rPr>
          <w:lang w:eastAsia="en-US"/>
        </w:rPr>
        <w:t>no.</w:t>
      </w:r>
      <w:r>
        <w:rPr>
          <w:lang w:eastAsia="en-US"/>
        </w:rPr>
        <w:t xml:space="preserve"> 223 of 20</w:t>
      </w:r>
      <w:r w:rsidR="009A4D5E">
        <w:rPr>
          <w:lang w:eastAsia="en-US"/>
        </w:rPr>
        <w:t> </w:t>
      </w:r>
      <w:r>
        <w:rPr>
          <w:lang w:eastAsia="en-US"/>
        </w:rPr>
        <w:t>March 1967 ha</w:t>
      </w:r>
      <w:r w:rsidR="009A4D5E">
        <w:rPr>
          <w:lang w:eastAsia="en-US"/>
        </w:rPr>
        <w:t>s</w:t>
      </w:r>
      <w:r>
        <w:rPr>
          <w:lang w:eastAsia="en-US"/>
        </w:rPr>
        <w:t xml:space="preserve"> no purpose other than to belittle persons who have been declared bankrupt, reprimanding them simply </w:t>
      </w:r>
      <w:r w:rsidR="009A4D5E">
        <w:rPr>
          <w:lang w:eastAsia="en-US"/>
        </w:rPr>
        <w:t>for</w:t>
      </w:r>
      <w:r>
        <w:rPr>
          <w:lang w:eastAsia="en-US"/>
        </w:rPr>
        <w:t xml:space="preserve"> having been declared insolvent</w:t>
      </w:r>
      <w:r w:rsidR="00EF0D95">
        <w:rPr>
          <w:lang w:eastAsia="en-US"/>
        </w:rPr>
        <w:t>,</w:t>
      </w:r>
      <w:r>
        <w:rPr>
          <w:lang w:eastAsia="en-US"/>
        </w:rPr>
        <w:t xml:space="preserve"> irrespective of whether they </w:t>
      </w:r>
      <w:r w:rsidR="009A4D5E">
        <w:rPr>
          <w:lang w:eastAsia="en-US"/>
        </w:rPr>
        <w:t>have</w:t>
      </w:r>
      <w:r>
        <w:rPr>
          <w:lang w:eastAsia="en-US"/>
        </w:rPr>
        <w:t xml:space="preserve"> committed an offence (see, </w:t>
      </w:r>
      <w:r>
        <w:rPr>
          <w:i/>
          <w:lang w:eastAsia="en-US"/>
        </w:rPr>
        <w:t>mutatis mutandis</w:t>
      </w:r>
      <w:r>
        <w:rPr>
          <w:lang w:eastAsia="en-US"/>
        </w:rPr>
        <w:t xml:space="preserve">, </w:t>
      </w:r>
      <w:r w:rsidR="00795CB4">
        <w:rPr>
          <w:i/>
          <w:lang w:eastAsia="en-US"/>
        </w:rPr>
        <w:t xml:space="preserve">Sabou and Pircalab </w:t>
      </w:r>
      <w:r w:rsidRPr="00831D57">
        <w:rPr>
          <w:i/>
          <w:lang w:eastAsia="en-US"/>
        </w:rPr>
        <w:t>v. Romania</w:t>
      </w:r>
      <w:r w:rsidR="00795CB4">
        <w:rPr>
          <w:lang w:eastAsia="en-US"/>
        </w:rPr>
        <w:t xml:space="preserve">, no. 46572/99, § </w:t>
      </w:r>
      <w:r>
        <w:rPr>
          <w:lang w:eastAsia="en-US"/>
        </w:rPr>
        <w:t>48</w:t>
      </w:r>
      <w:r w:rsidRPr="00831D57">
        <w:rPr>
          <w:lang w:eastAsia="en-US"/>
        </w:rPr>
        <w:t>, 28</w:t>
      </w:r>
      <w:r>
        <w:rPr>
          <w:lang w:eastAsia="en-US"/>
        </w:rPr>
        <w:t> </w:t>
      </w:r>
      <w:r w:rsidRPr="00831D57">
        <w:rPr>
          <w:lang w:eastAsia="en-US"/>
        </w:rPr>
        <w:t>September 2004</w:t>
      </w:r>
      <w:r>
        <w:rPr>
          <w:lang w:eastAsia="en-US"/>
        </w:rPr>
        <w:t xml:space="preserve">). It </w:t>
      </w:r>
      <w:r w:rsidR="009A4D5E">
        <w:rPr>
          <w:lang w:eastAsia="en-US"/>
        </w:rPr>
        <w:t>does</w:t>
      </w:r>
      <w:r>
        <w:rPr>
          <w:lang w:eastAsia="en-US"/>
        </w:rPr>
        <w:t xml:space="preserve"> not therefore pursue a legitimate aim. The Court also stresses that voting is not a privilege but </w:t>
      </w:r>
      <w:r w:rsidR="009A4D5E">
        <w:rPr>
          <w:lang w:eastAsia="en-US"/>
        </w:rPr>
        <w:t>a</w:t>
      </w:r>
      <w:r>
        <w:rPr>
          <w:lang w:eastAsia="en-US"/>
        </w:rPr>
        <w:t xml:space="preserve"> right guaranteed by the Convention (see </w:t>
      </w:r>
      <w:r w:rsidRPr="00831D57">
        <w:rPr>
          <w:i/>
          <w:lang w:eastAsia="en-US"/>
        </w:rPr>
        <w:t>Hirst</w:t>
      </w:r>
      <w:r>
        <w:rPr>
          <w:lang w:eastAsia="en-US"/>
        </w:rPr>
        <w:t>, cited above, § 75).</w:t>
      </w:r>
    </w:p>
    <w:p w:rsidR="00831D57" w:rsidP="00DE1FE8" w:rsidRDefault="00831D57">
      <w:pPr>
        <w:pStyle w:val="JuPara"/>
        <w:rPr>
          <w:lang w:eastAsia="en-US"/>
        </w:rPr>
      </w:pPr>
      <w:r>
        <w:rPr>
          <w:lang w:eastAsia="en-US"/>
        </w:rPr>
        <w:t>This conclusion renders it unnecessary for the Court to consider in the instant case whether the means of achieving</w:t>
      </w:r>
      <w:r w:rsidR="00A34BFB">
        <w:rPr>
          <w:lang w:eastAsia="en-US"/>
        </w:rPr>
        <w:t xml:space="preserve"> the aim pursued were disproportionate.</w:t>
      </w:r>
    </w:p>
    <w:p w:rsidR="00A34BFB" w:rsidP="00DE1FE8" w:rsidRDefault="00A34BFB">
      <w:pPr>
        <w:pStyle w:val="JuPara"/>
        <w:rPr>
          <w:lang w:eastAsia="en-US"/>
        </w:rPr>
      </w:pPr>
      <w:r>
        <w:rPr>
          <w:lang w:eastAsia="en-US"/>
        </w:rPr>
        <w:t>There has therefore been a violation of Article 3 of Protocol No. 1.</w:t>
      </w:r>
    </w:p>
    <w:p w:rsidR="003A5E34" w:rsidP="00DE1FE8" w:rsidRDefault="003A5E34">
      <w:pPr>
        <w:pStyle w:val="JuHIRoman"/>
        <w:rPr>
          <w:lang w:eastAsia="en-US"/>
        </w:rPr>
      </w:pPr>
      <w:r>
        <w:rPr>
          <w:lang w:eastAsia="en-US"/>
        </w:rPr>
        <w:t xml:space="preserve">III.  ALLEGED VIOLATION OF ARTICLE 8 OF THE CONVENTION AS </w:t>
      </w:r>
      <w:r w:rsidR="009A4D5E">
        <w:rPr>
          <w:lang w:eastAsia="en-US"/>
        </w:rPr>
        <w:t xml:space="preserve">REGARDS </w:t>
      </w:r>
      <w:r>
        <w:rPr>
          <w:lang w:eastAsia="en-US"/>
        </w:rPr>
        <w:t>THE APPLICANT</w:t>
      </w:r>
      <w:r w:rsidR="00DE4D33">
        <w:rPr>
          <w:lang w:eastAsia="en-US"/>
        </w:rPr>
        <w:t>'</w:t>
      </w:r>
      <w:r>
        <w:rPr>
          <w:lang w:eastAsia="en-US"/>
        </w:rPr>
        <w:t>S RIGHT TO RESPECT FOR HER PRIVATE LIFE</w:t>
      </w:r>
    </w:p>
    <w:p w:rsidRPr="003A5E34" w:rsidR="003A5E34" w:rsidP="00DE1FE8" w:rsidRDefault="003A5E34">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50</w:t>
      </w:r>
      <w:r>
        <w:rPr>
          <w:lang w:eastAsia="en-US"/>
        </w:rPr>
        <w:fldChar w:fldCharType="end"/>
      </w:r>
      <w:r>
        <w:rPr>
          <w:lang w:eastAsia="en-US"/>
        </w:rPr>
        <w:t>.  </w:t>
      </w:r>
      <w:r w:rsidR="000030F0">
        <w:rPr>
          <w:lang w:eastAsia="en-US"/>
        </w:rPr>
        <w:t xml:space="preserve">Relying on Article 8 of the Convention, the applicant complained that her right to respect for her private life had been infringed, as she was unable to engage in any professional or </w:t>
      </w:r>
      <w:r w:rsidR="00076EFE">
        <w:rPr>
          <w:lang w:eastAsia="en-US"/>
        </w:rPr>
        <w:t>business</w:t>
      </w:r>
      <w:r w:rsidR="000030F0">
        <w:rPr>
          <w:lang w:eastAsia="en-US"/>
        </w:rPr>
        <w:t xml:space="preserve"> activity on account of the entry of her name in the bankruptcy register. She furt</w:t>
      </w:r>
      <w:r w:rsidR="00795CB4">
        <w:rPr>
          <w:lang w:eastAsia="en-US"/>
        </w:rPr>
        <w:t>her complained of the fact that</w:t>
      </w:r>
      <w:r w:rsidR="000030F0">
        <w:rPr>
          <w:lang w:eastAsia="en-US"/>
        </w:rPr>
        <w:t xml:space="preserve"> under se</w:t>
      </w:r>
      <w:r w:rsidR="00795CB4">
        <w:rPr>
          <w:lang w:eastAsia="en-US"/>
        </w:rPr>
        <w:t>ction 143 of the Bankruptcy Act</w:t>
      </w:r>
      <w:r w:rsidR="000030F0">
        <w:rPr>
          <w:lang w:eastAsia="en-US"/>
        </w:rPr>
        <w:t xml:space="preserve"> an</w:t>
      </w:r>
      <w:r w:rsidR="007F0242">
        <w:rPr>
          <w:lang w:eastAsia="en-US"/>
        </w:rPr>
        <w:t xml:space="preserve"> application for</w:t>
      </w:r>
      <w:r w:rsidR="000030F0">
        <w:rPr>
          <w:lang w:eastAsia="en-US"/>
        </w:rPr>
        <w:t xml:space="preserve"> </w:t>
      </w:r>
      <w:r w:rsidR="005516DC">
        <w:rPr>
          <w:lang w:eastAsia="en-US"/>
        </w:rPr>
        <w:t>rehabilitation</w:t>
      </w:r>
      <w:r w:rsidR="000030F0">
        <w:rPr>
          <w:lang w:eastAsia="en-US"/>
        </w:rPr>
        <w:t xml:space="preserve">, putting an end to the personal restrictions, could not be made until five years after </w:t>
      </w:r>
      <w:r w:rsidR="001B75A0">
        <w:rPr>
          <w:lang w:eastAsia="en-US"/>
        </w:rPr>
        <w:t>termination of</w:t>
      </w:r>
      <w:r w:rsidR="000030F0">
        <w:rPr>
          <w:lang w:eastAsia="en-US"/>
        </w:rPr>
        <w:t xml:space="preserve"> the bankruptcy</w:t>
      </w:r>
      <w:r w:rsidR="001B75A0">
        <w:rPr>
          <w:lang w:eastAsia="en-US"/>
        </w:rPr>
        <w:t xml:space="preserve"> proceedings</w:t>
      </w:r>
      <w:r w:rsidR="000030F0">
        <w:rPr>
          <w:lang w:eastAsia="en-US"/>
        </w:rPr>
        <w:t>.</w:t>
      </w:r>
    </w:p>
    <w:p w:rsidR="00831D57" w:rsidP="00DE1FE8" w:rsidRDefault="000030F0">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51</w:t>
      </w:r>
      <w:r>
        <w:rPr>
          <w:lang w:eastAsia="en-US"/>
        </w:rPr>
        <w:fldChar w:fldCharType="end"/>
      </w:r>
      <w:r>
        <w:rPr>
          <w:lang w:eastAsia="en-US"/>
        </w:rPr>
        <w:t>.  Article 8 of the Convention provides:</w:t>
      </w:r>
    </w:p>
    <w:p w:rsidR="000030F0" w:rsidP="00DE1FE8" w:rsidRDefault="000030F0">
      <w:pPr>
        <w:pStyle w:val="JuQuot"/>
      </w:pPr>
      <w:r>
        <w:t>“1.  Everyone has the ri</w:t>
      </w:r>
      <w:r w:rsidR="00795CB4">
        <w:t>ght to respect for his private ... life ...</w:t>
      </w:r>
    </w:p>
    <w:p w:rsidRPr="00831D57" w:rsidR="000030F0" w:rsidP="00DE1FE8" w:rsidRDefault="000030F0">
      <w:pPr>
        <w:pStyle w:val="JuQuot"/>
        <w:rPr>
          <w:lang w:eastAsia="en-US"/>
        </w:rPr>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1318AC" w:rsidP="00DE1FE8" w:rsidRDefault="000030F0">
      <w:pPr>
        <w:pStyle w:val="JuHA"/>
      </w:pPr>
      <w:r>
        <w:t>A.  Admissibility</w:t>
      </w:r>
    </w:p>
    <w:p w:rsidR="000030F0" w:rsidP="00DE1FE8" w:rsidRDefault="000030F0">
      <w:pPr>
        <w:pStyle w:val="JuPara"/>
      </w:pPr>
      <w:r>
        <w:fldChar w:fldCharType="begin"/>
      </w:r>
      <w:r>
        <w:instrText xml:space="preserve"> SEQ level0 \*arabic </w:instrText>
      </w:r>
      <w:r>
        <w:fldChar w:fldCharType="separate"/>
      </w:r>
      <w:r w:rsidR="00A72C80">
        <w:rPr>
          <w:noProof/>
        </w:rPr>
        <w:t>52</w:t>
      </w:r>
      <w:r>
        <w:fldChar w:fldCharType="end"/>
      </w:r>
      <w:r>
        <w:t>.  The Court notes that this complaint is not manifestly ill-founded within the meaning of Article 35 § 3 of the Convention. No other ground for declaring it inadmissible has been established. It must therefore be declared admissible.</w:t>
      </w:r>
    </w:p>
    <w:p w:rsidR="000030F0" w:rsidP="00DE1FE8" w:rsidRDefault="000030F0">
      <w:pPr>
        <w:pStyle w:val="JuHA"/>
      </w:pPr>
      <w:r>
        <w:t>B.  Merits</w:t>
      </w:r>
    </w:p>
    <w:p w:rsidR="000030F0" w:rsidP="00DE1FE8" w:rsidRDefault="000030F0">
      <w:pPr>
        <w:pStyle w:val="JuH1"/>
      </w:pPr>
      <w:r>
        <w:t>1.  Applicability of Article 8 of the Convention</w:t>
      </w:r>
    </w:p>
    <w:p w:rsidR="00216B6B" w:rsidP="00DE1FE8" w:rsidRDefault="00076EFE">
      <w:pPr>
        <w:pStyle w:val="JuPara"/>
        <w:rPr>
          <w:lang w:eastAsia="en-US"/>
        </w:rPr>
      </w:pPr>
      <w:r>
        <w:fldChar w:fldCharType="begin"/>
      </w:r>
      <w:r>
        <w:instrText xml:space="preserve"> SEQ level0 \*arabic </w:instrText>
      </w:r>
      <w:r>
        <w:fldChar w:fldCharType="separate"/>
      </w:r>
      <w:r w:rsidR="00A72C80">
        <w:rPr>
          <w:noProof/>
        </w:rPr>
        <w:t>53</w:t>
      </w:r>
      <w:r>
        <w:fldChar w:fldCharType="end"/>
      </w:r>
      <w:r w:rsidR="000A37D0">
        <w:t>.  T</w:t>
      </w:r>
      <w:r>
        <w:t xml:space="preserve">he Court observes that private life “encompasses the right for an individual to form and develop relationships with other human beings, including relationships of a professional or business nature” (see </w:t>
      </w:r>
      <w:r w:rsidR="00795CB4">
        <w:rPr>
          <w:i/>
          <w:lang w:eastAsia="en-US"/>
        </w:rPr>
        <w:t xml:space="preserve">C. </w:t>
      </w:r>
      <w:r w:rsidRPr="00076EFE">
        <w:rPr>
          <w:i/>
          <w:lang w:eastAsia="en-US"/>
        </w:rPr>
        <w:t>v.</w:t>
      </w:r>
      <w:r w:rsidR="00795CB4">
        <w:rPr>
          <w:i/>
          <w:lang w:eastAsia="en-US"/>
        </w:rPr>
        <w:t xml:space="preserve"> </w:t>
      </w:r>
      <w:smartTag w:uri="urn:schemas-microsoft-com:office:smarttags" w:element="place">
        <w:smartTag w:uri="urn:schemas-microsoft-com:office:smarttags" w:element="country-region">
          <w:r w:rsidRPr="00076EFE">
            <w:rPr>
              <w:i/>
              <w:lang w:eastAsia="en-US"/>
            </w:rPr>
            <w:t>Belgium</w:t>
          </w:r>
        </w:smartTag>
      </w:smartTag>
      <w:r w:rsidRPr="00076EFE">
        <w:rPr>
          <w:lang w:eastAsia="en-US"/>
        </w:rPr>
        <w:t>, 7 August 1996</w:t>
      </w:r>
      <w:r w:rsidR="00795CB4">
        <w:rPr>
          <w:lang w:eastAsia="en-US"/>
        </w:rPr>
        <w:t>, § 25</w:t>
      </w:r>
      <w:r w:rsidRPr="00076EFE">
        <w:rPr>
          <w:lang w:eastAsia="en-US"/>
        </w:rPr>
        <w:t xml:space="preserve">, </w:t>
      </w:r>
      <w:r w:rsidRPr="00076EFE">
        <w:rPr>
          <w:i/>
          <w:lang w:eastAsia="en-US"/>
        </w:rPr>
        <w:t xml:space="preserve">Reports </w:t>
      </w:r>
      <w:r w:rsidR="00795CB4">
        <w:rPr>
          <w:lang w:eastAsia="en-US"/>
        </w:rPr>
        <w:t>1996</w:t>
      </w:r>
      <w:r w:rsidR="00795CB4">
        <w:rPr>
          <w:lang w:eastAsia="en-US"/>
        </w:rPr>
        <w:noBreakHyphen/>
        <w:t>III</w:t>
      </w:r>
      <w:r>
        <w:rPr>
          <w:lang w:eastAsia="en-US"/>
        </w:rPr>
        <w:t>). It also considers that Article 8 of the Convention “</w:t>
      </w:r>
      <w:r w:rsidRPr="00076EFE">
        <w:rPr>
          <w:lang w:eastAsia="en-US"/>
        </w:rPr>
        <w:t>protects a right to personal development, and the right to establish and develop relationships with other human beings and the outside world</w:t>
      </w:r>
      <w:r>
        <w:rPr>
          <w:lang w:eastAsia="en-US"/>
        </w:rPr>
        <w:t xml:space="preserve">” (see </w:t>
      </w:r>
      <w:r w:rsidR="00795CB4">
        <w:rPr>
          <w:i/>
          <w:lang w:eastAsia="en-US"/>
        </w:rPr>
        <w:t xml:space="preserve">Pretty </w:t>
      </w:r>
      <w:r w:rsidRPr="00076EFE">
        <w:rPr>
          <w:i/>
          <w:lang w:eastAsia="en-US"/>
        </w:rPr>
        <w:t>v. the United Kingdom</w:t>
      </w:r>
      <w:r w:rsidR="00795CB4">
        <w:rPr>
          <w:lang w:eastAsia="en-US"/>
        </w:rPr>
        <w:t xml:space="preserve">, no. 2346/02, § </w:t>
      </w:r>
      <w:r>
        <w:rPr>
          <w:lang w:eastAsia="en-US"/>
        </w:rPr>
        <w:t>61</w:t>
      </w:r>
      <w:r w:rsidRPr="00076EFE">
        <w:rPr>
          <w:lang w:eastAsia="en-US"/>
        </w:rPr>
        <w:t>, ECHR 2002</w:t>
      </w:r>
      <w:r w:rsidRPr="00076EFE">
        <w:rPr>
          <w:lang w:eastAsia="en-US"/>
        </w:rPr>
        <w:noBreakHyphen/>
        <w:t>III</w:t>
      </w:r>
      <w:r>
        <w:rPr>
          <w:lang w:eastAsia="en-US"/>
        </w:rPr>
        <w:t>) and that the notion of “private life” does not exclude in principle activities of a professional or business nature.</w:t>
      </w:r>
      <w:r w:rsidRPr="00216B6B" w:rsidR="00216B6B">
        <w:t xml:space="preserve"> </w:t>
      </w:r>
      <w:r w:rsidR="00216B6B">
        <w:rPr>
          <w:lang w:eastAsia="en-US"/>
        </w:rPr>
        <w:t>I</w:t>
      </w:r>
      <w:r w:rsidRPr="00216B6B" w:rsidR="00216B6B">
        <w:rPr>
          <w:lang w:eastAsia="en-US"/>
        </w:rPr>
        <w:t>t is, after all, in the course of their working lives that the majority of people have a significant</w:t>
      </w:r>
      <w:r w:rsidR="00216B6B">
        <w:rPr>
          <w:lang w:eastAsia="en-US"/>
        </w:rPr>
        <w:t xml:space="preserve"> </w:t>
      </w:r>
      <w:r w:rsidRPr="00216B6B" w:rsidR="00216B6B">
        <w:rPr>
          <w:lang w:eastAsia="en-US"/>
        </w:rPr>
        <w:t>opportunity of developing relationships with the outside world</w:t>
      </w:r>
      <w:r w:rsidR="00216B6B">
        <w:rPr>
          <w:lang w:eastAsia="en-US"/>
        </w:rPr>
        <w:t xml:space="preserve"> (see </w:t>
      </w:r>
      <w:r w:rsidR="00795CB4">
        <w:rPr>
          <w:i/>
          <w:lang w:eastAsia="en-US"/>
        </w:rPr>
        <w:t xml:space="preserve">Niemietz </w:t>
      </w:r>
      <w:r w:rsidRPr="00216B6B" w:rsidR="00216B6B">
        <w:rPr>
          <w:i/>
          <w:lang w:eastAsia="en-US"/>
        </w:rPr>
        <w:t xml:space="preserve">v. </w:t>
      </w:r>
      <w:smartTag w:uri="urn:schemas-microsoft-com:office:smarttags" w:element="place">
        <w:smartTag w:uri="urn:schemas-microsoft-com:office:smarttags" w:element="country-region">
          <w:r w:rsidR="00216B6B" w:rsidRPr="00216B6B">
            <w:rPr>
              <w:i/>
              <w:lang w:eastAsia="en-US"/>
            </w:rPr>
            <w:t>Germany</w:t>
          </w:r>
        </w:smartTag>
      </w:smartTag>
      <w:r w:rsidRPr="00216B6B" w:rsidR="00216B6B">
        <w:rPr>
          <w:lang w:eastAsia="en-US"/>
        </w:rPr>
        <w:t>, 16 December 1992</w:t>
      </w:r>
      <w:r w:rsidR="00795CB4">
        <w:rPr>
          <w:lang w:eastAsia="en-US"/>
        </w:rPr>
        <w:t xml:space="preserve">, § 29, Series A no. </w:t>
      </w:r>
      <w:r w:rsidRPr="00216B6B" w:rsidR="00216B6B">
        <w:rPr>
          <w:lang w:eastAsia="en-US"/>
        </w:rPr>
        <w:t>251</w:t>
      </w:r>
      <w:r w:rsidRPr="00216B6B" w:rsidR="00216B6B">
        <w:rPr>
          <w:lang w:eastAsia="en-US"/>
        </w:rPr>
        <w:noBreakHyphen/>
        <w:t>B</w:t>
      </w:r>
      <w:r w:rsidR="00216B6B">
        <w:rPr>
          <w:lang w:eastAsia="en-US"/>
        </w:rPr>
        <w:t xml:space="preserve">). Finally, the Court </w:t>
      </w:r>
      <w:r w:rsidR="00E275A9">
        <w:rPr>
          <w:lang w:eastAsia="en-US"/>
        </w:rPr>
        <w:t>refers to</w:t>
      </w:r>
      <w:r w:rsidR="00216B6B">
        <w:rPr>
          <w:lang w:eastAsia="en-US"/>
        </w:rPr>
        <w:t xml:space="preserve"> its recent finding</w:t>
      </w:r>
      <w:r w:rsidRPr="00216B6B" w:rsidR="00216B6B">
        <w:t xml:space="preserve"> </w:t>
      </w:r>
      <w:r w:rsidRPr="00216B6B" w:rsidR="00216B6B">
        <w:rPr>
          <w:lang w:eastAsia="en-US"/>
        </w:rPr>
        <w:t>that a far</w:t>
      </w:r>
      <w:r w:rsidR="00936227">
        <w:rPr>
          <w:lang w:eastAsia="en-US"/>
        </w:rPr>
        <w:noBreakHyphen/>
      </w:r>
      <w:r w:rsidRPr="00216B6B" w:rsidR="00216B6B">
        <w:rPr>
          <w:lang w:eastAsia="en-US"/>
        </w:rPr>
        <w:t>re</w:t>
      </w:r>
      <w:r w:rsidR="00E275A9">
        <w:rPr>
          <w:lang w:eastAsia="en-US"/>
        </w:rPr>
        <w:t>aching ban on taking up private-</w:t>
      </w:r>
      <w:r w:rsidRPr="00216B6B" w:rsidR="00216B6B">
        <w:rPr>
          <w:lang w:eastAsia="en-US"/>
        </w:rPr>
        <w:t xml:space="preserve">sector employment </w:t>
      </w:r>
      <w:r w:rsidR="00216B6B">
        <w:rPr>
          <w:lang w:eastAsia="en-US"/>
        </w:rPr>
        <w:t>did</w:t>
      </w:r>
      <w:r w:rsidRPr="00216B6B" w:rsidR="00216B6B">
        <w:rPr>
          <w:lang w:eastAsia="en-US"/>
        </w:rPr>
        <w:t xml:space="preserve"> affect “private life”</w:t>
      </w:r>
      <w:r w:rsidR="00216B6B">
        <w:rPr>
          <w:lang w:eastAsia="en-US"/>
        </w:rPr>
        <w:t xml:space="preserve"> (see</w:t>
      </w:r>
      <w:r w:rsidRPr="00216B6B" w:rsidR="00216B6B">
        <w:rPr>
          <w:i/>
          <w:lang w:eastAsia="en-US"/>
        </w:rPr>
        <w:t xml:space="preserve"> </w:t>
      </w:r>
      <w:r w:rsidR="00E275A9">
        <w:rPr>
          <w:i/>
          <w:lang w:eastAsia="en-US"/>
        </w:rPr>
        <w:t xml:space="preserve">Sidabras and Džiautas </w:t>
      </w:r>
      <w:r w:rsidRPr="00216B6B" w:rsidR="00216B6B">
        <w:rPr>
          <w:i/>
          <w:lang w:eastAsia="en-US"/>
        </w:rPr>
        <w:t>v. Lithuania</w:t>
      </w:r>
      <w:r w:rsidR="00E275A9">
        <w:rPr>
          <w:lang w:eastAsia="en-US"/>
        </w:rPr>
        <w:t xml:space="preserve">, nos. 55480/00 and 59330/00, § </w:t>
      </w:r>
      <w:r w:rsidR="00216B6B">
        <w:rPr>
          <w:lang w:eastAsia="en-US"/>
        </w:rPr>
        <w:t>47</w:t>
      </w:r>
      <w:r w:rsidRPr="00216B6B" w:rsidR="00216B6B">
        <w:rPr>
          <w:lang w:eastAsia="en-US"/>
        </w:rPr>
        <w:t>, ECHR 2004</w:t>
      </w:r>
      <w:r w:rsidRPr="00216B6B" w:rsidR="00216B6B">
        <w:rPr>
          <w:lang w:eastAsia="en-US"/>
        </w:rPr>
        <w:noBreakHyphen/>
        <w:t>VIII</w:t>
      </w:r>
      <w:r w:rsidR="00216B6B">
        <w:rPr>
          <w:lang w:eastAsia="en-US"/>
        </w:rPr>
        <w:t xml:space="preserve">), particularly </w:t>
      </w:r>
      <w:r w:rsidR="004B03C0">
        <w:rPr>
          <w:lang w:eastAsia="en-US"/>
        </w:rPr>
        <w:t xml:space="preserve">in view </w:t>
      </w:r>
      <w:r w:rsidRPr="00216B6B" w:rsidR="00216B6B">
        <w:rPr>
          <w:lang w:eastAsia="en-US"/>
        </w:rPr>
        <w:t>of Article 1 § 2 of the European Social Charter</w:t>
      </w:r>
      <w:r w:rsidR="00216B6B">
        <w:rPr>
          <w:lang w:eastAsia="en-US"/>
        </w:rPr>
        <w:t xml:space="preserve">, which </w:t>
      </w:r>
      <w:r w:rsidR="00E275A9">
        <w:rPr>
          <w:lang w:eastAsia="en-US"/>
        </w:rPr>
        <w:t>came</w:t>
      </w:r>
      <w:r w:rsidR="00216B6B">
        <w:rPr>
          <w:lang w:eastAsia="en-US"/>
        </w:rPr>
        <w:t xml:space="preserve"> into force in respect of Italy on 1</w:t>
      </w:r>
      <w:r w:rsidR="00E275A9">
        <w:rPr>
          <w:lang w:eastAsia="en-US"/>
        </w:rPr>
        <w:t xml:space="preserve"> </w:t>
      </w:r>
      <w:r w:rsidR="00216B6B">
        <w:rPr>
          <w:lang w:eastAsia="en-US"/>
        </w:rPr>
        <w:t xml:space="preserve">September 1999, and which states “[w]ith a view to ensuring the effective exercise of the right to work, the Parties undertake </w:t>
      </w:r>
      <w:r w:rsidR="000D5632">
        <w:rPr>
          <w:lang w:eastAsia="en-US"/>
        </w:rPr>
        <w:t>...</w:t>
      </w:r>
      <w:r w:rsidR="00216B6B">
        <w:rPr>
          <w:lang w:eastAsia="en-US"/>
        </w:rPr>
        <w:t xml:space="preserve"> to protect effectively the right of the worker to earn his living in an occupation freely entered upon”.</w:t>
      </w:r>
    </w:p>
    <w:p w:rsidR="001318AC" w:rsidP="00DE1FE8" w:rsidRDefault="00216B6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54</w:t>
      </w:r>
      <w:r>
        <w:rPr>
          <w:lang w:eastAsia="en-US"/>
        </w:rPr>
        <w:fldChar w:fldCharType="end"/>
      </w:r>
      <w:r w:rsidR="000A37D0">
        <w:rPr>
          <w:lang w:eastAsia="en-US"/>
        </w:rPr>
        <w:t>.  </w:t>
      </w:r>
      <w:r>
        <w:rPr>
          <w:lang w:eastAsia="en-US"/>
        </w:rPr>
        <w:t>In the instant case the Court notes that the entry of a person</w:t>
      </w:r>
      <w:r w:rsidR="00DE4D33">
        <w:rPr>
          <w:lang w:eastAsia="en-US"/>
        </w:rPr>
        <w:t>'</w:t>
      </w:r>
      <w:r>
        <w:rPr>
          <w:lang w:eastAsia="en-US"/>
        </w:rPr>
        <w:t xml:space="preserve">s name in the bankruptcy register entails a series of personal restrictions </w:t>
      </w:r>
      <w:r w:rsidR="00936227">
        <w:rPr>
          <w:lang w:eastAsia="en-US"/>
        </w:rPr>
        <w:t>prescribed</w:t>
      </w:r>
      <w:r>
        <w:rPr>
          <w:lang w:eastAsia="en-US"/>
        </w:rPr>
        <w:t xml:space="preserve"> by law, such as a prohibition on being appointed as a guardian (Article 350 of the Civil Code)</w:t>
      </w:r>
      <w:r w:rsidR="00C713EF">
        <w:rPr>
          <w:lang w:eastAsia="en-US"/>
        </w:rPr>
        <w:t xml:space="preserve">, a prohibition on being appointed as the </w:t>
      </w:r>
      <w:r w:rsidR="00655B7D">
        <w:rPr>
          <w:lang w:eastAsia="en-US"/>
        </w:rPr>
        <w:t>director</w:t>
      </w:r>
      <w:r w:rsidR="00C713EF">
        <w:rPr>
          <w:lang w:eastAsia="en-US"/>
        </w:rPr>
        <w:t xml:space="preserve"> or trustee in bankruptcy of a </w:t>
      </w:r>
      <w:r w:rsidR="00655B7D">
        <w:rPr>
          <w:lang w:eastAsia="en-US"/>
        </w:rPr>
        <w:t xml:space="preserve">commercial or cooperative </w:t>
      </w:r>
      <w:r w:rsidR="00C713EF">
        <w:rPr>
          <w:lang w:eastAsia="en-US"/>
        </w:rPr>
        <w:t>company (</w:t>
      </w:r>
      <w:r w:rsidR="00655B7D">
        <w:rPr>
          <w:lang w:eastAsia="en-US"/>
        </w:rPr>
        <w:t>A</w:t>
      </w:r>
      <w:r w:rsidR="00C713EF">
        <w:rPr>
          <w:lang w:eastAsia="en-US"/>
        </w:rPr>
        <w:t>rticles</w:t>
      </w:r>
      <w:r w:rsidR="00936227">
        <w:rPr>
          <w:lang w:eastAsia="en-US"/>
        </w:rPr>
        <w:t> </w:t>
      </w:r>
      <w:r w:rsidR="00C713EF">
        <w:rPr>
          <w:lang w:eastAsia="en-US"/>
        </w:rPr>
        <w:t xml:space="preserve">2382, 2399, 2417 and 2516 of the Civil Code), </w:t>
      </w:r>
      <w:r w:rsidR="00CC29B0">
        <w:rPr>
          <w:lang w:eastAsia="en-US"/>
        </w:rPr>
        <w:t>exclusion</w:t>
      </w:r>
      <w:r w:rsidR="00C713EF">
        <w:rPr>
          <w:lang w:eastAsia="en-US"/>
        </w:rPr>
        <w:t xml:space="preserve"> </w:t>
      </w:r>
      <w:r w:rsidRPr="00C713EF" w:rsidR="00C713EF">
        <w:rPr>
          <w:i/>
          <w:lang w:eastAsia="en-US"/>
        </w:rPr>
        <w:t>ex lege</w:t>
      </w:r>
      <w:r w:rsidR="00C713EF">
        <w:rPr>
          <w:lang w:eastAsia="en-US"/>
        </w:rPr>
        <w:t xml:space="preserve"> </w:t>
      </w:r>
      <w:r w:rsidR="00F63692">
        <w:rPr>
          <w:lang w:eastAsia="en-US"/>
        </w:rPr>
        <w:t>from membership</w:t>
      </w:r>
      <w:r w:rsidR="00C713EF">
        <w:rPr>
          <w:lang w:eastAsia="en-US"/>
        </w:rPr>
        <w:t xml:space="preserve"> of a company (Articles 2288, 2293 and 2318 of the Civil Code), </w:t>
      </w:r>
      <w:r w:rsidR="00936227">
        <w:rPr>
          <w:lang w:eastAsia="en-US"/>
        </w:rPr>
        <w:t xml:space="preserve">and </w:t>
      </w:r>
      <w:r w:rsidR="00C713EF">
        <w:rPr>
          <w:lang w:eastAsia="en-US"/>
        </w:rPr>
        <w:t xml:space="preserve">the </w:t>
      </w:r>
      <w:r w:rsidR="007771EE">
        <w:rPr>
          <w:lang w:eastAsia="en-US"/>
        </w:rPr>
        <w:t xml:space="preserve">prohibition on carrying </w:t>
      </w:r>
      <w:r w:rsidR="000F6356">
        <w:rPr>
          <w:lang w:eastAsia="en-US"/>
        </w:rPr>
        <w:t>on</w:t>
      </w:r>
      <w:r w:rsidR="00C713EF">
        <w:rPr>
          <w:lang w:eastAsia="en-US"/>
        </w:rPr>
        <w:t xml:space="preserve"> the occupation</w:t>
      </w:r>
      <w:r w:rsidR="007F0242">
        <w:rPr>
          <w:lang w:eastAsia="en-US"/>
        </w:rPr>
        <w:t>s</w:t>
      </w:r>
      <w:r w:rsidR="00C713EF">
        <w:rPr>
          <w:lang w:eastAsia="en-US"/>
        </w:rPr>
        <w:t xml:space="preserve"> of trustee in bankruptcy (Article 393 of the </w:t>
      </w:r>
      <w:r w:rsidR="007F0242">
        <w:rPr>
          <w:lang w:eastAsia="en-US"/>
        </w:rPr>
        <w:t>C</w:t>
      </w:r>
      <w:r w:rsidR="00C713EF">
        <w:rPr>
          <w:lang w:eastAsia="en-US"/>
        </w:rPr>
        <w:t xml:space="preserve">ivil </w:t>
      </w:r>
      <w:r w:rsidR="007F0242">
        <w:rPr>
          <w:lang w:eastAsia="en-US"/>
        </w:rPr>
        <w:t>C</w:t>
      </w:r>
      <w:r w:rsidR="00C713EF">
        <w:rPr>
          <w:lang w:eastAsia="en-US"/>
        </w:rPr>
        <w:t>ode), stockbroker (section 57 of Law no. 272 of 1913), auditor (Article 5 of Royal Decree no. 228 of 1937)</w:t>
      </w:r>
      <w:r w:rsidR="007771EE">
        <w:rPr>
          <w:lang w:eastAsia="en-US"/>
        </w:rPr>
        <w:t>,</w:t>
      </w:r>
      <w:r w:rsidR="00C713EF">
        <w:rPr>
          <w:lang w:eastAsia="en-US"/>
        </w:rPr>
        <w:t xml:space="preserve"> or arbitrator (Article 812 of the Code of Civil Procedure). Further restrictions </w:t>
      </w:r>
      <w:r w:rsidR="00EF0D95">
        <w:rPr>
          <w:lang w:eastAsia="en-US"/>
        </w:rPr>
        <w:t>flow</w:t>
      </w:r>
      <w:r w:rsidR="00C713EF">
        <w:rPr>
          <w:lang w:eastAsia="en-US"/>
        </w:rPr>
        <w:t xml:space="preserve"> from the fact that the bankrupt, since he or she no longer enjoys full civil rights,</w:t>
      </w:r>
      <w:r w:rsidR="000A37D0">
        <w:rPr>
          <w:lang w:eastAsia="en-US"/>
        </w:rPr>
        <w:t xml:space="preserve"> </w:t>
      </w:r>
      <w:r w:rsidR="007F0242">
        <w:rPr>
          <w:lang w:eastAsia="en-US"/>
        </w:rPr>
        <w:t>cannot</w:t>
      </w:r>
      <w:r w:rsidR="000A37D0">
        <w:rPr>
          <w:lang w:eastAsia="en-US"/>
        </w:rPr>
        <w:t xml:space="preserve"> be registered as a member of certain professions (for instance as a lawyer, notary or business adviser). In the Court</w:t>
      </w:r>
      <w:r w:rsidR="00DE4D33">
        <w:rPr>
          <w:lang w:eastAsia="en-US"/>
        </w:rPr>
        <w:t>'</w:t>
      </w:r>
      <w:r w:rsidR="000A37D0">
        <w:rPr>
          <w:lang w:eastAsia="en-US"/>
        </w:rPr>
        <w:t xml:space="preserve">s view, restrictions of this kind, which </w:t>
      </w:r>
      <w:r w:rsidR="004B03C0">
        <w:rPr>
          <w:lang w:eastAsia="en-US"/>
        </w:rPr>
        <w:t xml:space="preserve">would have </w:t>
      </w:r>
      <w:r w:rsidR="000A37D0">
        <w:rPr>
          <w:lang w:eastAsia="en-US"/>
        </w:rPr>
        <w:t>affect</w:t>
      </w:r>
      <w:r w:rsidR="000465FF">
        <w:rPr>
          <w:lang w:eastAsia="en-US"/>
        </w:rPr>
        <w:t>ed</w:t>
      </w:r>
      <w:r w:rsidR="000A37D0">
        <w:rPr>
          <w:lang w:eastAsia="en-US"/>
        </w:rPr>
        <w:t xml:space="preserve"> </w:t>
      </w:r>
      <w:r w:rsidR="000465FF">
        <w:rPr>
          <w:lang w:eastAsia="en-US"/>
        </w:rPr>
        <w:t xml:space="preserve">the </w:t>
      </w:r>
      <w:r w:rsidR="000A37D0">
        <w:rPr>
          <w:lang w:eastAsia="en-US"/>
        </w:rPr>
        <w:t>applicant</w:t>
      </w:r>
      <w:r w:rsidR="00DE4D33">
        <w:rPr>
          <w:lang w:eastAsia="en-US"/>
        </w:rPr>
        <w:t>'</w:t>
      </w:r>
      <w:r w:rsidR="000A37D0">
        <w:rPr>
          <w:lang w:eastAsia="en-US"/>
        </w:rPr>
        <w:t xml:space="preserve">s ability to develop relationships with the outside world, undoubtedly fall within the sphere of </w:t>
      </w:r>
      <w:r w:rsidR="000465FF">
        <w:rPr>
          <w:lang w:eastAsia="en-US"/>
        </w:rPr>
        <w:t>her</w:t>
      </w:r>
      <w:r w:rsidR="000A37D0">
        <w:rPr>
          <w:lang w:eastAsia="en-US"/>
        </w:rPr>
        <w:t xml:space="preserve"> private life (see, </w:t>
      </w:r>
      <w:r w:rsidR="000A37D0">
        <w:rPr>
          <w:i/>
          <w:lang w:eastAsia="en-US"/>
        </w:rPr>
        <w:t>mutatis mutandis</w:t>
      </w:r>
      <w:r w:rsidR="000A37D0">
        <w:rPr>
          <w:lang w:eastAsia="en-US"/>
        </w:rPr>
        <w:t xml:space="preserve">, </w:t>
      </w:r>
      <w:r w:rsidR="000A37D0">
        <w:rPr>
          <w:i/>
          <w:lang w:eastAsia="en-US"/>
        </w:rPr>
        <w:t>Sidabras and Džiautas</w:t>
      </w:r>
      <w:r w:rsidR="000A37D0">
        <w:rPr>
          <w:lang w:eastAsia="en-US"/>
        </w:rPr>
        <w:t>, cited above, § 48). Article 8 of the Convention is therefore applicable in the instant case.</w:t>
      </w:r>
    </w:p>
    <w:p w:rsidR="000A37D0" w:rsidP="00DE1FE8" w:rsidRDefault="000A37D0">
      <w:pPr>
        <w:pStyle w:val="JuH1"/>
        <w:rPr>
          <w:lang w:eastAsia="en-US"/>
        </w:rPr>
      </w:pPr>
      <w:r>
        <w:rPr>
          <w:lang w:eastAsia="en-US"/>
        </w:rPr>
        <w:t>2.  Compliance with Article 8 of the Convention</w:t>
      </w:r>
    </w:p>
    <w:p w:rsidR="000A37D0" w:rsidP="00DE1FE8" w:rsidRDefault="000A37D0">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55</w:t>
      </w:r>
      <w:r>
        <w:rPr>
          <w:lang w:eastAsia="en-US"/>
        </w:rPr>
        <w:fldChar w:fldCharType="end"/>
      </w:r>
      <w:r>
        <w:rPr>
          <w:lang w:eastAsia="en-US"/>
        </w:rPr>
        <w:t>.  The Government submitted that the restrictions resulting from entry in the bankruptcy register related solely to the exercise of the functions of guardian</w:t>
      </w:r>
      <w:r w:rsidR="00655B7D">
        <w:rPr>
          <w:lang w:eastAsia="en-US"/>
        </w:rPr>
        <w:t xml:space="preserve"> and</w:t>
      </w:r>
      <w:r>
        <w:rPr>
          <w:lang w:eastAsia="en-US"/>
        </w:rPr>
        <w:t xml:space="preserve"> </w:t>
      </w:r>
      <w:r w:rsidR="00655B7D">
        <w:rPr>
          <w:lang w:eastAsia="en-US"/>
        </w:rPr>
        <w:t>company director</w:t>
      </w:r>
      <w:r w:rsidR="007771EE">
        <w:rPr>
          <w:lang w:eastAsia="en-US"/>
        </w:rPr>
        <w:t xml:space="preserve"> and certain public-</w:t>
      </w:r>
      <w:r>
        <w:rPr>
          <w:lang w:eastAsia="en-US"/>
        </w:rPr>
        <w:t>sector posts. It was not desirable for bankrupt</w:t>
      </w:r>
      <w:r w:rsidR="00345857">
        <w:rPr>
          <w:lang w:eastAsia="en-US"/>
        </w:rPr>
        <w:t>s</w:t>
      </w:r>
      <w:r>
        <w:rPr>
          <w:lang w:eastAsia="en-US"/>
        </w:rPr>
        <w:t xml:space="preserve"> </w:t>
      </w:r>
      <w:r w:rsidR="0055705E">
        <w:rPr>
          <w:lang w:eastAsia="en-US"/>
        </w:rPr>
        <w:t>to</w:t>
      </w:r>
      <w:r w:rsidR="007771EE">
        <w:rPr>
          <w:lang w:eastAsia="en-US"/>
        </w:rPr>
        <w:t xml:space="preserve"> be in charge of managing other people</w:t>
      </w:r>
      <w:r w:rsidR="00DE4D33">
        <w:rPr>
          <w:lang w:eastAsia="en-US"/>
        </w:rPr>
        <w:t>'</w:t>
      </w:r>
      <w:r w:rsidR="007771EE">
        <w:rPr>
          <w:lang w:eastAsia="en-US"/>
        </w:rPr>
        <w:t>s</w:t>
      </w:r>
      <w:r w:rsidR="0055705E">
        <w:rPr>
          <w:lang w:eastAsia="en-US"/>
        </w:rPr>
        <w:t xml:space="preserve"> possessions </w:t>
      </w:r>
      <w:r w:rsidR="00A65124">
        <w:rPr>
          <w:lang w:eastAsia="en-US"/>
        </w:rPr>
        <w:t xml:space="preserve">unless </w:t>
      </w:r>
      <w:r w:rsidR="0055705E">
        <w:rPr>
          <w:lang w:eastAsia="en-US"/>
        </w:rPr>
        <w:t xml:space="preserve">they </w:t>
      </w:r>
      <w:r>
        <w:rPr>
          <w:lang w:eastAsia="en-US"/>
        </w:rPr>
        <w:t xml:space="preserve">had been </w:t>
      </w:r>
      <w:r w:rsidR="005516DC">
        <w:rPr>
          <w:lang w:eastAsia="en-US"/>
        </w:rPr>
        <w:t>rehabilitated</w:t>
      </w:r>
      <w:r>
        <w:rPr>
          <w:lang w:eastAsia="en-US"/>
        </w:rPr>
        <w:t xml:space="preserve"> and </w:t>
      </w:r>
      <w:r w:rsidR="00A65124">
        <w:rPr>
          <w:lang w:eastAsia="en-US"/>
        </w:rPr>
        <w:t>thus</w:t>
      </w:r>
      <w:r>
        <w:rPr>
          <w:lang w:eastAsia="en-US"/>
        </w:rPr>
        <w:t xml:space="preserve"> </w:t>
      </w:r>
      <w:r w:rsidR="007771EE">
        <w:rPr>
          <w:lang w:eastAsia="en-US"/>
        </w:rPr>
        <w:t xml:space="preserve">demonstrated </w:t>
      </w:r>
      <w:r w:rsidR="00655B7D">
        <w:rPr>
          <w:lang w:eastAsia="en-US"/>
        </w:rPr>
        <w:t>themselves</w:t>
      </w:r>
      <w:r>
        <w:rPr>
          <w:lang w:eastAsia="en-US"/>
        </w:rPr>
        <w:t xml:space="preserve"> </w:t>
      </w:r>
      <w:r w:rsidR="00AA3029">
        <w:rPr>
          <w:lang w:eastAsia="en-US"/>
        </w:rPr>
        <w:t>fit for the task</w:t>
      </w:r>
      <w:r w:rsidR="0055705E">
        <w:rPr>
          <w:lang w:eastAsia="en-US"/>
        </w:rPr>
        <w:t xml:space="preserve"> </w:t>
      </w:r>
      <w:r>
        <w:rPr>
          <w:lang w:eastAsia="en-US"/>
        </w:rPr>
        <w:t>(</w:t>
      </w:r>
      <w:r w:rsidRPr="000A37D0">
        <w:rPr>
          <w:i/>
          <w:lang w:eastAsia="en-US"/>
        </w:rPr>
        <w:t>meritevole</w:t>
      </w:r>
      <w:r>
        <w:rPr>
          <w:lang w:eastAsia="en-US"/>
        </w:rPr>
        <w:t xml:space="preserve">). With that in mind, </w:t>
      </w:r>
      <w:r w:rsidR="005516DC">
        <w:rPr>
          <w:lang w:eastAsia="en-US"/>
        </w:rPr>
        <w:t>rehabilitation</w:t>
      </w:r>
      <w:r>
        <w:rPr>
          <w:lang w:eastAsia="en-US"/>
        </w:rPr>
        <w:t xml:space="preserve"> was granted by the courts only on condition</w:t>
      </w:r>
      <w:r w:rsidR="004B69CE">
        <w:rPr>
          <w:lang w:eastAsia="en-US"/>
        </w:rPr>
        <w:t xml:space="preserve"> that the </w:t>
      </w:r>
      <w:r w:rsidR="00FD1E7D">
        <w:rPr>
          <w:lang w:eastAsia="en-US"/>
        </w:rPr>
        <w:t xml:space="preserve">information gathered by </w:t>
      </w:r>
      <w:r w:rsidR="0082444F">
        <w:rPr>
          <w:lang w:eastAsia="en-US"/>
        </w:rPr>
        <w:t xml:space="preserve">the </w:t>
      </w:r>
      <w:r w:rsidR="004B69CE">
        <w:rPr>
          <w:lang w:eastAsia="en-US"/>
        </w:rPr>
        <w:t xml:space="preserve">police was </w:t>
      </w:r>
      <w:r w:rsidR="00FD1E7D">
        <w:rPr>
          <w:lang w:eastAsia="en-US"/>
        </w:rPr>
        <w:t>favourable</w:t>
      </w:r>
      <w:r w:rsidR="004B69CE">
        <w:rPr>
          <w:lang w:eastAsia="en-US"/>
        </w:rPr>
        <w:t xml:space="preserve"> and </w:t>
      </w:r>
      <w:r w:rsidR="00A44691">
        <w:rPr>
          <w:lang w:eastAsia="en-US"/>
        </w:rPr>
        <w:t xml:space="preserve">there had been no judgments or legal proceedings against </w:t>
      </w:r>
      <w:r w:rsidR="004B69CE">
        <w:rPr>
          <w:lang w:eastAsia="en-US"/>
        </w:rPr>
        <w:t>the bankrupt person.</w:t>
      </w:r>
    </w:p>
    <w:p w:rsidR="004B69CE" w:rsidP="00DE1FE8" w:rsidRDefault="004B69CE">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56</w:t>
      </w:r>
      <w:r>
        <w:rPr>
          <w:lang w:eastAsia="en-US"/>
        </w:rPr>
        <w:fldChar w:fldCharType="end"/>
      </w:r>
      <w:r>
        <w:rPr>
          <w:lang w:eastAsia="en-US"/>
        </w:rPr>
        <w:t xml:space="preserve">.  The applicant contended that the entry of her name in the bankruptcy register and the obstacles to </w:t>
      </w:r>
      <w:r w:rsidR="00FD1E7D">
        <w:rPr>
          <w:lang w:eastAsia="en-US"/>
        </w:rPr>
        <w:t xml:space="preserve">her </w:t>
      </w:r>
      <w:r w:rsidR="005516DC">
        <w:rPr>
          <w:lang w:eastAsia="en-US"/>
        </w:rPr>
        <w:t>rehabilitation</w:t>
      </w:r>
      <w:r>
        <w:rPr>
          <w:lang w:eastAsia="en-US"/>
        </w:rPr>
        <w:t xml:space="preserve"> </w:t>
      </w:r>
      <w:r w:rsidR="00FD1E7D">
        <w:rPr>
          <w:lang w:eastAsia="en-US"/>
        </w:rPr>
        <w:t>had been</w:t>
      </w:r>
      <w:r>
        <w:rPr>
          <w:lang w:eastAsia="en-US"/>
        </w:rPr>
        <w:t xml:space="preserve"> disproportionate to the aim of protecting</w:t>
      </w:r>
      <w:r w:rsidR="00FD1E7D">
        <w:rPr>
          <w:lang w:eastAsia="en-US"/>
        </w:rPr>
        <w:t xml:space="preserve"> her</w:t>
      </w:r>
      <w:r>
        <w:rPr>
          <w:lang w:eastAsia="en-US"/>
        </w:rPr>
        <w:t xml:space="preserve"> creditors. Entry in the bankruptcy register and the numerous restrictions arising out of it dated back to Renaissance</w:t>
      </w:r>
      <w:r w:rsidR="004212FB">
        <w:rPr>
          <w:lang w:eastAsia="en-US"/>
        </w:rPr>
        <w:t xml:space="preserve"> times</w:t>
      </w:r>
      <w:r>
        <w:rPr>
          <w:lang w:eastAsia="en-US"/>
        </w:rPr>
        <w:t xml:space="preserve">, when a declaration of bankruptcy </w:t>
      </w:r>
      <w:r w:rsidR="00345857">
        <w:rPr>
          <w:lang w:eastAsia="en-US"/>
        </w:rPr>
        <w:t>had been</w:t>
      </w:r>
      <w:r>
        <w:rPr>
          <w:lang w:eastAsia="en-US"/>
        </w:rPr>
        <w:t xml:space="preserve"> of an essentially criminal nature.</w:t>
      </w:r>
    </w:p>
    <w:p w:rsidR="004B69CE" w:rsidP="00DE1FE8" w:rsidRDefault="004B69CE">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57</w:t>
      </w:r>
      <w:r>
        <w:rPr>
          <w:lang w:eastAsia="en-US"/>
        </w:rPr>
        <w:fldChar w:fldCharType="end"/>
      </w:r>
      <w:r>
        <w:rPr>
          <w:lang w:eastAsia="en-US"/>
        </w:rPr>
        <w:t>.  </w:t>
      </w:r>
      <w:r w:rsidR="00763532">
        <w:rPr>
          <w:lang w:eastAsia="en-US"/>
        </w:rPr>
        <w:t xml:space="preserve">The Court observes that </w:t>
      </w:r>
      <w:r w:rsidRPr="00763532" w:rsidR="00763532">
        <w:rPr>
          <w:lang w:eastAsia="en-US"/>
        </w:rPr>
        <w:t xml:space="preserve">interference with the exercise of an Article 8 right will not be compatible with paragraph 2 unless it is </w:t>
      </w:r>
      <w:r w:rsidR="00763532">
        <w:rPr>
          <w:lang w:eastAsia="en-US"/>
        </w:rPr>
        <w:t>“</w:t>
      </w:r>
      <w:r w:rsidRPr="00763532" w:rsidR="00763532">
        <w:rPr>
          <w:lang w:eastAsia="en-US"/>
        </w:rPr>
        <w:t>in accordance with the law</w:t>
      </w:r>
      <w:r w:rsidR="00763532">
        <w:rPr>
          <w:lang w:eastAsia="en-US"/>
        </w:rPr>
        <w:t>”</w:t>
      </w:r>
      <w:r w:rsidRPr="00763532" w:rsidR="00763532">
        <w:rPr>
          <w:lang w:eastAsia="en-US"/>
        </w:rPr>
        <w:t xml:space="preserve">, has an aim or aims that is or are legitimate under that paragraph and is </w:t>
      </w:r>
      <w:r w:rsidR="00763532">
        <w:rPr>
          <w:lang w:eastAsia="en-US"/>
        </w:rPr>
        <w:t>“</w:t>
      </w:r>
      <w:r w:rsidRPr="00763532" w:rsidR="00763532">
        <w:rPr>
          <w:lang w:eastAsia="en-US"/>
        </w:rPr>
        <w:t>necessary in a democratic society</w:t>
      </w:r>
      <w:r w:rsidR="00763532">
        <w:rPr>
          <w:lang w:eastAsia="en-US"/>
        </w:rPr>
        <w:t>”</w:t>
      </w:r>
      <w:r w:rsidRPr="00763532" w:rsidR="00763532">
        <w:rPr>
          <w:lang w:eastAsia="en-US"/>
        </w:rPr>
        <w:t xml:space="preserve"> for the aforesaid aim or aims</w:t>
      </w:r>
      <w:r w:rsidR="00763532">
        <w:rPr>
          <w:lang w:eastAsia="en-US"/>
        </w:rPr>
        <w:t xml:space="preserve"> (see </w:t>
      </w:r>
      <w:r w:rsidR="007771EE">
        <w:rPr>
          <w:i/>
          <w:lang w:eastAsia="en-US"/>
        </w:rPr>
        <w:t xml:space="preserve">Dudgeon </w:t>
      </w:r>
      <w:r w:rsidRPr="00763532" w:rsidR="00763532">
        <w:rPr>
          <w:i/>
          <w:lang w:eastAsia="en-US"/>
        </w:rPr>
        <w:t>v. the United Kingdom</w:t>
      </w:r>
      <w:r w:rsidRPr="00763532" w:rsidR="00763532">
        <w:rPr>
          <w:lang w:eastAsia="en-US"/>
        </w:rPr>
        <w:t xml:space="preserve">, </w:t>
      </w:r>
      <w:r w:rsidR="007771EE">
        <w:rPr>
          <w:lang w:eastAsia="en-US"/>
        </w:rPr>
        <w:t xml:space="preserve">22 October 1981, § 43, Series A no. </w:t>
      </w:r>
      <w:r w:rsidRPr="00763532" w:rsidR="00763532">
        <w:rPr>
          <w:lang w:eastAsia="en-US"/>
        </w:rPr>
        <w:t>45</w:t>
      </w:r>
      <w:r w:rsidR="00763532">
        <w:rPr>
          <w:lang w:eastAsia="en-US"/>
        </w:rPr>
        <w:t>).</w:t>
      </w:r>
    </w:p>
    <w:p w:rsidR="00763532" w:rsidP="00DE1FE8" w:rsidRDefault="00763532">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58</w:t>
      </w:r>
      <w:r>
        <w:rPr>
          <w:lang w:eastAsia="en-US"/>
        </w:rPr>
        <w:fldChar w:fldCharType="end"/>
      </w:r>
      <w:r>
        <w:rPr>
          <w:lang w:eastAsia="en-US"/>
        </w:rPr>
        <w:t>.  In view of the above considerations, the Court observes that the restrictions in question quite clearly amounted to interference with the applicant</w:t>
      </w:r>
      <w:r w:rsidR="00DE4D33">
        <w:rPr>
          <w:lang w:eastAsia="en-US"/>
        </w:rPr>
        <w:t>'</w:t>
      </w:r>
      <w:r>
        <w:rPr>
          <w:lang w:eastAsia="en-US"/>
        </w:rPr>
        <w:t xml:space="preserve">s right to respect </w:t>
      </w:r>
      <w:r w:rsidR="004212FB">
        <w:rPr>
          <w:lang w:eastAsia="en-US"/>
        </w:rPr>
        <w:t>for her</w:t>
      </w:r>
      <w:r>
        <w:rPr>
          <w:lang w:eastAsia="en-US"/>
        </w:rPr>
        <w:t xml:space="preserve"> private life. It notes that this interference </w:t>
      </w:r>
      <w:r w:rsidR="00345857">
        <w:rPr>
          <w:lang w:eastAsia="en-US"/>
        </w:rPr>
        <w:t>was</w:t>
      </w:r>
      <w:r>
        <w:rPr>
          <w:lang w:eastAsia="en-US"/>
        </w:rPr>
        <w:t xml:space="preserve"> in accordance with the law, namely section 50 of the Bankruptcy Act and the specific legislation </w:t>
      </w:r>
      <w:r w:rsidR="000465FF">
        <w:rPr>
          <w:lang w:eastAsia="en-US"/>
        </w:rPr>
        <w:t>set forth</w:t>
      </w:r>
      <w:r>
        <w:rPr>
          <w:lang w:eastAsia="en-US"/>
        </w:rPr>
        <w:t xml:space="preserve"> in part above.</w:t>
      </w:r>
    </w:p>
    <w:p w:rsidR="00763532" w:rsidP="00DE1FE8" w:rsidRDefault="00763532">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59</w:t>
      </w:r>
      <w:r>
        <w:rPr>
          <w:lang w:eastAsia="en-US"/>
        </w:rPr>
        <w:fldChar w:fldCharType="end"/>
      </w:r>
      <w:r>
        <w:rPr>
          <w:lang w:eastAsia="en-US"/>
        </w:rPr>
        <w:t>.  </w:t>
      </w:r>
      <w:r w:rsidR="004212FB">
        <w:rPr>
          <w:lang w:eastAsia="en-US"/>
        </w:rPr>
        <w:t>A</w:t>
      </w:r>
      <w:r>
        <w:rPr>
          <w:lang w:eastAsia="en-US"/>
        </w:rPr>
        <w:t xml:space="preserve">s to the aim pursued, the Court has doubts as to the legitimacy of the specific legislation, as most of the restrictions referred to amount to moral sanctions, </w:t>
      </w:r>
      <w:r w:rsidR="00345857">
        <w:rPr>
          <w:lang w:eastAsia="en-US"/>
        </w:rPr>
        <w:t>a fact</w:t>
      </w:r>
      <w:r>
        <w:rPr>
          <w:lang w:eastAsia="en-US"/>
        </w:rPr>
        <w:t xml:space="preserve"> implicitly acknowledged by the Government.</w:t>
      </w:r>
    </w:p>
    <w:p w:rsidR="00763532" w:rsidP="00DE1FE8" w:rsidRDefault="00763532">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60</w:t>
      </w:r>
      <w:r>
        <w:rPr>
          <w:lang w:eastAsia="en-US"/>
        </w:rPr>
        <w:fldChar w:fldCharType="end"/>
      </w:r>
      <w:r>
        <w:rPr>
          <w:lang w:eastAsia="en-US"/>
        </w:rPr>
        <w:t>.  </w:t>
      </w:r>
      <w:r w:rsidR="005334D0">
        <w:rPr>
          <w:lang w:eastAsia="en-US"/>
        </w:rPr>
        <w:t>At the same time, the Court accepts that some of the restrictions pursue the aim of protecting the rights of others. This is the case</w:t>
      </w:r>
      <w:r w:rsidR="004212FB">
        <w:rPr>
          <w:lang w:eastAsia="en-US"/>
        </w:rPr>
        <w:t>,</w:t>
      </w:r>
      <w:r w:rsidR="005334D0">
        <w:rPr>
          <w:lang w:eastAsia="en-US"/>
        </w:rPr>
        <w:t xml:space="preserve"> for example</w:t>
      </w:r>
      <w:r w:rsidR="004212FB">
        <w:rPr>
          <w:lang w:eastAsia="en-US"/>
        </w:rPr>
        <w:t>,</w:t>
      </w:r>
      <w:r w:rsidR="005334D0">
        <w:rPr>
          <w:lang w:eastAsia="en-US"/>
        </w:rPr>
        <w:t xml:space="preserve"> </w:t>
      </w:r>
      <w:r w:rsidR="007771EE">
        <w:rPr>
          <w:lang w:eastAsia="en-US"/>
        </w:rPr>
        <w:t>for</w:t>
      </w:r>
      <w:r w:rsidR="00F63692">
        <w:rPr>
          <w:lang w:eastAsia="en-US"/>
        </w:rPr>
        <w:t xml:space="preserve"> the </w:t>
      </w:r>
      <w:r w:rsidR="00CC29B0">
        <w:rPr>
          <w:lang w:eastAsia="en-US"/>
        </w:rPr>
        <w:t>exclusion</w:t>
      </w:r>
      <w:r w:rsidR="005334D0">
        <w:rPr>
          <w:lang w:eastAsia="en-US"/>
        </w:rPr>
        <w:t xml:space="preserve"> </w:t>
      </w:r>
      <w:r w:rsidRPr="005334D0" w:rsidR="005334D0">
        <w:rPr>
          <w:i/>
          <w:lang w:eastAsia="en-US"/>
        </w:rPr>
        <w:t>ex lege</w:t>
      </w:r>
      <w:r w:rsidR="005334D0">
        <w:rPr>
          <w:lang w:eastAsia="en-US"/>
        </w:rPr>
        <w:t xml:space="preserve"> </w:t>
      </w:r>
      <w:r w:rsidR="00CC29B0">
        <w:rPr>
          <w:lang w:eastAsia="en-US"/>
        </w:rPr>
        <w:t xml:space="preserve">from a company </w:t>
      </w:r>
      <w:r w:rsidR="005334D0">
        <w:rPr>
          <w:lang w:eastAsia="en-US"/>
        </w:rPr>
        <w:t xml:space="preserve">of </w:t>
      </w:r>
      <w:r w:rsidR="00BC613D">
        <w:rPr>
          <w:lang w:eastAsia="en-US"/>
        </w:rPr>
        <w:t xml:space="preserve">a </w:t>
      </w:r>
      <w:r w:rsidR="005334D0">
        <w:rPr>
          <w:lang w:eastAsia="en-US"/>
        </w:rPr>
        <w:t>bankrupt</w:t>
      </w:r>
      <w:r w:rsidR="00CC29B0">
        <w:rPr>
          <w:lang w:eastAsia="en-US"/>
        </w:rPr>
        <w:t xml:space="preserve"> member</w:t>
      </w:r>
      <w:r w:rsidR="005334D0">
        <w:rPr>
          <w:lang w:eastAsia="en-US"/>
        </w:rPr>
        <w:t xml:space="preserve">, a measure designed to protect </w:t>
      </w:r>
      <w:r w:rsidR="000465FF">
        <w:rPr>
          <w:lang w:eastAsia="en-US"/>
        </w:rPr>
        <w:t>a</w:t>
      </w:r>
      <w:r w:rsidR="005334D0">
        <w:rPr>
          <w:lang w:eastAsia="en-US"/>
        </w:rPr>
        <w:t xml:space="preserve"> company</w:t>
      </w:r>
      <w:r w:rsidR="000465FF">
        <w:rPr>
          <w:lang w:eastAsia="en-US"/>
        </w:rPr>
        <w:t xml:space="preserve"> which is solvent</w:t>
      </w:r>
      <w:r w:rsidR="005334D0">
        <w:rPr>
          <w:lang w:eastAsia="en-US"/>
        </w:rPr>
        <w:t xml:space="preserve"> against the effects of the personal insolvency of one of its members (see Court of Cassation judgment no. 75 of 1991).</w:t>
      </w:r>
    </w:p>
    <w:p w:rsidR="005334D0" w:rsidP="00DE1FE8" w:rsidRDefault="005334D0">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61</w:t>
      </w:r>
      <w:r>
        <w:rPr>
          <w:lang w:eastAsia="en-US"/>
        </w:rPr>
        <w:fldChar w:fldCharType="end"/>
      </w:r>
      <w:r>
        <w:rPr>
          <w:lang w:eastAsia="en-US"/>
        </w:rPr>
        <w:t xml:space="preserve">.  The Court considers that the </w:t>
      </w:r>
      <w:r w:rsidR="001D1DFF">
        <w:rPr>
          <w:lang w:eastAsia="en-US"/>
        </w:rPr>
        <w:t>large volume</w:t>
      </w:r>
      <w:r>
        <w:rPr>
          <w:lang w:eastAsia="en-US"/>
        </w:rPr>
        <w:t xml:space="preserve"> of specific </w:t>
      </w:r>
      <w:r w:rsidR="001D1DFF">
        <w:rPr>
          <w:lang w:eastAsia="en-US"/>
        </w:rPr>
        <w:t>legislation</w:t>
      </w:r>
      <w:r>
        <w:rPr>
          <w:lang w:eastAsia="en-US"/>
        </w:rPr>
        <w:t xml:space="preserve"> in this sphere makes it difficult to </w:t>
      </w:r>
      <w:r w:rsidR="001D1DFF">
        <w:rPr>
          <w:lang w:eastAsia="en-US"/>
        </w:rPr>
        <w:t xml:space="preserve">conduct an exhaustive analysis of </w:t>
      </w:r>
      <w:r>
        <w:rPr>
          <w:lang w:eastAsia="en-US"/>
        </w:rPr>
        <w:t>the objectives of each restriction.</w:t>
      </w:r>
    </w:p>
    <w:p w:rsidR="005334D0" w:rsidP="00DE1FE8" w:rsidRDefault="005334D0">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62</w:t>
      </w:r>
      <w:r>
        <w:rPr>
          <w:lang w:eastAsia="en-US"/>
        </w:rPr>
        <w:fldChar w:fldCharType="end"/>
      </w:r>
      <w:r>
        <w:rPr>
          <w:lang w:eastAsia="en-US"/>
        </w:rPr>
        <w:t>.  Even if it is assumed that the aims of section 50 of the Bankruptcy Act and the specific legislation in this sphere are legitimate, the interference in question must be “necessary in a democratic society” within the meaning of Article 8 § 2 of the Convention.</w:t>
      </w:r>
    </w:p>
    <w:p w:rsidR="005334D0" w:rsidP="00DE1FE8" w:rsidRDefault="005334D0">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63</w:t>
      </w:r>
      <w:r>
        <w:rPr>
          <w:lang w:eastAsia="en-US"/>
        </w:rPr>
        <w:fldChar w:fldCharType="end"/>
      </w:r>
      <w:r>
        <w:rPr>
          <w:lang w:eastAsia="en-US"/>
        </w:rPr>
        <w:t xml:space="preserve">.  The Court notes that the restrictions in question </w:t>
      </w:r>
      <w:r w:rsidR="00FB38D4">
        <w:rPr>
          <w:lang w:eastAsia="en-US"/>
        </w:rPr>
        <w:t>do</w:t>
      </w:r>
      <w:r>
        <w:rPr>
          <w:lang w:eastAsia="en-US"/>
        </w:rPr>
        <w:t xml:space="preserve"> not result from a </w:t>
      </w:r>
      <w:r w:rsidR="00FB38D4">
        <w:rPr>
          <w:lang w:eastAsia="en-US"/>
        </w:rPr>
        <w:t>c</w:t>
      </w:r>
      <w:r>
        <w:rPr>
          <w:lang w:eastAsia="en-US"/>
        </w:rPr>
        <w:t xml:space="preserve">ourt decision but </w:t>
      </w:r>
      <w:r w:rsidR="00FB38D4">
        <w:rPr>
          <w:lang w:eastAsia="en-US"/>
        </w:rPr>
        <w:t>are</w:t>
      </w:r>
      <w:r>
        <w:rPr>
          <w:lang w:eastAsia="en-US"/>
        </w:rPr>
        <w:t xml:space="preserve"> the automatic consequence of the bankrupt</w:t>
      </w:r>
      <w:r w:rsidR="00FB38D4">
        <w:rPr>
          <w:lang w:eastAsia="en-US"/>
        </w:rPr>
        <w:t>cy</w:t>
      </w:r>
      <w:r>
        <w:rPr>
          <w:lang w:eastAsia="en-US"/>
        </w:rPr>
        <w:t>.</w:t>
      </w:r>
    </w:p>
    <w:p w:rsidR="001318AC" w:rsidP="00DE1FE8" w:rsidRDefault="005334D0">
      <w:pPr>
        <w:pStyle w:val="JuPara"/>
      </w:pPr>
      <w:r>
        <w:t>Furthermore, in contrast to certain restrictions aimed at protecting the bankrupt</w:t>
      </w:r>
      <w:r w:rsidR="00DE4D33">
        <w:t>'</w:t>
      </w:r>
      <w:r w:rsidR="00FB38D4">
        <w:t>s</w:t>
      </w:r>
      <w:r>
        <w:t xml:space="preserve"> creditors (</w:t>
      </w:r>
      <w:r w:rsidR="00764AF2">
        <w:t>such as restriction</w:t>
      </w:r>
      <w:r w:rsidR="00FB38D4">
        <w:t>s</w:t>
      </w:r>
      <w:r w:rsidR="00764AF2">
        <w:t xml:space="preserve"> </w:t>
      </w:r>
      <w:r w:rsidR="00FB38D4">
        <w:t>on</w:t>
      </w:r>
      <w:r w:rsidR="00764AF2">
        <w:t xml:space="preserve"> the right</w:t>
      </w:r>
      <w:r w:rsidR="001D1DFF">
        <w:t>s</w:t>
      </w:r>
      <w:r w:rsidR="00764AF2">
        <w:t xml:space="preserve"> to the peaceful enjoyment of one</w:t>
      </w:r>
      <w:r w:rsidR="00DE4D33">
        <w:t>'</w:t>
      </w:r>
      <w:r w:rsidR="00764AF2">
        <w:t xml:space="preserve">s possessions, </w:t>
      </w:r>
      <w:r w:rsidR="001D1DFF">
        <w:t>respect for one</w:t>
      </w:r>
      <w:r w:rsidR="00DE4D33">
        <w:t>'</w:t>
      </w:r>
      <w:r w:rsidR="001D1DFF">
        <w:t>s</w:t>
      </w:r>
      <w:r w:rsidR="00764AF2">
        <w:t xml:space="preserve"> correspondence </w:t>
      </w:r>
      <w:r w:rsidR="00FB38D4">
        <w:t>and</w:t>
      </w:r>
      <w:r w:rsidR="00764AF2">
        <w:t xml:space="preserve"> freedom of movement) which begin with the bankruptcy order and cease once the proceedings are terminated, the restrictions arising out of entry in the bankruptcy register do not cease until such time as </w:t>
      </w:r>
      <w:r w:rsidR="00FB38D4">
        <w:t>the bankrupt</w:t>
      </w:r>
      <w:r w:rsidR="00DE4D33">
        <w:t>'</w:t>
      </w:r>
      <w:r w:rsidR="00FB38D4">
        <w:t>s</w:t>
      </w:r>
      <w:r w:rsidR="00764AF2">
        <w:t xml:space="preserve"> name is removed from the register.</w:t>
      </w:r>
    </w:p>
    <w:p w:rsidR="00764AF2" w:rsidP="00DE1FE8" w:rsidRDefault="00764AF2">
      <w:pPr>
        <w:pStyle w:val="JuPara"/>
      </w:pPr>
      <w:r>
        <w:fldChar w:fldCharType="begin"/>
      </w:r>
      <w:r>
        <w:instrText xml:space="preserve"> SEQ level0 \*arabic </w:instrText>
      </w:r>
      <w:r>
        <w:fldChar w:fldCharType="separate"/>
      </w:r>
      <w:r w:rsidR="00A72C80">
        <w:rPr>
          <w:noProof/>
        </w:rPr>
        <w:t>64</w:t>
      </w:r>
      <w:r>
        <w:fldChar w:fldCharType="end"/>
      </w:r>
      <w:r>
        <w:t xml:space="preserve">.  Removal from the register occurs when the bankrupt is granted </w:t>
      </w:r>
      <w:r w:rsidR="005516DC">
        <w:t>rehabilitation</w:t>
      </w:r>
      <w:r>
        <w:t xml:space="preserve">. In addition to the requirement for </w:t>
      </w:r>
      <w:r w:rsidR="00FB38D4">
        <w:t xml:space="preserve">the </w:t>
      </w:r>
      <w:r>
        <w:t xml:space="preserve">bankrupt to have paid </w:t>
      </w:r>
      <w:r w:rsidR="00FB38D4">
        <w:t>his or her</w:t>
      </w:r>
      <w:r>
        <w:t xml:space="preserve"> debts in full and to have complied with the terms of the composition with creditors, an application for </w:t>
      </w:r>
      <w:r w:rsidR="005516DC">
        <w:t>rehabilitation</w:t>
      </w:r>
      <w:r>
        <w:t xml:space="preserve"> can be made only by </w:t>
      </w:r>
      <w:r w:rsidR="00FB38D4">
        <w:t xml:space="preserve">a </w:t>
      </w:r>
      <w:r>
        <w:t xml:space="preserve">bankrupt who </w:t>
      </w:r>
      <w:r w:rsidR="00FB38D4">
        <w:t>has</w:t>
      </w:r>
      <w:r>
        <w:t xml:space="preserve"> shown proof of “effective and consistent good conduct” for at least five years after terminat</w:t>
      </w:r>
      <w:r w:rsidR="007771EE">
        <w:t>ion of the proceedings (section </w:t>
      </w:r>
      <w:r>
        <w:t>143 of the Bankruptcy Act).</w:t>
      </w:r>
    </w:p>
    <w:p w:rsidR="00764AF2" w:rsidP="00DE1FE8" w:rsidRDefault="00764AF2">
      <w:pPr>
        <w:pStyle w:val="JuPara"/>
      </w:pPr>
      <w:r>
        <w:t>In the latter case, which applied to the applicant, the aim is not to protect creditors, but rather to make good the damage</w:t>
      </w:r>
      <w:r w:rsidR="00801ADF">
        <w:t xml:space="preserve"> to the public welfare caused by the bankruptcy. The expression “good conduct” should be taken to mean morally correct conduct on the part of the bankrupt </w:t>
      </w:r>
      <w:r w:rsidRPr="007771EE" w:rsidR="00801ADF">
        <w:rPr>
          <w:i/>
        </w:rPr>
        <w:t>vis-à-vis</w:t>
      </w:r>
      <w:r w:rsidR="00801ADF">
        <w:t xml:space="preserve"> society (see </w:t>
      </w:r>
      <w:r w:rsidR="00801ADF">
        <w:rPr>
          <w:i/>
        </w:rPr>
        <w:t>La crisi d</w:t>
      </w:r>
      <w:r w:rsidR="00DE4D33">
        <w:rPr>
          <w:i/>
        </w:rPr>
        <w:t>'</w:t>
      </w:r>
      <w:r w:rsidR="00801ADF">
        <w:rPr>
          <w:i/>
        </w:rPr>
        <w:t>impresa, il fallimento</w:t>
      </w:r>
      <w:r w:rsidR="00801ADF">
        <w:t>, cited above, p. 748).</w:t>
      </w:r>
    </w:p>
    <w:p w:rsidR="00801ADF" w:rsidP="00DE1FE8" w:rsidRDefault="00801ADF">
      <w:pPr>
        <w:pStyle w:val="JuPara"/>
      </w:pPr>
      <w:r>
        <w:t xml:space="preserve">The removal of the </w:t>
      </w:r>
      <w:r w:rsidR="00F4173D">
        <w:t xml:space="preserve">personal </w:t>
      </w:r>
      <w:r>
        <w:t xml:space="preserve">restrictions on the applicant therefore depended on an essentially moral judgment as to </w:t>
      </w:r>
      <w:r w:rsidR="00DA1ABB">
        <w:t>her</w:t>
      </w:r>
      <w:r>
        <w:t xml:space="preserve"> worthiness.</w:t>
      </w:r>
    </w:p>
    <w:p w:rsidR="00801ADF" w:rsidP="00DE1FE8" w:rsidRDefault="00801ADF">
      <w:pPr>
        <w:pStyle w:val="JuPara"/>
      </w:pPr>
      <w:r>
        <w:fldChar w:fldCharType="begin"/>
      </w:r>
      <w:r>
        <w:instrText xml:space="preserve"> SEQ level0 \*arabic </w:instrText>
      </w:r>
      <w:r>
        <w:fldChar w:fldCharType="separate"/>
      </w:r>
      <w:r w:rsidR="00A72C80">
        <w:rPr>
          <w:noProof/>
        </w:rPr>
        <w:t>65</w:t>
      </w:r>
      <w:r>
        <w:fldChar w:fldCharType="end"/>
      </w:r>
      <w:r>
        <w:t xml:space="preserve">.  While reiterating that the bankruptcy proceedings in question fell within the sphere of civil law and not criminal law, the Court notes that it has </w:t>
      </w:r>
      <w:r w:rsidR="00DA1ABB">
        <w:t>in the past</w:t>
      </w:r>
      <w:r>
        <w:t xml:space="preserve"> found a violation of Article 8 of the Convention </w:t>
      </w:r>
      <w:r w:rsidR="00DA1ABB">
        <w:t xml:space="preserve">with regard to the </w:t>
      </w:r>
      <w:r>
        <w:t xml:space="preserve">right to respect for family life on account of the automatic and absolute </w:t>
      </w:r>
      <w:r w:rsidR="00DA1ABB">
        <w:t>nature</w:t>
      </w:r>
      <w:r w:rsidRPr="00801ADF">
        <w:t xml:space="preserve"> </w:t>
      </w:r>
      <w:r>
        <w:t xml:space="preserve">of an ancillary penalty – in the form of a prohibition on exercising parental rights </w:t>
      </w:r>
      <w:r>
        <w:softHyphen/>
        <w:t xml:space="preserve">– </w:t>
      </w:r>
      <w:r w:rsidR="00DA1ABB">
        <w:t xml:space="preserve">imposed </w:t>
      </w:r>
      <w:r>
        <w:t xml:space="preserve">on </w:t>
      </w:r>
      <w:r w:rsidR="00A678FC">
        <w:t xml:space="preserve">all </w:t>
      </w:r>
      <w:r>
        <w:t xml:space="preserve">persons serving a prison sentence without </w:t>
      </w:r>
      <w:r w:rsidR="00DA1ABB">
        <w:t xml:space="preserve">there being </w:t>
      </w:r>
      <w:r>
        <w:t xml:space="preserve">any possibility of review by the courts (see </w:t>
      </w:r>
      <w:r>
        <w:rPr>
          <w:i/>
        </w:rPr>
        <w:t>Sabou and Pircalab</w:t>
      </w:r>
      <w:r>
        <w:t>, cited above, § 48).</w:t>
      </w:r>
    </w:p>
    <w:p w:rsidR="00801ADF" w:rsidP="00DE1FE8" w:rsidRDefault="005F0429">
      <w:pPr>
        <w:pStyle w:val="JuPara"/>
      </w:pPr>
      <w:r>
        <w:t xml:space="preserve">Furthermore, in the </w:t>
      </w:r>
      <w:r w:rsidRPr="005F0429">
        <w:rPr>
          <w:i/>
        </w:rPr>
        <w:t>Hirst</w:t>
      </w:r>
      <w:r>
        <w:t xml:space="preserve"> case (cited above, </w:t>
      </w:r>
      <w:r w:rsidR="003D252A">
        <w:t xml:space="preserve">§ </w:t>
      </w:r>
      <w:r>
        <w:t xml:space="preserve">82), the Court criticised the measure depriving prisoners of the right to vote </w:t>
      </w:r>
      <w:r w:rsidR="00F4173D">
        <w:t>on the ground that it amounted to</w:t>
      </w:r>
      <w:r w:rsidRPr="005F0429">
        <w:t xml:space="preserve"> a general, automatic and indiscriminate restriction on a Convention right</w:t>
      </w:r>
      <w:r>
        <w:t>.</w:t>
      </w:r>
    </w:p>
    <w:p w:rsidR="005F0429" w:rsidP="00DE1FE8" w:rsidRDefault="005F0429">
      <w:pPr>
        <w:pStyle w:val="JuPara"/>
      </w:pPr>
      <w:r>
        <w:t xml:space="preserve">Lastly, the Court </w:t>
      </w:r>
      <w:r w:rsidR="00EF0D95">
        <w:t>refers to</w:t>
      </w:r>
      <w:r>
        <w:t xml:space="preserve"> the case of </w:t>
      </w:r>
      <w:r w:rsidRPr="005F0429">
        <w:rPr>
          <w:i/>
        </w:rPr>
        <w:t>P.G. v. Italy</w:t>
      </w:r>
      <w:r>
        <w:t xml:space="preserve"> (</w:t>
      </w:r>
      <w:r w:rsidR="00DA1ABB">
        <w:t>no.</w:t>
      </w:r>
      <w:r>
        <w:t xml:space="preserve"> 22716/93</w:t>
      </w:r>
      <w:r w:rsidR="00DA1ABB">
        <w:t>,</w:t>
      </w:r>
      <w:r>
        <w:t xml:space="preserve"> Commission</w:t>
      </w:r>
      <w:r w:rsidR="00DE4D33">
        <w:t>'</w:t>
      </w:r>
      <w:r w:rsidR="00EF0D95">
        <w:t>s</w:t>
      </w:r>
      <w:r>
        <w:t xml:space="preserve"> report of 26 June 1996</w:t>
      </w:r>
      <w:r w:rsidR="007771EE">
        <w:t>, un</w:t>
      </w:r>
      <w:r w:rsidR="00EF0D95">
        <w:t>published</w:t>
      </w:r>
      <w:r>
        <w:t xml:space="preserve">) concerning the bankruptcy of a company existing </w:t>
      </w:r>
      <w:r w:rsidRPr="005F0429" w:rsidR="005F4107">
        <w:rPr>
          <w:i/>
        </w:rPr>
        <w:t xml:space="preserve">de facto </w:t>
      </w:r>
      <w:r>
        <w:t xml:space="preserve">between </w:t>
      </w:r>
      <w:r w:rsidR="005F4107">
        <w:t xml:space="preserve">a </w:t>
      </w:r>
      <w:r>
        <w:t xml:space="preserve">father and his son, who was a minor at the time. In its report, the </w:t>
      </w:r>
      <w:r w:rsidR="005F4107">
        <w:t>C</w:t>
      </w:r>
      <w:r>
        <w:t>ommission concluded</w:t>
      </w:r>
      <w:r w:rsidR="005F4107">
        <w:t xml:space="preserve"> that there had been a violation of Article 8 of the Convention </w:t>
      </w:r>
      <w:r w:rsidR="00DA1ABB">
        <w:t>with regard to</w:t>
      </w:r>
      <w:r w:rsidR="005F4107">
        <w:t xml:space="preserve"> the child</w:t>
      </w:r>
      <w:r w:rsidR="00DE4D33">
        <w:t>'</w:t>
      </w:r>
      <w:r w:rsidR="005F4107">
        <w:t xml:space="preserve">s right to respect for his private life. It </w:t>
      </w:r>
      <w:r w:rsidR="003D252A">
        <w:t>took the view</w:t>
      </w:r>
      <w:r w:rsidR="005F4107">
        <w:t xml:space="preserve"> that the fact that the court</w:t>
      </w:r>
      <w:r w:rsidR="00DA1ABB">
        <w:t xml:space="preserve"> had</w:t>
      </w:r>
      <w:r w:rsidR="005F4107">
        <w:t xml:space="preserve"> rejected his application for </w:t>
      </w:r>
      <w:r w:rsidR="005516DC">
        <w:t>rehabilitation</w:t>
      </w:r>
      <w:r w:rsidR="005F4107">
        <w:t xml:space="preserve"> on the sole ground that the period of five years following termination of the bankruptcy proceedings had not elapsed amounted to interference which was disproportionate to the aim of protecting creditors. The Commission considered that the court should have taken account of the </w:t>
      </w:r>
      <w:r w:rsidR="003D252A">
        <w:t>specific</w:t>
      </w:r>
      <w:r w:rsidR="005F4107">
        <w:t xml:space="preserve"> circumstances of the case, in particular the fact that the applicant had been a minor at the time and that his father had </w:t>
      </w:r>
      <w:r w:rsidR="00DA1ABB">
        <w:t>run</w:t>
      </w:r>
      <w:r w:rsidR="005F4107">
        <w:t xml:space="preserve"> the business which was subsequently declared bankrupt.</w:t>
      </w:r>
    </w:p>
    <w:p w:rsidR="00801ADF" w:rsidP="00DE1FE8" w:rsidRDefault="005F4107">
      <w:pPr>
        <w:pStyle w:val="JuPara"/>
      </w:pPr>
      <w:r>
        <w:fldChar w:fldCharType="begin"/>
      </w:r>
      <w:r>
        <w:instrText xml:space="preserve"> SEQ level0 \*arabic </w:instrText>
      </w:r>
      <w:r>
        <w:fldChar w:fldCharType="separate"/>
      </w:r>
      <w:r w:rsidR="00A72C80">
        <w:rPr>
          <w:noProof/>
        </w:rPr>
        <w:t>66</w:t>
      </w:r>
      <w:r>
        <w:fldChar w:fldCharType="end"/>
      </w:r>
      <w:r>
        <w:t>.  The Court therefore considers that</w:t>
      </w:r>
      <w:r w:rsidR="00DA1ABB">
        <w:t>, on account of</w:t>
      </w:r>
      <w:r>
        <w:t xml:space="preserve"> the fact that entry in the bankruptcy register was automatic and that</w:t>
      </w:r>
      <w:r w:rsidR="00A678FC">
        <w:t xml:space="preserve"> the</w:t>
      </w:r>
      <w:r>
        <w:t xml:space="preserve"> </w:t>
      </w:r>
      <w:r w:rsidR="00A678FC">
        <w:t>application</w:t>
      </w:r>
      <w:r>
        <w:t xml:space="preserve"> of the resulting restrictions was not examine</w:t>
      </w:r>
      <w:r w:rsidR="004B179F">
        <w:t>d</w:t>
      </w:r>
      <w:r>
        <w:t xml:space="preserve"> </w:t>
      </w:r>
      <w:r w:rsidR="004B179F">
        <w:t>or</w:t>
      </w:r>
      <w:r>
        <w:t xml:space="preserve"> reviewed by the courts,</w:t>
      </w:r>
      <w:r w:rsidR="004B179F">
        <w:t xml:space="preserve"> and given the length of time before </w:t>
      </w:r>
      <w:r w:rsidR="005516DC">
        <w:t>rehabilitation</w:t>
      </w:r>
      <w:r w:rsidR="004B179F">
        <w:t xml:space="preserve"> </w:t>
      </w:r>
      <w:r w:rsidR="00DA1ABB">
        <w:t>could</w:t>
      </w:r>
      <w:r w:rsidR="004B179F">
        <w:t xml:space="preserve"> be </w:t>
      </w:r>
      <w:r w:rsidR="00061592">
        <w:t>obtained</w:t>
      </w:r>
      <w:r w:rsidR="004B179F">
        <w:t>, the interference under section 50 of the Bankruptcy Act with the applicant</w:t>
      </w:r>
      <w:r w:rsidR="00DE4D33">
        <w:t>'</w:t>
      </w:r>
      <w:r w:rsidR="004B179F">
        <w:t>s right to respect for her private life was not “necessary in a democratic society” within the meaning of Article 8 § 2 of the Convention.</w:t>
      </w:r>
    </w:p>
    <w:p w:rsidR="004B179F" w:rsidP="00DE1FE8" w:rsidRDefault="004B179F">
      <w:pPr>
        <w:pStyle w:val="JuPara"/>
      </w:pPr>
      <w:r>
        <w:t>There has therefore been a violation of Article 8 of the Convention.</w:t>
      </w:r>
    </w:p>
    <w:p w:rsidR="004B179F" w:rsidP="00DE1FE8" w:rsidRDefault="004B179F">
      <w:pPr>
        <w:pStyle w:val="JuHIRoman"/>
      </w:pPr>
      <w:r>
        <w:t>IV.  ALLEGED VIOLATION OF ARTICLE 13 OF THE CONVENTION</w:t>
      </w:r>
    </w:p>
    <w:p w:rsidR="004B179F" w:rsidP="00DE1FE8" w:rsidRDefault="004B179F">
      <w:pPr>
        <w:pStyle w:val="JuPara"/>
      </w:pPr>
      <w:r>
        <w:fldChar w:fldCharType="begin"/>
      </w:r>
      <w:r>
        <w:instrText xml:space="preserve"> SEQ level0 \*arabic </w:instrText>
      </w:r>
      <w:r>
        <w:fldChar w:fldCharType="separate"/>
      </w:r>
      <w:r w:rsidR="00A72C80">
        <w:rPr>
          <w:noProof/>
        </w:rPr>
        <w:t>67</w:t>
      </w:r>
      <w:r>
        <w:fldChar w:fldCharType="end"/>
      </w:r>
      <w:r>
        <w:t>.  Relying on Article 13 of the Convention, the applicant complained that she had had</w:t>
      </w:r>
      <w:r w:rsidR="00450882">
        <w:t xml:space="preserve"> no effective remedy by which to complain of the restrictions on her </w:t>
      </w:r>
      <w:r w:rsidR="00520578">
        <w:t>property</w:t>
      </w:r>
      <w:r w:rsidR="00450882">
        <w:t xml:space="preserve"> and personal rights which were imposed throughout the bankruptcy proceedings and remained in force until she had </w:t>
      </w:r>
      <w:r w:rsidR="005516DC">
        <w:t>been rehabilitated</w:t>
      </w:r>
      <w:r w:rsidR="00450882">
        <w:t>. Article 13 provides:</w:t>
      </w:r>
    </w:p>
    <w:p w:rsidR="00450882" w:rsidP="00DE1FE8" w:rsidRDefault="00450882">
      <w:pPr>
        <w:pStyle w:val="JuQuot"/>
      </w:pPr>
      <w:r>
        <w:t>“Everyone whose rights and freedoms as set forth in [the] Convention are violated shall have an effective remedy before a national authority notwithstanding that the violation has been committed by persons acting in an official capacity.”</w:t>
      </w:r>
    </w:p>
    <w:p w:rsidR="00450882" w:rsidP="00DE1FE8" w:rsidRDefault="00450882">
      <w:pPr>
        <w:pStyle w:val="JuHA"/>
      </w:pPr>
      <w:r>
        <w:t>A.  Admissibility</w:t>
      </w:r>
    </w:p>
    <w:p w:rsidR="00450882" w:rsidP="00DE1FE8" w:rsidRDefault="00450882">
      <w:pPr>
        <w:pStyle w:val="JuPara"/>
      </w:pPr>
      <w:r>
        <w:fldChar w:fldCharType="begin"/>
      </w:r>
      <w:r>
        <w:instrText xml:space="preserve"> SEQ level0 \*arabic </w:instrText>
      </w:r>
      <w:r>
        <w:fldChar w:fldCharType="separate"/>
      </w:r>
      <w:r w:rsidR="00A72C80">
        <w:rPr>
          <w:noProof/>
        </w:rPr>
        <w:t>68</w:t>
      </w:r>
      <w:r>
        <w:fldChar w:fldCharType="end"/>
      </w:r>
      <w:r>
        <w:t>.  In the Government</w:t>
      </w:r>
      <w:r w:rsidR="00DE4D33">
        <w:t>'</w:t>
      </w:r>
      <w:r>
        <w:t xml:space="preserve">s submission, the applicant could have applied under section 18 of the </w:t>
      </w:r>
      <w:r w:rsidR="00FD4E29">
        <w:t>B</w:t>
      </w:r>
      <w:r>
        <w:t xml:space="preserve">ankruptcy </w:t>
      </w:r>
      <w:r w:rsidR="00FD4E29">
        <w:t>A</w:t>
      </w:r>
      <w:r>
        <w:t>ct to have the bankrupt</w:t>
      </w:r>
      <w:r w:rsidR="00180953">
        <w:t xml:space="preserve">cy order set aside </w:t>
      </w:r>
      <w:r>
        <w:t xml:space="preserve">and </w:t>
      </w:r>
      <w:r w:rsidR="009F5774">
        <w:t>thus</w:t>
      </w:r>
      <w:r>
        <w:t xml:space="preserve"> challenge</w:t>
      </w:r>
      <w:r w:rsidR="009F5774">
        <w:t>d</w:t>
      </w:r>
      <w:r>
        <w:t xml:space="preserve"> the resulting restrictions on her </w:t>
      </w:r>
      <w:r w:rsidR="006115F0">
        <w:t>property</w:t>
      </w:r>
      <w:r>
        <w:t xml:space="preserve"> and personal rights. She could also have lodged an appeal </w:t>
      </w:r>
      <w:r w:rsidR="007771EE">
        <w:t>under</w:t>
      </w:r>
      <w:r>
        <w:t xml:space="preserve"> section 26 or section 36 of the Bankruptcy Act.</w:t>
      </w:r>
    </w:p>
    <w:p w:rsidR="00450882" w:rsidP="00DE1FE8" w:rsidRDefault="00450882">
      <w:pPr>
        <w:pStyle w:val="JuPara"/>
      </w:pPr>
      <w:r>
        <w:fldChar w:fldCharType="begin"/>
      </w:r>
      <w:r>
        <w:instrText xml:space="preserve"> SEQ level0 \*arabic </w:instrText>
      </w:r>
      <w:r>
        <w:fldChar w:fldCharType="separate"/>
      </w:r>
      <w:r w:rsidR="00A72C80">
        <w:rPr>
          <w:noProof/>
        </w:rPr>
        <w:t>69</w:t>
      </w:r>
      <w:r>
        <w:fldChar w:fldCharType="end"/>
      </w:r>
      <w:r>
        <w:t>.  The applicant submitted that an application to have the judgment set aside did not constitute an effective remedy by which to complain of the prolonged restrictions on bankrupt</w:t>
      </w:r>
      <w:r w:rsidR="002D3108">
        <w:t>s</w:t>
      </w:r>
      <w:r w:rsidR="00DE4D33">
        <w:t>'</w:t>
      </w:r>
      <w:r>
        <w:t xml:space="preserve"> personal and </w:t>
      </w:r>
      <w:r w:rsidR="006115F0">
        <w:t>property</w:t>
      </w:r>
      <w:r>
        <w:t xml:space="preserve"> rights.</w:t>
      </w:r>
    </w:p>
    <w:p w:rsidR="00450882" w:rsidP="00DE1FE8" w:rsidRDefault="00450882">
      <w:pPr>
        <w:pStyle w:val="JuPara"/>
        <w:rPr>
          <w:lang w:eastAsia="en-US"/>
        </w:rPr>
      </w:pPr>
      <w:r>
        <w:fldChar w:fldCharType="begin"/>
      </w:r>
      <w:r>
        <w:instrText xml:space="preserve"> SEQ level0 \*arabic </w:instrText>
      </w:r>
      <w:r>
        <w:fldChar w:fldCharType="separate"/>
      </w:r>
      <w:r w:rsidR="00A72C80">
        <w:rPr>
          <w:noProof/>
        </w:rPr>
        <w:t>70</w:t>
      </w:r>
      <w:r>
        <w:fldChar w:fldCharType="end"/>
      </w:r>
      <w:r>
        <w:t>.  </w:t>
      </w:r>
      <w:r w:rsidRPr="009E2B61" w:rsidR="009E2B61">
        <w:t xml:space="preserve">The Court reiterates that it has consistently interpreted Article 13 as requiring a remedy in domestic law only in respect of grievances which can be regarded as “arguable” in terms of the Convention. Article 13 guarantees the availability at national level of a remedy to enforce the substance of the Convention rights and freedoms in whatever form they might happen to be secured in the domestic legal order. This Article therefore requires the provision of a domestic remedy allowing the “competent national authority” both to deal with the substance of the relevant Convention complaint and to grant appropriate relief. The remedy must be “effective” in practice as well as in law </w:t>
      </w:r>
      <w:r w:rsidR="009E2B61">
        <w:t xml:space="preserve">(see </w:t>
      </w:r>
      <w:r w:rsidRPr="009E2B61" w:rsidR="009E2B61">
        <w:rPr>
          <w:i/>
          <w:lang w:eastAsia="en-US"/>
        </w:rPr>
        <w:t>Soering</w:t>
      </w:r>
      <w:r w:rsidR="007771EE">
        <w:rPr>
          <w:i/>
          <w:lang w:eastAsia="en-US"/>
        </w:rPr>
        <w:t xml:space="preserve"> </w:t>
      </w:r>
      <w:r w:rsidRPr="009E2B61" w:rsidR="009E2B61">
        <w:rPr>
          <w:i/>
          <w:lang w:eastAsia="en-US"/>
        </w:rPr>
        <w:t>v. the United Kingdom</w:t>
      </w:r>
      <w:r w:rsidRPr="009E2B61" w:rsidR="009E2B61">
        <w:rPr>
          <w:lang w:eastAsia="en-US"/>
        </w:rPr>
        <w:t>, 7 July 1989</w:t>
      </w:r>
      <w:r w:rsidRPr="009E2B61" w:rsidR="007771EE">
        <w:rPr>
          <w:lang w:eastAsia="en-US"/>
        </w:rPr>
        <w:t xml:space="preserve">, </w:t>
      </w:r>
      <w:r w:rsidR="007771EE">
        <w:rPr>
          <w:lang w:eastAsia="en-US"/>
        </w:rPr>
        <w:t xml:space="preserve">§ 120, Series </w:t>
      </w:r>
      <w:r w:rsidRPr="009E2B61" w:rsidR="009E2B61">
        <w:rPr>
          <w:lang w:eastAsia="en-US"/>
        </w:rPr>
        <w:t>A no. 161</w:t>
      </w:r>
      <w:r w:rsidR="009E2B61">
        <w:rPr>
          <w:lang w:eastAsia="en-US"/>
        </w:rPr>
        <w:t>, and</w:t>
      </w:r>
      <w:r w:rsidR="007771EE">
        <w:rPr>
          <w:i/>
          <w:lang w:eastAsia="en-US"/>
        </w:rPr>
        <w:t xml:space="preserve"> Rotaru </w:t>
      </w:r>
      <w:r w:rsidRPr="009E2B61" w:rsidR="009E2B61">
        <w:rPr>
          <w:i/>
          <w:lang w:eastAsia="en-US"/>
        </w:rPr>
        <w:t xml:space="preserve">v. Romania </w:t>
      </w:r>
      <w:r w:rsidR="007771EE">
        <w:rPr>
          <w:lang w:eastAsia="en-US"/>
        </w:rPr>
        <w:t xml:space="preserve">[GC], no. 28341/95, § </w:t>
      </w:r>
      <w:r w:rsidR="009E2B61">
        <w:rPr>
          <w:lang w:eastAsia="en-US"/>
        </w:rPr>
        <w:t>67</w:t>
      </w:r>
      <w:r w:rsidRPr="009E2B61" w:rsidR="009E2B61">
        <w:rPr>
          <w:lang w:eastAsia="en-US"/>
        </w:rPr>
        <w:t>, ECHR 2000</w:t>
      </w:r>
      <w:r w:rsidRPr="009E2B61" w:rsidR="009E2B61">
        <w:rPr>
          <w:lang w:eastAsia="en-US"/>
        </w:rPr>
        <w:noBreakHyphen/>
        <w:t>V</w:t>
      </w:r>
      <w:r w:rsidR="009E2B61">
        <w:rPr>
          <w:lang w:eastAsia="en-US"/>
        </w:rPr>
        <w:t>).</w:t>
      </w:r>
    </w:p>
    <w:p w:rsidR="009E2B61" w:rsidP="00DE1FE8" w:rsidRDefault="009E2B61">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71</w:t>
      </w:r>
      <w:r>
        <w:rPr>
          <w:lang w:eastAsia="en-US"/>
        </w:rPr>
        <w:fldChar w:fldCharType="end"/>
      </w:r>
      <w:r>
        <w:rPr>
          <w:lang w:eastAsia="en-US"/>
        </w:rPr>
        <w:t>.  As to the part of the complaint relating to the prolonged restriction of the applicant</w:t>
      </w:r>
      <w:r w:rsidR="00DE4D33">
        <w:rPr>
          <w:lang w:eastAsia="en-US"/>
        </w:rPr>
        <w:t>'</w:t>
      </w:r>
      <w:r>
        <w:rPr>
          <w:lang w:eastAsia="en-US"/>
        </w:rPr>
        <w:t>s right to respect for her correspondence (Article 8 of the Convention), her right to the peaceful enjoyment of her possessions (Article</w:t>
      </w:r>
      <w:r w:rsidR="002D3108">
        <w:rPr>
          <w:lang w:eastAsia="en-US"/>
        </w:rPr>
        <w:t> </w:t>
      </w:r>
      <w:r>
        <w:rPr>
          <w:lang w:eastAsia="en-US"/>
        </w:rPr>
        <w:t xml:space="preserve">1 of Protocol No. 1) and her freedom of movement (Article 2 of Protocol No. 4), the Court </w:t>
      </w:r>
      <w:r w:rsidR="00180953">
        <w:rPr>
          <w:lang w:eastAsia="en-US"/>
        </w:rPr>
        <w:t>refers to</w:t>
      </w:r>
      <w:r>
        <w:rPr>
          <w:lang w:eastAsia="en-US"/>
        </w:rPr>
        <w:t xml:space="preserve"> its finding that there has been no violation. Accordingly, it takes the view that, since these are not </w:t>
      </w:r>
      <w:r w:rsidR="00DD4331">
        <w:rPr>
          <w:lang w:eastAsia="en-US"/>
        </w:rPr>
        <w:t>“</w:t>
      </w:r>
      <w:r>
        <w:rPr>
          <w:lang w:eastAsia="en-US"/>
        </w:rPr>
        <w:t>arguable</w:t>
      </w:r>
      <w:r w:rsidR="00DD4331">
        <w:rPr>
          <w:lang w:eastAsia="en-US"/>
        </w:rPr>
        <w:t>”</w:t>
      </w:r>
      <w:r>
        <w:rPr>
          <w:lang w:eastAsia="en-US"/>
        </w:rPr>
        <w:t xml:space="preserve"> complaints</w:t>
      </w:r>
      <w:r w:rsidR="00F13369">
        <w:rPr>
          <w:lang w:eastAsia="en-US"/>
        </w:rPr>
        <w:t xml:space="preserve"> under the Convention, this part of the application must be rejected as being manifestly ill-founded in accordance with Article 35 §§ 3 and 4 of the Convention.</w:t>
      </w:r>
    </w:p>
    <w:p w:rsidR="00F13369" w:rsidP="00DE1FE8" w:rsidRDefault="00F1336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72</w:t>
      </w:r>
      <w:r>
        <w:rPr>
          <w:lang w:eastAsia="en-US"/>
        </w:rPr>
        <w:fldChar w:fldCharType="end"/>
      </w:r>
      <w:r>
        <w:rPr>
          <w:lang w:eastAsia="en-US"/>
        </w:rPr>
        <w:t xml:space="preserve">.  As to the part of the complaint concerning the personal restrictions which arise out of entry in the bankruptcy register and are maintained until </w:t>
      </w:r>
      <w:r w:rsidR="005516DC">
        <w:rPr>
          <w:lang w:eastAsia="en-US"/>
        </w:rPr>
        <w:t>rehabilitation</w:t>
      </w:r>
      <w:r>
        <w:rPr>
          <w:lang w:eastAsia="en-US"/>
        </w:rPr>
        <w:t>, the Court notes that it is not manifestly ill</w:t>
      </w:r>
      <w:r>
        <w:rPr>
          <w:lang w:eastAsia="en-US"/>
        </w:rPr>
        <w:noBreakHyphen/>
        <w:t>founded within the meaning of Article 35 § 3 of the Convention. No other ground for declaring it inadmissible has been established. It must therefore be declared admissible.</w:t>
      </w:r>
    </w:p>
    <w:p w:rsidR="00F13369" w:rsidP="00DE1FE8" w:rsidRDefault="00F13369">
      <w:pPr>
        <w:pStyle w:val="JuHA"/>
        <w:rPr>
          <w:lang w:eastAsia="en-US"/>
        </w:rPr>
      </w:pPr>
      <w:r>
        <w:rPr>
          <w:lang w:eastAsia="en-US"/>
        </w:rPr>
        <w:t>B.  Merits</w:t>
      </w:r>
    </w:p>
    <w:p w:rsidR="00F13369" w:rsidP="00DE1FE8" w:rsidRDefault="00F1336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73</w:t>
      </w:r>
      <w:r>
        <w:rPr>
          <w:lang w:eastAsia="en-US"/>
        </w:rPr>
        <w:fldChar w:fldCharType="end"/>
      </w:r>
      <w:r>
        <w:rPr>
          <w:lang w:eastAsia="en-US"/>
        </w:rPr>
        <w:t xml:space="preserve">.  The Court </w:t>
      </w:r>
      <w:r w:rsidR="007771EE">
        <w:rPr>
          <w:lang w:eastAsia="en-US"/>
        </w:rPr>
        <w:t>refers to</w:t>
      </w:r>
      <w:r w:rsidR="00180953">
        <w:rPr>
          <w:lang w:eastAsia="en-US"/>
        </w:rPr>
        <w:t xml:space="preserve"> its finding of</w:t>
      </w:r>
      <w:r>
        <w:rPr>
          <w:lang w:eastAsia="en-US"/>
        </w:rPr>
        <w:t xml:space="preserve"> a violation of Article 8 of the Convention </w:t>
      </w:r>
      <w:r w:rsidR="002D3108">
        <w:rPr>
          <w:lang w:eastAsia="en-US"/>
        </w:rPr>
        <w:t>with regard</w:t>
      </w:r>
      <w:r>
        <w:rPr>
          <w:lang w:eastAsia="en-US"/>
        </w:rPr>
        <w:t xml:space="preserve"> to the applicant</w:t>
      </w:r>
      <w:r w:rsidR="00DE4D33">
        <w:rPr>
          <w:lang w:eastAsia="en-US"/>
        </w:rPr>
        <w:t>'</w:t>
      </w:r>
      <w:r>
        <w:rPr>
          <w:lang w:eastAsia="en-US"/>
        </w:rPr>
        <w:t xml:space="preserve">s right to respect for </w:t>
      </w:r>
      <w:r w:rsidR="002D3108">
        <w:rPr>
          <w:lang w:eastAsia="en-US"/>
        </w:rPr>
        <w:t xml:space="preserve">her </w:t>
      </w:r>
      <w:r>
        <w:rPr>
          <w:lang w:eastAsia="en-US"/>
        </w:rPr>
        <w:t xml:space="preserve">private life on account of the personal restrictions </w:t>
      </w:r>
      <w:r w:rsidR="00180953">
        <w:rPr>
          <w:lang w:eastAsia="en-US"/>
        </w:rPr>
        <w:t>which stemmed from</w:t>
      </w:r>
      <w:r>
        <w:rPr>
          <w:lang w:eastAsia="en-US"/>
        </w:rPr>
        <w:t xml:space="preserve"> </w:t>
      </w:r>
      <w:r w:rsidR="007771EE">
        <w:rPr>
          <w:lang w:eastAsia="en-US"/>
        </w:rPr>
        <w:t xml:space="preserve">the </w:t>
      </w:r>
      <w:r>
        <w:rPr>
          <w:lang w:eastAsia="en-US"/>
        </w:rPr>
        <w:t>entry of her name in the bankruptcy register</w:t>
      </w:r>
      <w:r w:rsidR="00180953">
        <w:rPr>
          <w:lang w:eastAsia="en-US"/>
        </w:rPr>
        <w:t xml:space="preserve"> and</w:t>
      </w:r>
      <w:r>
        <w:rPr>
          <w:lang w:eastAsia="en-US"/>
        </w:rPr>
        <w:t xml:space="preserve"> lasted until she had </w:t>
      </w:r>
      <w:r w:rsidR="005516DC">
        <w:rPr>
          <w:lang w:eastAsia="en-US"/>
        </w:rPr>
        <w:t>been granted rehabilitation</w:t>
      </w:r>
      <w:r>
        <w:rPr>
          <w:lang w:eastAsia="en-US"/>
        </w:rPr>
        <w:t>.</w:t>
      </w:r>
      <w:r w:rsidR="00661B6E">
        <w:rPr>
          <w:lang w:eastAsia="en-US"/>
        </w:rPr>
        <w:t xml:space="preserve"> This complaint is therefore un</w:t>
      </w:r>
      <w:r w:rsidR="00DD506C">
        <w:rPr>
          <w:lang w:eastAsia="en-US"/>
        </w:rPr>
        <w:t>questionab</w:t>
      </w:r>
      <w:r w:rsidR="00661B6E">
        <w:rPr>
          <w:lang w:eastAsia="en-US"/>
        </w:rPr>
        <w:t>ly “arguable” under the Convention. Accordingly, the applicant was entitled to have available to her an effective domestic remedy within the meaning of Article 13 of the Convention.</w:t>
      </w:r>
    </w:p>
    <w:p w:rsidR="00661B6E" w:rsidP="00DE1FE8" w:rsidRDefault="00661B6E">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74</w:t>
      </w:r>
      <w:r>
        <w:rPr>
          <w:lang w:eastAsia="en-US"/>
        </w:rPr>
        <w:fldChar w:fldCharType="end"/>
      </w:r>
      <w:r>
        <w:rPr>
          <w:lang w:eastAsia="en-US"/>
        </w:rPr>
        <w:t xml:space="preserve">.  The Court observes that an application to have the bankruptcy </w:t>
      </w:r>
      <w:r w:rsidR="00DD506C">
        <w:rPr>
          <w:lang w:eastAsia="en-US"/>
        </w:rPr>
        <w:t>order</w:t>
      </w:r>
      <w:r>
        <w:rPr>
          <w:lang w:eastAsia="en-US"/>
        </w:rPr>
        <w:t xml:space="preserve"> set aside under section 18 of the </w:t>
      </w:r>
      <w:r w:rsidR="002D3108">
        <w:rPr>
          <w:lang w:eastAsia="en-US"/>
        </w:rPr>
        <w:t>B</w:t>
      </w:r>
      <w:r>
        <w:rPr>
          <w:lang w:eastAsia="en-US"/>
        </w:rPr>
        <w:t xml:space="preserve">ankruptcy </w:t>
      </w:r>
      <w:r w:rsidR="002D3108">
        <w:rPr>
          <w:lang w:eastAsia="en-US"/>
        </w:rPr>
        <w:t>A</w:t>
      </w:r>
      <w:r>
        <w:rPr>
          <w:lang w:eastAsia="en-US"/>
        </w:rPr>
        <w:t xml:space="preserve">ct allows the bankrupt to apply to the </w:t>
      </w:r>
      <w:r w:rsidR="002D3108">
        <w:rPr>
          <w:lang w:eastAsia="en-US"/>
        </w:rPr>
        <w:t>c</w:t>
      </w:r>
      <w:r>
        <w:rPr>
          <w:lang w:eastAsia="en-US"/>
        </w:rPr>
        <w:t xml:space="preserve">ourt within fifteen days of being </w:t>
      </w:r>
      <w:r w:rsidR="002D3108">
        <w:rPr>
          <w:lang w:eastAsia="en-US"/>
        </w:rPr>
        <w:t>properly</w:t>
      </w:r>
      <w:r w:rsidR="00DD506C">
        <w:rPr>
          <w:lang w:eastAsia="en-US"/>
        </w:rPr>
        <w:t xml:space="preserve"> apprised of the judg</w:t>
      </w:r>
      <w:r>
        <w:rPr>
          <w:lang w:eastAsia="en-US"/>
        </w:rPr>
        <w:t>ment in question in order to challenge its legitimacy and have it overturned. In the Court</w:t>
      </w:r>
      <w:r w:rsidR="00DE4D33">
        <w:rPr>
          <w:lang w:eastAsia="en-US"/>
        </w:rPr>
        <w:t>'</w:t>
      </w:r>
      <w:r>
        <w:rPr>
          <w:lang w:eastAsia="en-US"/>
        </w:rPr>
        <w:t>s view, this does not constitute an effective remedy by which to complain of the p</w:t>
      </w:r>
      <w:r w:rsidR="002D3108">
        <w:rPr>
          <w:lang w:eastAsia="en-US"/>
        </w:rPr>
        <w:t xml:space="preserve">ersonal restrictions which </w:t>
      </w:r>
      <w:r w:rsidR="00732557">
        <w:rPr>
          <w:lang w:eastAsia="en-US"/>
        </w:rPr>
        <w:t>remain in place</w:t>
      </w:r>
      <w:r>
        <w:rPr>
          <w:lang w:eastAsia="en-US"/>
        </w:rPr>
        <w:t xml:space="preserve"> until </w:t>
      </w:r>
      <w:r w:rsidR="005516DC">
        <w:rPr>
          <w:lang w:eastAsia="en-US"/>
        </w:rPr>
        <w:t>rehabilitation</w:t>
      </w:r>
      <w:r w:rsidR="00F2521D">
        <w:rPr>
          <w:lang w:eastAsia="en-US"/>
        </w:rPr>
        <w:t xml:space="preserve"> has been </w:t>
      </w:r>
      <w:r w:rsidR="005516DC">
        <w:rPr>
          <w:lang w:eastAsia="en-US"/>
        </w:rPr>
        <w:t>granted</w:t>
      </w:r>
      <w:r>
        <w:rPr>
          <w:lang w:eastAsia="en-US"/>
        </w:rPr>
        <w:t xml:space="preserve">, </w:t>
      </w:r>
      <w:r w:rsidR="006115F0">
        <w:rPr>
          <w:lang w:eastAsia="en-US"/>
        </w:rPr>
        <w:t xml:space="preserve">particularly </w:t>
      </w:r>
      <w:r>
        <w:rPr>
          <w:lang w:eastAsia="en-US"/>
        </w:rPr>
        <w:t xml:space="preserve">in view of the length of time allowed for lodging such an application (see </w:t>
      </w:r>
      <w:r>
        <w:rPr>
          <w:i/>
          <w:lang w:eastAsia="en-US"/>
        </w:rPr>
        <w:t>Neroni v. Italy</w:t>
      </w:r>
      <w:r>
        <w:rPr>
          <w:lang w:eastAsia="en-US"/>
        </w:rPr>
        <w:t>, no.</w:t>
      </w:r>
      <w:r w:rsidR="00222E1E">
        <w:rPr>
          <w:lang w:eastAsia="en-US"/>
        </w:rPr>
        <w:t> </w:t>
      </w:r>
      <w:r>
        <w:rPr>
          <w:lang w:eastAsia="en-US"/>
        </w:rPr>
        <w:t>7503/02, §</w:t>
      </w:r>
      <w:r w:rsidR="00084DF6">
        <w:rPr>
          <w:lang w:eastAsia="en-US"/>
        </w:rPr>
        <w:t xml:space="preserve"> </w:t>
      </w:r>
      <w:r>
        <w:rPr>
          <w:lang w:eastAsia="en-US"/>
        </w:rPr>
        <w:t>35, 22 April 2004).</w:t>
      </w:r>
    </w:p>
    <w:p w:rsidR="00661B6E" w:rsidP="00DE1FE8" w:rsidRDefault="00661B6E">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75</w:t>
      </w:r>
      <w:r>
        <w:rPr>
          <w:lang w:eastAsia="en-US"/>
        </w:rPr>
        <w:fldChar w:fldCharType="end"/>
      </w:r>
      <w:r>
        <w:rPr>
          <w:lang w:eastAsia="en-US"/>
        </w:rPr>
        <w:t xml:space="preserve">.  Moreover, the Court observes that, although section 26 of the </w:t>
      </w:r>
      <w:r w:rsidR="003910F1">
        <w:rPr>
          <w:lang w:eastAsia="en-US"/>
        </w:rPr>
        <w:t>B</w:t>
      </w:r>
      <w:r>
        <w:rPr>
          <w:lang w:eastAsia="en-US"/>
        </w:rPr>
        <w:t xml:space="preserve">ankruptcy </w:t>
      </w:r>
      <w:r w:rsidR="003910F1">
        <w:rPr>
          <w:lang w:eastAsia="en-US"/>
        </w:rPr>
        <w:t>A</w:t>
      </w:r>
      <w:r>
        <w:rPr>
          <w:lang w:eastAsia="en-US"/>
        </w:rPr>
        <w:t xml:space="preserve">ct allows the bankrupt to lodge an appeal with the courts, such </w:t>
      </w:r>
      <w:r w:rsidR="00732557">
        <w:rPr>
          <w:lang w:eastAsia="en-US"/>
        </w:rPr>
        <w:t xml:space="preserve">an </w:t>
      </w:r>
      <w:r>
        <w:rPr>
          <w:lang w:eastAsia="en-US"/>
        </w:rPr>
        <w:t xml:space="preserve">appeal </w:t>
      </w:r>
      <w:r w:rsidR="006115F0">
        <w:rPr>
          <w:lang w:eastAsia="en-US"/>
        </w:rPr>
        <w:t>can</w:t>
      </w:r>
      <w:r>
        <w:rPr>
          <w:lang w:eastAsia="en-US"/>
        </w:rPr>
        <w:t xml:space="preserve"> relate only to the decisions of the </w:t>
      </w:r>
      <w:r w:rsidR="00732557">
        <w:rPr>
          <w:lang w:eastAsia="en-US"/>
        </w:rPr>
        <w:t>bankruptcy</w:t>
      </w:r>
      <w:r>
        <w:rPr>
          <w:lang w:eastAsia="en-US"/>
        </w:rPr>
        <w:t xml:space="preserve"> judge. Accordingly, it cannot constitute an effective remedy against the maintenance of the restrictions, which are a direct consequence not of any decision by the </w:t>
      </w:r>
      <w:r w:rsidR="00732557">
        <w:rPr>
          <w:lang w:eastAsia="en-US"/>
        </w:rPr>
        <w:t>bankruptcy</w:t>
      </w:r>
      <w:r>
        <w:rPr>
          <w:lang w:eastAsia="en-US"/>
        </w:rPr>
        <w:t xml:space="preserve"> judge </w:t>
      </w:r>
      <w:r w:rsidR="00732557">
        <w:rPr>
          <w:lang w:eastAsia="en-US"/>
        </w:rPr>
        <w:t>but</w:t>
      </w:r>
      <w:r>
        <w:rPr>
          <w:lang w:eastAsia="en-US"/>
        </w:rPr>
        <w:t xml:space="preserve"> of the bankruptcy order or the entry of the person</w:t>
      </w:r>
      <w:r w:rsidR="00DE4D33">
        <w:rPr>
          <w:lang w:eastAsia="en-US"/>
        </w:rPr>
        <w:t>'</w:t>
      </w:r>
      <w:r>
        <w:rPr>
          <w:lang w:eastAsia="en-US"/>
        </w:rPr>
        <w:t>s name in the bankruptcy register.</w:t>
      </w:r>
    </w:p>
    <w:p w:rsidR="003910F1" w:rsidP="00DE1FE8" w:rsidRDefault="003910F1">
      <w:pPr>
        <w:pStyle w:val="JuPara"/>
        <w:rPr>
          <w:lang w:eastAsia="en-US"/>
        </w:rPr>
      </w:pPr>
      <w:r>
        <w:rPr>
          <w:lang w:eastAsia="en-US"/>
        </w:rPr>
        <w:t xml:space="preserve">Section 36 of the Bankruptcy Act, meanwhile, makes it possible to apply to the </w:t>
      </w:r>
      <w:r w:rsidR="00732557">
        <w:rPr>
          <w:lang w:eastAsia="en-US"/>
        </w:rPr>
        <w:t>bankruptcy</w:t>
      </w:r>
      <w:r>
        <w:rPr>
          <w:lang w:eastAsia="en-US"/>
        </w:rPr>
        <w:t xml:space="preserve"> judge to complain of </w:t>
      </w:r>
      <w:r w:rsidR="00721C6E">
        <w:rPr>
          <w:lang w:eastAsia="en-US"/>
        </w:rPr>
        <w:t>measures taken by</w:t>
      </w:r>
      <w:r>
        <w:rPr>
          <w:lang w:eastAsia="en-US"/>
        </w:rPr>
        <w:t xml:space="preserve"> the trustee in bankruptcy. However, the Court observes that this remedy concerns the administration of the bankrupt</w:t>
      </w:r>
      <w:r w:rsidR="00DE4D33">
        <w:rPr>
          <w:lang w:eastAsia="en-US"/>
        </w:rPr>
        <w:t>'</w:t>
      </w:r>
      <w:r w:rsidR="00732557">
        <w:rPr>
          <w:lang w:eastAsia="en-US"/>
        </w:rPr>
        <w:t>s</w:t>
      </w:r>
      <w:r>
        <w:rPr>
          <w:lang w:eastAsia="en-US"/>
        </w:rPr>
        <w:t xml:space="preserve"> assets by the trustee in bankruptcy until the assets have been sold and creditors</w:t>
      </w:r>
      <w:r w:rsidR="00DE4D33">
        <w:rPr>
          <w:lang w:eastAsia="en-US"/>
        </w:rPr>
        <w:t>'</w:t>
      </w:r>
      <w:r>
        <w:rPr>
          <w:lang w:eastAsia="en-US"/>
        </w:rPr>
        <w:t xml:space="preserve"> claims have been met. It is </w:t>
      </w:r>
      <w:r w:rsidR="00DD506C">
        <w:rPr>
          <w:lang w:eastAsia="en-US"/>
        </w:rPr>
        <w:t xml:space="preserve">not </w:t>
      </w:r>
      <w:r>
        <w:rPr>
          <w:lang w:eastAsia="en-US"/>
        </w:rPr>
        <w:t xml:space="preserve">therefore in </w:t>
      </w:r>
      <w:r w:rsidR="00DD506C">
        <w:rPr>
          <w:lang w:eastAsia="en-US"/>
        </w:rPr>
        <w:t>any</w:t>
      </w:r>
      <w:r>
        <w:rPr>
          <w:lang w:eastAsia="en-US"/>
        </w:rPr>
        <w:t xml:space="preserve"> sense capable of remedying the prolongation of the restrictions on the bankrupt (see </w:t>
      </w:r>
      <w:r w:rsidR="007771EE">
        <w:rPr>
          <w:i/>
          <w:lang w:eastAsia="en-US"/>
        </w:rPr>
        <w:t xml:space="preserve">Bottaro </w:t>
      </w:r>
      <w:r w:rsidRPr="003910F1">
        <w:rPr>
          <w:i/>
          <w:lang w:eastAsia="en-US"/>
        </w:rPr>
        <w:t>v. Italy</w:t>
      </w:r>
      <w:r w:rsidRPr="003910F1">
        <w:rPr>
          <w:lang w:eastAsia="en-US"/>
        </w:rPr>
        <w:t>,</w:t>
      </w:r>
      <w:r w:rsidRPr="003910F1">
        <w:rPr>
          <w:i/>
          <w:lang w:eastAsia="en-US"/>
        </w:rPr>
        <w:t xml:space="preserve"> </w:t>
      </w:r>
      <w:r w:rsidR="007771EE">
        <w:rPr>
          <w:lang w:eastAsia="en-US"/>
        </w:rPr>
        <w:t xml:space="preserve">no. 56298/00, § </w:t>
      </w:r>
      <w:r>
        <w:rPr>
          <w:lang w:eastAsia="en-US"/>
        </w:rPr>
        <w:t>45</w:t>
      </w:r>
      <w:r w:rsidRPr="003910F1">
        <w:rPr>
          <w:lang w:eastAsia="en-US"/>
        </w:rPr>
        <w:t>, 17 July 2003</w:t>
      </w:r>
      <w:r>
        <w:rPr>
          <w:lang w:eastAsia="en-US"/>
        </w:rPr>
        <w:t xml:space="preserve">, and </w:t>
      </w:r>
      <w:r w:rsidR="00B15CB4">
        <w:rPr>
          <w:i/>
          <w:lang w:eastAsia="en-US"/>
        </w:rPr>
        <w:t>Ceteroni and Magri v. Italy</w:t>
      </w:r>
      <w:r w:rsidR="00B15CB4">
        <w:rPr>
          <w:lang w:eastAsia="en-US"/>
        </w:rPr>
        <w:t>, nos. 22461/93 and 22465/93, Commission decision of 17 October 1994</w:t>
      </w:r>
      <w:r w:rsidR="007771EE">
        <w:rPr>
          <w:lang w:eastAsia="en-US"/>
        </w:rPr>
        <w:t>, unreported</w:t>
      </w:r>
      <w:r w:rsidR="00B15CB4">
        <w:rPr>
          <w:lang w:eastAsia="en-US"/>
        </w:rPr>
        <w:t>).</w:t>
      </w:r>
    </w:p>
    <w:p w:rsidR="00B15CB4" w:rsidP="00DE1FE8" w:rsidRDefault="00B15CB4">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76</w:t>
      </w:r>
      <w:r>
        <w:rPr>
          <w:lang w:eastAsia="en-US"/>
        </w:rPr>
        <w:fldChar w:fldCharType="end"/>
      </w:r>
      <w:r>
        <w:rPr>
          <w:lang w:eastAsia="en-US"/>
        </w:rPr>
        <w:t xml:space="preserve">.  The Court also </w:t>
      </w:r>
      <w:r w:rsidR="00A72C80">
        <w:rPr>
          <w:lang w:eastAsia="en-US"/>
        </w:rPr>
        <w:t>observes</w:t>
      </w:r>
      <w:r>
        <w:rPr>
          <w:lang w:eastAsia="en-US"/>
        </w:rPr>
        <w:t xml:space="preserve"> that it </w:t>
      </w:r>
      <w:r w:rsidR="00732557">
        <w:rPr>
          <w:lang w:eastAsia="en-US"/>
        </w:rPr>
        <w:t xml:space="preserve">has in the past </w:t>
      </w:r>
      <w:r>
        <w:rPr>
          <w:lang w:eastAsia="en-US"/>
        </w:rPr>
        <w:t xml:space="preserve">found a violation of Article 13 of the Convention on account of the absence in domestic law of an effective remedy by which to complain of the prolonged monitoring of </w:t>
      </w:r>
      <w:r w:rsidR="00732557">
        <w:rPr>
          <w:lang w:eastAsia="en-US"/>
        </w:rPr>
        <w:t>a</w:t>
      </w:r>
      <w:r>
        <w:rPr>
          <w:lang w:eastAsia="en-US"/>
        </w:rPr>
        <w:t xml:space="preserve"> </w:t>
      </w:r>
      <w:r w:rsidR="00732557">
        <w:rPr>
          <w:lang w:eastAsia="en-US"/>
        </w:rPr>
        <w:t>bankrupt</w:t>
      </w:r>
      <w:r w:rsidR="00DE4D33">
        <w:rPr>
          <w:lang w:eastAsia="en-US"/>
        </w:rPr>
        <w:t>'</w:t>
      </w:r>
      <w:r w:rsidR="00732557">
        <w:rPr>
          <w:lang w:eastAsia="en-US"/>
        </w:rPr>
        <w:t>s</w:t>
      </w:r>
      <w:r>
        <w:rPr>
          <w:lang w:eastAsia="en-US"/>
        </w:rPr>
        <w:t xml:space="preserve"> correspondence (see </w:t>
      </w:r>
      <w:r w:rsidRPr="00B15CB4">
        <w:rPr>
          <w:i/>
          <w:lang w:eastAsia="en-US"/>
        </w:rPr>
        <w:t>Bottaro</w:t>
      </w:r>
      <w:r>
        <w:rPr>
          <w:lang w:eastAsia="en-US"/>
        </w:rPr>
        <w:t>, cited above, §§ 41-46).</w:t>
      </w:r>
    </w:p>
    <w:p w:rsidRPr="00B15CB4" w:rsidR="00B15CB4" w:rsidP="00DE1FE8" w:rsidRDefault="00B15CB4">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A72C80">
        <w:rPr>
          <w:noProof/>
          <w:lang w:eastAsia="en-US"/>
        </w:rPr>
        <w:t>77</w:t>
      </w:r>
      <w:r>
        <w:rPr>
          <w:lang w:eastAsia="en-US"/>
        </w:rPr>
        <w:fldChar w:fldCharType="end"/>
      </w:r>
      <w:r>
        <w:rPr>
          <w:lang w:eastAsia="en-US"/>
        </w:rPr>
        <w:t xml:space="preserve">.  In view of the </w:t>
      </w:r>
      <w:r w:rsidR="00222E1E">
        <w:rPr>
          <w:lang w:eastAsia="en-US"/>
        </w:rPr>
        <w:t>foregoing</w:t>
      </w:r>
      <w:r>
        <w:rPr>
          <w:lang w:eastAsia="en-US"/>
        </w:rPr>
        <w:t>, the Court concludes that there has been a violation of Article 13 of the Convention.</w:t>
      </w:r>
    </w:p>
    <w:p w:rsidR="00CD49A7" w:rsidP="009478B6" w:rsidRDefault="00B15CB4">
      <w:pPr>
        <w:pStyle w:val="JuHIRoman"/>
      </w:pPr>
      <w:r>
        <w:t>V</w:t>
      </w:r>
      <w:r w:rsidRPr="00BF466A" w:rsidR="00CD49A7">
        <w:t>.  APPLICATION OF ARTICLE 41 OF THE CONVENTION</w:t>
      </w:r>
    </w:p>
    <w:p w:rsidRPr="00BF466A" w:rsidR="00CD49A7" w:rsidP="00DE1FE8" w:rsidRDefault="00BF466A">
      <w:pPr>
        <w:pStyle w:val="JuPara"/>
        <w:keepNext/>
        <w:keepLines/>
      </w:pPr>
      <w:r w:rsidRPr="00BF466A">
        <w:fldChar w:fldCharType="begin"/>
      </w:r>
      <w:r w:rsidRPr="00BF466A">
        <w:instrText xml:space="preserve"> SEQ level0 \*arabic </w:instrText>
      </w:r>
      <w:r w:rsidRPr="00BF466A">
        <w:fldChar w:fldCharType="separate"/>
      </w:r>
      <w:r w:rsidR="00A72C80">
        <w:rPr>
          <w:noProof/>
        </w:rPr>
        <w:t>78</w:t>
      </w:r>
      <w:r w:rsidRPr="00BF466A">
        <w:fldChar w:fldCharType="end"/>
      </w:r>
      <w:r w:rsidRPr="00BF466A" w:rsidR="00CD49A7">
        <w:t>.  Article 41 of the Convention provides:</w:t>
      </w:r>
    </w:p>
    <w:p w:rsidRPr="00BF466A" w:rsidR="00CD49A7" w:rsidP="00DE1FE8" w:rsidRDefault="00CD49A7">
      <w:pPr>
        <w:pStyle w:val="JuQuot"/>
        <w:keepNext/>
        <w:keepLines/>
      </w:pPr>
      <w:r w:rsidRPr="00BF466A">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BF466A" w:rsidR="00CD49A7" w:rsidP="00DE1FE8" w:rsidRDefault="00CD49A7">
      <w:pPr>
        <w:pStyle w:val="JuHA"/>
      </w:pPr>
      <w:r w:rsidRPr="00BF466A">
        <w:t>A.  Damage</w:t>
      </w:r>
    </w:p>
    <w:p w:rsidR="00CD49A7" w:rsidP="00DE1FE8" w:rsidRDefault="00B15CB4">
      <w:pPr>
        <w:pStyle w:val="JuPara"/>
      </w:pPr>
      <w:r>
        <w:fldChar w:fldCharType="begin"/>
      </w:r>
      <w:r>
        <w:instrText xml:space="preserve"> SEQ level0 \*arabic </w:instrText>
      </w:r>
      <w:r>
        <w:fldChar w:fldCharType="separate"/>
      </w:r>
      <w:r w:rsidR="00A72C80">
        <w:rPr>
          <w:noProof/>
        </w:rPr>
        <w:t>79</w:t>
      </w:r>
      <w:r>
        <w:fldChar w:fldCharType="end"/>
      </w:r>
      <w:r>
        <w:t>.  The applicant submitted an expert report assess</w:t>
      </w:r>
      <w:r w:rsidR="00732557">
        <w:t>ing pecuniary damage at 25,</w:t>
      </w:r>
      <w:r>
        <w:t>847.</w:t>
      </w:r>
      <w:r w:rsidR="00732557">
        <w:t xml:space="preserve">05 </w:t>
      </w:r>
      <w:r w:rsidR="00D97228">
        <w:t>euros (EUR), corresponding to the minimum wage (</w:t>
      </w:r>
      <w:r w:rsidR="00D97228">
        <w:rPr>
          <w:i/>
        </w:rPr>
        <w:t>pensione sociale</w:t>
      </w:r>
      <w:r w:rsidR="00D97228">
        <w:t xml:space="preserve">) which </w:t>
      </w:r>
      <w:r w:rsidR="00732557">
        <w:t>she</w:t>
      </w:r>
      <w:r w:rsidR="00D97228">
        <w:t xml:space="preserve"> should have been paid since the date of the bankruptcy order. She also claimed EUR 500,000 for non-pecuniary damage.</w:t>
      </w:r>
    </w:p>
    <w:p w:rsidR="00D97228" w:rsidP="00DE1FE8" w:rsidRDefault="00D97228">
      <w:pPr>
        <w:pStyle w:val="JuPara"/>
      </w:pPr>
      <w:r>
        <w:fldChar w:fldCharType="begin"/>
      </w:r>
      <w:r>
        <w:instrText xml:space="preserve"> SEQ level0 \*arabic </w:instrText>
      </w:r>
      <w:r>
        <w:fldChar w:fldCharType="separate"/>
      </w:r>
      <w:r w:rsidR="00A72C80">
        <w:rPr>
          <w:noProof/>
        </w:rPr>
        <w:t>80</w:t>
      </w:r>
      <w:r>
        <w:fldChar w:fldCharType="end"/>
      </w:r>
      <w:r>
        <w:t>.  The Government contested these claims.</w:t>
      </w:r>
    </w:p>
    <w:p w:rsidR="00D97228" w:rsidP="00DE1FE8" w:rsidRDefault="00D97228">
      <w:pPr>
        <w:pStyle w:val="JuPara"/>
      </w:pPr>
      <w:r>
        <w:fldChar w:fldCharType="begin"/>
      </w:r>
      <w:r>
        <w:instrText xml:space="preserve"> SEQ level0 \*arabic </w:instrText>
      </w:r>
      <w:r>
        <w:fldChar w:fldCharType="separate"/>
      </w:r>
      <w:r w:rsidR="00A72C80">
        <w:rPr>
          <w:noProof/>
        </w:rPr>
        <w:t>81</w:t>
      </w:r>
      <w:r>
        <w:fldChar w:fldCharType="end"/>
      </w:r>
      <w:r>
        <w:t>.  As it fails to perceive any causal link between the findings of violations and the pecuniary damage alleged, the Court dismisses the first claim. As to non-pecuniary damage, it considers that, regard being had to all the circumstances of the case, the findings of violations in the present judgment constitute in themselves sufficient just satisfaction.</w:t>
      </w:r>
    </w:p>
    <w:p w:rsidRPr="00BF466A" w:rsidR="00CD49A7" w:rsidP="00DE1FE8" w:rsidRDefault="00CD49A7">
      <w:pPr>
        <w:pStyle w:val="JuHA"/>
      </w:pPr>
      <w:r w:rsidRPr="00BF466A">
        <w:t>B.  Costs and expenses</w:t>
      </w:r>
    </w:p>
    <w:p w:rsidR="00CD49A7" w:rsidP="00DE1FE8" w:rsidRDefault="00BF466A">
      <w:pPr>
        <w:pStyle w:val="JuPara"/>
      </w:pPr>
      <w:r w:rsidRPr="00BF466A">
        <w:fldChar w:fldCharType="begin"/>
      </w:r>
      <w:r w:rsidRPr="00BF466A">
        <w:instrText xml:space="preserve"> SEQ level0 \*arabic </w:instrText>
      </w:r>
      <w:r w:rsidRPr="00BF466A">
        <w:fldChar w:fldCharType="separate"/>
      </w:r>
      <w:r w:rsidR="00A72C80">
        <w:rPr>
          <w:noProof/>
        </w:rPr>
        <w:t>82</w:t>
      </w:r>
      <w:r w:rsidRPr="00BF466A">
        <w:fldChar w:fldCharType="end"/>
      </w:r>
      <w:r w:rsidRPr="00BF466A" w:rsidR="00CD49A7">
        <w:t>.  </w:t>
      </w:r>
      <w:r w:rsidR="00A72C80">
        <w:t>The applicant claimed EUR 19,</w:t>
      </w:r>
      <w:r w:rsidR="00D97228">
        <w:t>979.39 for costs and expenses before the Court and EUR 1,757.55 for experts</w:t>
      </w:r>
      <w:r w:rsidR="00DE4D33">
        <w:t>'</w:t>
      </w:r>
      <w:r w:rsidR="00D97228">
        <w:t xml:space="preserve"> expenses.</w:t>
      </w:r>
    </w:p>
    <w:p w:rsidR="00D97228" w:rsidP="00DE1FE8" w:rsidRDefault="00D97228">
      <w:pPr>
        <w:pStyle w:val="JuPara"/>
      </w:pPr>
      <w:r>
        <w:fldChar w:fldCharType="begin"/>
      </w:r>
      <w:r>
        <w:instrText xml:space="preserve"> SEQ level0 \*arabic </w:instrText>
      </w:r>
      <w:r>
        <w:fldChar w:fldCharType="separate"/>
      </w:r>
      <w:r w:rsidR="00A72C80">
        <w:rPr>
          <w:noProof/>
        </w:rPr>
        <w:t>83</w:t>
      </w:r>
      <w:r>
        <w:fldChar w:fldCharType="end"/>
      </w:r>
      <w:r>
        <w:t>.  The Government objected to these claims.</w:t>
      </w:r>
    </w:p>
    <w:p w:rsidR="002D4882" w:rsidP="00DE1FE8" w:rsidRDefault="002D4882">
      <w:pPr>
        <w:pStyle w:val="JuPara"/>
      </w:pPr>
      <w:r>
        <w:fldChar w:fldCharType="begin"/>
      </w:r>
      <w:r>
        <w:instrText xml:space="preserve"> SEQ level0 \*arabic </w:instrText>
      </w:r>
      <w:r>
        <w:fldChar w:fldCharType="separate"/>
      </w:r>
      <w:r w:rsidR="00A72C80">
        <w:rPr>
          <w:noProof/>
        </w:rPr>
        <w:t>84</w:t>
      </w:r>
      <w:r>
        <w:fldChar w:fldCharType="end"/>
      </w:r>
      <w:r>
        <w:t>.  </w:t>
      </w:r>
      <w:r w:rsidRPr="002D4882">
        <w:t>According to the Court</w:t>
      </w:r>
      <w:r w:rsidR="00DE4D33">
        <w:t>'</w:t>
      </w:r>
      <w:r w:rsidRPr="002D4882">
        <w:t>s established case-law, an award can be made in respect of costs and expenses only in so far as they have been actually and necessarily incurred by the applicant and are reasonable as to quantum.</w:t>
      </w:r>
      <w:r>
        <w:t xml:space="preserve"> In the instant case, on the basis of the information in its possession</w:t>
      </w:r>
      <w:r w:rsidRPr="002D4882">
        <w:t xml:space="preserve"> and the aforementioned criteria, the Court considers the sum of </w:t>
      </w:r>
      <w:r>
        <w:t>EUR 2,000</w:t>
      </w:r>
      <w:r w:rsidRPr="002D4882">
        <w:t xml:space="preserve"> for costs and expenses</w:t>
      </w:r>
      <w:r>
        <w:t xml:space="preserve"> for the proceedings before the Court to be </w:t>
      </w:r>
      <w:r w:rsidRPr="002D4882">
        <w:t xml:space="preserve">reasonable </w:t>
      </w:r>
      <w:r>
        <w:t>and awards the applicant that amount.</w:t>
      </w:r>
    </w:p>
    <w:p w:rsidRPr="00BF466A" w:rsidR="00CD49A7" w:rsidP="00DE1FE8" w:rsidRDefault="00CD49A7">
      <w:pPr>
        <w:pStyle w:val="JuHA"/>
      </w:pPr>
      <w:r w:rsidRPr="00BF466A">
        <w:t>C.  Default interest</w:t>
      </w:r>
    </w:p>
    <w:p w:rsidRPr="00BF466A" w:rsidR="00CD49A7" w:rsidP="00DE1FE8" w:rsidRDefault="00BF466A">
      <w:pPr>
        <w:pStyle w:val="JuPara"/>
      </w:pPr>
      <w:r w:rsidRPr="00BF466A">
        <w:fldChar w:fldCharType="begin"/>
      </w:r>
      <w:r w:rsidRPr="00BF466A">
        <w:instrText xml:space="preserve"> SEQ level0 \*arabic </w:instrText>
      </w:r>
      <w:r w:rsidRPr="00BF466A">
        <w:fldChar w:fldCharType="separate"/>
      </w:r>
      <w:r w:rsidR="00A72C80">
        <w:rPr>
          <w:noProof/>
        </w:rPr>
        <w:t>85</w:t>
      </w:r>
      <w:r w:rsidRPr="00BF466A">
        <w:fldChar w:fldCharType="end"/>
      </w:r>
      <w:r w:rsidRPr="00BF466A" w:rsidR="00CD49A7">
        <w:t>.  The Court considers it appropriate that the default interest should be based on the marginal lending rate of the European Central Bank, to which should be added three percentage points.</w:t>
      </w:r>
    </w:p>
    <w:p w:rsidRPr="00BF466A" w:rsidR="00CD49A7" w:rsidP="00DE1FE8" w:rsidRDefault="00CD49A7">
      <w:pPr>
        <w:pStyle w:val="JuHHead"/>
      </w:pPr>
      <w:r w:rsidRPr="00BF466A">
        <w:t>FOR THESE REASONS, THE COURT UNANIMOUSLY</w:t>
      </w:r>
    </w:p>
    <w:p w:rsidRPr="00BF466A" w:rsidR="00CD49A7" w:rsidP="00DE1FE8" w:rsidRDefault="00CD49A7">
      <w:pPr>
        <w:pStyle w:val="JuList"/>
      </w:pPr>
      <w:r w:rsidRPr="00BF466A">
        <w:t>1.  </w:t>
      </w:r>
      <w:r w:rsidR="002D4882">
        <w:rPr>
          <w:i/>
        </w:rPr>
        <w:t>Declares</w:t>
      </w:r>
      <w:r w:rsidRPr="00BF466A">
        <w:t xml:space="preserve"> </w:t>
      </w:r>
      <w:r w:rsidR="002D4882">
        <w:t xml:space="preserve">the application admissible in respect of the complaints under Article 8 of the Convention, Article 1 of Protocol No. 1, Article 2 of Protocol No. 4, Article 3 of Protocol No. 1 and, as </w:t>
      </w:r>
      <w:r w:rsidR="00222E1E">
        <w:t>regards</w:t>
      </w:r>
      <w:r w:rsidR="002D4882">
        <w:t xml:space="preserve"> the personal restrictions resulting from </w:t>
      </w:r>
      <w:r w:rsidR="007771EE">
        <w:t xml:space="preserve">the </w:t>
      </w:r>
      <w:r w:rsidR="002D4882">
        <w:t>entry of the applicant</w:t>
      </w:r>
      <w:r w:rsidR="00DE4D33">
        <w:t>'</w:t>
      </w:r>
      <w:r w:rsidR="002D4882">
        <w:t>s name in the bankruptcy register, Article 13 of the Convention, and the remainder of the application inadmissible</w:t>
      </w:r>
      <w:r w:rsidRPr="00BF466A">
        <w:t>;</w:t>
      </w:r>
    </w:p>
    <w:p w:rsidRPr="00BF466A" w:rsidR="00CD49A7" w:rsidP="00DE1FE8" w:rsidRDefault="00CD49A7">
      <w:pPr>
        <w:pStyle w:val="JuList"/>
      </w:pPr>
    </w:p>
    <w:p w:rsidRPr="00BF466A" w:rsidR="00CD49A7" w:rsidP="00DE1FE8" w:rsidRDefault="002D4882">
      <w:pPr>
        <w:pStyle w:val="JuList"/>
      </w:pPr>
      <w:r>
        <w:t>2</w:t>
      </w:r>
      <w:r w:rsidRPr="00BF466A" w:rsidR="00CD49A7">
        <w:t>.  </w:t>
      </w:r>
      <w:r w:rsidRPr="00BF466A" w:rsidR="00CD49A7">
        <w:rPr>
          <w:i/>
        </w:rPr>
        <w:t>Holds</w:t>
      </w:r>
      <w:r w:rsidRPr="00BF466A" w:rsidR="00CD49A7">
        <w:t xml:space="preserve"> that there h</w:t>
      </w:r>
      <w:r w:rsidR="009478B6">
        <w:t xml:space="preserve">as been no violation of Article </w:t>
      </w:r>
      <w:r>
        <w:t>8</w:t>
      </w:r>
      <w:r w:rsidRPr="00BF466A" w:rsidR="00CD49A7">
        <w:t xml:space="preserve"> of the Convention</w:t>
      </w:r>
      <w:r>
        <w:t xml:space="preserve"> (</w:t>
      </w:r>
      <w:r w:rsidR="005733D0">
        <w:t>with regard</w:t>
      </w:r>
      <w:r>
        <w:t xml:space="preserve"> to the applicant</w:t>
      </w:r>
      <w:r w:rsidR="00DE4D33">
        <w:t>'</w:t>
      </w:r>
      <w:r>
        <w:t>s right to respect for her correspondence), Article 1 of Protocol No. 1 or Article 2 of Protocol No. 4</w:t>
      </w:r>
      <w:r w:rsidRPr="00BF466A" w:rsidR="00CD49A7">
        <w:t>;</w:t>
      </w:r>
    </w:p>
    <w:p w:rsidRPr="00BF466A" w:rsidR="00CD49A7" w:rsidP="00DE1FE8" w:rsidRDefault="00CD49A7">
      <w:pPr>
        <w:pStyle w:val="JuList"/>
      </w:pPr>
    </w:p>
    <w:p w:rsidR="002D4882" w:rsidP="00DE1FE8" w:rsidRDefault="002D4882">
      <w:pPr>
        <w:pStyle w:val="JuList"/>
      </w:pPr>
      <w:r>
        <w:t>3</w:t>
      </w:r>
      <w:r w:rsidRPr="00BF466A" w:rsidR="00CD49A7">
        <w:t>.  </w:t>
      </w:r>
      <w:r w:rsidRPr="00BF466A">
        <w:rPr>
          <w:i/>
        </w:rPr>
        <w:t>Holds</w:t>
      </w:r>
      <w:r w:rsidRPr="00BF466A">
        <w:t xml:space="preserve"> that there has been </w:t>
      </w:r>
      <w:r>
        <w:t>a</w:t>
      </w:r>
      <w:r w:rsidR="009478B6">
        <w:t xml:space="preserve"> violation of Article </w:t>
      </w:r>
      <w:r>
        <w:t>8</w:t>
      </w:r>
      <w:r w:rsidRPr="00BF466A">
        <w:t xml:space="preserve"> of the Convention</w:t>
      </w:r>
      <w:r>
        <w:t xml:space="preserve"> (</w:t>
      </w:r>
      <w:r w:rsidR="005733D0">
        <w:t>with regard</w:t>
      </w:r>
      <w:r>
        <w:t xml:space="preserve"> to the applicant</w:t>
      </w:r>
      <w:r w:rsidR="00DE4D33">
        <w:t>'</w:t>
      </w:r>
      <w:r>
        <w:t>s right to respect for her private life), Article 3 of Protocol No. 1 and Article 13 of the Convention</w:t>
      </w:r>
      <w:r w:rsidRPr="00BF466A">
        <w:t>;</w:t>
      </w:r>
    </w:p>
    <w:p w:rsidRPr="00BF466A" w:rsidR="00B077A1" w:rsidP="00DE1FE8" w:rsidRDefault="00B077A1">
      <w:pPr>
        <w:pStyle w:val="JuList"/>
      </w:pPr>
    </w:p>
    <w:p w:rsidRPr="00BF466A" w:rsidR="00CD49A7" w:rsidP="00DE1FE8" w:rsidRDefault="00B077A1">
      <w:pPr>
        <w:pStyle w:val="JuList"/>
      </w:pPr>
      <w:r>
        <w:t>4</w:t>
      </w:r>
      <w:r w:rsidRPr="00BF466A" w:rsidR="00CD49A7">
        <w:t>.  </w:t>
      </w:r>
      <w:r w:rsidRPr="00BF466A" w:rsidR="00CD49A7">
        <w:rPr>
          <w:i/>
        </w:rPr>
        <w:t>Holds</w:t>
      </w:r>
      <w:r w:rsidRPr="00BF466A" w:rsidR="00CD49A7">
        <w:t xml:space="preserve"> that the finding</w:t>
      </w:r>
      <w:r w:rsidR="00137202">
        <w:t>s</w:t>
      </w:r>
      <w:r w:rsidRPr="00BF466A" w:rsidR="00CD49A7">
        <w:t xml:space="preserve"> of violation</w:t>
      </w:r>
      <w:r w:rsidR="00137202">
        <w:t>s</w:t>
      </w:r>
      <w:r w:rsidRPr="00BF466A" w:rsidR="00CD49A7">
        <w:t xml:space="preserve"> constitute in </w:t>
      </w:r>
      <w:r w:rsidR="00137202">
        <w:t>themselves</w:t>
      </w:r>
      <w:r w:rsidRPr="00BF466A" w:rsidR="00CD49A7">
        <w:t xml:space="preserve"> sufficient just satisfaction for the non-pecuniary damage sustained by the </w:t>
      </w:r>
      <w:r w:rsidRPr="00BF466A" w:rsidR="00BF466A">
        <w:t>applicant</w:t>
      </w:r>
      <w:r w:rsidRPr="00BF466A" w:rsidR="00CD49A7">
        <w:t>;</w:t>
      </w:r>
    </w:p>
    <w:p w:rsidRPr="00BF466A" w:rsidR="00CD49A7" w:rsidP="00DE1FE8" w:rsidRDefault="00CD49A7">
      <w:pPr>
        <w:pStyle w:val="JuList"/>
      </w:pPr>
    </w:p>
    <w:p w:rsidR="000D5632" w:rsidP="00DE1FE8" w:rsidRDefault="007771EE">
      <w:pPr>
        <w:pStyle w:val="JuList"/>
      </w:pPr>
      <w:r>
        <w:br w:type="page"/>
      </w:r>
      <w:r w:rsidR="00B077A1">
        <w:t>5</w:t>
      </w:r>
      <w:r w:rsidRPr="00BF466A" w:rsidR="00CD49A7">
        <w:t>.  </w:t>
      </w:r>
      <w:r w:rsidRPr="00BF466A" w:rsidR="00CD49A7">
        <w:rPr>
          <w:i/>
        </w:rPr>
        <w:t>Holds</w:t>
      </w:r>
    </w:p>
    <w:p w:rsidR="00B077A1" w:rsidP="00DE1FE8" w:rsidRDefault="00CD49A7">
      <w:pPr>
        <w:pStyle w:val="JuLista"/>
      </w:pPr>
      <w:r w:rsidRPr="00BF466A">
        <w:t xml:space="preserve">(a)  that the respondent State is to pay the </w:t>
      </w:r>
      <w:r w:rsidRPr="00BF466A" w:rsidR="00BF466A">
        <w:t>applicant</w:t>
      </w:r>
      <w:r w:rsidRPr="00BF466A">
        <w:t>, within three months</w:t>
      </w:r>
      <w:r w:rsidRPr="00BF466A" w:rsidR="00BF466A">
        <w:t xml:space="preserve"> from the date on which the judgment becomes final </w:t>
      </w:r>
      <w:r w:rsidR="009478B6">
        <w:t xml:space="preserve">in accordance with Article 44 § </w:t>
      </w:r>
      <w:r w:rsidRPr="00BF466A" w:rsidR="00BF466A">
        <w:t>2 of the Convention</w:t>
      </w:r>
      <w:r w:rsidRPr="00BF466A">
        <w:t xml:space="preserve">, EUR </w:t>
      </w:r>
      <w:r w:rsidR="00B077A1">
        <w:t>2,000</w:t>
      </w:r>
      <w:r w:rsidRPr="00BF466A">
        <w:t xml:space="preserve"> (</w:t>
      </w:r>
      <w:r w:rsidR="00B077A1">
        <w:t>two thousand</w:t>
      </w:r>
      <w:r w:rsidRPr="00BF466A">
        <w:t xml:space="preserve"> euros) in respect of costs and expenses, plus </w:t>
      </w:r>
      <w:r w:rsidR="00B077A1">
        <w:t>any tax that may be chargeable;</w:t>
      </w:r>
    </w:p>
    <w:p w:rsidRPr="00BF466A" w:rsidR="00CD49A7" w:rsidP="00DE1FE8" w:rsidRDefault="00CD49A7">
      <w:pPr>
        <w:pStyle w:val="JuLista"/>
      </w:pPr>
      <w:r w:rsidRPr="00BF466A">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BF466A" w:rsidR="00CD49A7" w:rsidP="00DE1FE8" w:rsidRDefault="00CD49A7">
      <w:pPr>
        <w:pStyle w:val="JuList"/>
      </w:pPr>
    </w:p>
    <w:p w:rsidRPr="00BF466A" w:rsidR="00CD49A7" w:rsidP="00DE1FE8" w:rsidRDefault="00B077A1">
      <w:pPr>
        <w:pStyle w:val="JuList"/>
      </w:pPr>
      <w:r>
        <w:t>6</w:t>
      </w:r>
      <w:r w:rsidRPr="00BF466A" w:rsidR="00CD49A7">
        <w:t>.  </w:t>
      </w:r>
      <w:r w:rsidRPr="00BF466A" w:rsidR="00CD49A7">
        <w:rPr>
          <w:i/>
        </w:rPr>
        <w:t>Dismisses</w:t>
      </w:r>
      <w:r w:rsidRPr="00BF466A" w:rsidR="00CD49A7">
        <w:t xml:space="preserve"> the remainder of the </w:t>
      </w:r>
      <w:r w:rsidRPr="00BF466A" w:rsidR="00BF466A">
        <w:t>applicant</w:t>
      </w:r>
      <w:r w:rsidR="00DE4D33">
        <w:t>'</w:t>
      </w:r>
      <w:r w:rsidRPr="00BF466A" w:rsidR="00BF466A">
        <w:t>s</w:t>
      </w:r>
      <w:r w:rsidRPr="00BF466A" w:rsidR="00CD49A7">
        <w:t xml:space="preserve"> claim for just satisfaction.</w:t>
      </w:r>
    </w:p>
    <w:p w:rsidRPr="00BF466A" w:rsidR="000C5228" w:rsidP="00DE1FE8" w:rsidRDefault="00CD49A7">
      <w:pPr>
        <w:pStyle w:val="JuParaLast"/>
      </w:pPr>
      <w:r w:rsidRPr="00BF466A">
        <w:t xml:space="preserve">Done in </w:t>
      </w:r>
      <w:r w:rsidR="00B077A1">
        <w:t>French</w:t>
      </w:r>
      <w:r w:rsidRPr="00BF466A">
        <w:t xml:space="preserve">, and notified in writing on </w:t>
      </w:r>
      <w:r w:rsidR="00B077A1">
        <w:t>23 March 2006</w:t>
      </w:r>
      <w:r w:rsidRPr="00BF466A">
        <w:t>, pursuant to Rule 77 §§ 2 and 3 of the Rules of Court.</w:t>
      </w:r>
    </w:p>
    <w:p w:rsidRPr="00BF466A" w:rsidR="007815D2" w:rsidP="00DE1FE8" w:rsidRDefault="000C5228">
      <w:pPr>
        <w:pStyle w:val="JuSigned"/>
        <w:keepNext/>
        <w:keepLines/>
      </w:pPr>
      <w:r w:rsidRPr="00BF466A">
        <w:tab/>
      </w:r>
      <w:r w:rsidRPr="00BF466A" w:rsidR="00BF466A">
        <w:t xml:space="preserve">Vincent </w:t>
      </w:r>
      <w:r w:rsidRPr="00BF466A" w:rsidR="00BF466A">
        <w:rPr>
          <w:rStyle w:val="JuNames"/>
        </w:rPr>
        <w:t>B</w:t>
      </w:r>
      <w:r w:rsidRPr="007771EE" w:rsidR="00BF466A">
        <w:rPr>
          <w:rStyle w:val="JuNames"/>
          <w:rFonts w:ascii="Times New (W1)" w:hAnsi="Times New (W1)"/>
          <w:smallCaps w:val="0"/>
        </w:rPr>
        <w:t>erger</w:t>
      </w:r>
      <w:r w:rsidRPr="00BF466A" w:rsidR="00BF466A">
        <w:rPr>
          <w:rStyle w:val="JuNames"/>
        </w:rPr>
        <w:tab/>
      </w:r>
      <w:r w:rsidRPr="00BF466A" w:rsidR="00BF466A">
        <w:t xml:space="preserve">Boštjan M. </w:t>
      </w:r>
      <w:r w:rsidRPr="00BF466A" w:rsidR="00BF466A">
        <w:rPr>
          <w:rStyle w:val="JuNames"/>
        </w:rPr>
        <w:t>Z</w:t>
      </w:r>
      <w:r w:rsidRPr="007771EE" w:rsidR="00BF466A">
        <w:rPr>
          <w:rStyle w:val="JuNames"/>
          <w:rFonts w:ascii="Times New (W1)" w:hAnsi="Times New (W1)"/>
          <w:smallCaps w:val="0"/>
        </w:rPr>
        <w:t>upančič</w:t>
      </w:r>
      <w:r w:rsidRPr="00BF466A" w:rsidR="00BF466A">
        <w:br/>
      </w:r>
      <w:r w:rsidRPr="00BF466A" w:rsidR="00BF466A">
        <w:tab/>
        <w:t>Registrar</w:t>
      </w:r>
      <w:r w:rsidRPr="00BF466A" w:rsidR="00BF466A">
        <w:tab/>
        <w:t>President</w:t>
      </w:r>
    </w:p>
    <w:sectPr w:rsidRPr="00BF466A" w:rsidR="007815D2" w:rsidSect="007D6830">
      <w:headerReference w:type="even" r:id="rId8"/>
      <w:headerReference w:type="default" r:id="rId9"/>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729" w:rsidRDefault="00851729">
      <w:r>
        <w:separator/>
      </w:r>
    </w:p>
  </w:endnote>
  <w:endnote w:type="continuationSeparator" w:id="0">
    <w:p w:rsidR="00851729" w:rsidRDefault="0085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729" w:rsidRDefault="00851729">
      <w:r>
        <w:separator/>
      </w:r>
    </w:p>
  </w:footnote>
  <w:footnote w:type="continuationSeparator" w:id="0">
    <w:p w:rsidR="00851729" w:rsidRDefault="008517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729" w:rsidRDefault="00851729">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851729" w:rsidRPr="007D6830" w:rsidRDefault="00851729" w:rsidP="007D6830">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729" w:rsidRDefault="00851729">
    <w:pPr>
      <w:pStyle w:val="JuHeader"/>
    </w:pPr>
    <w:r>
      <w:rPr>
        <w:rStyle w:val="PageNumber"/>
      </w:rPr>
      <w:fldChar w:fldCharType="begin"/>
    </w:r>
    <w:r>
      <w:rPr>
        <w:rStyle w:val="PageNumber"/>
      </w:rPr>
      <w:instrText xml:space="preserve"> PAGE </w:instrText>
    </w:r>
    <w:r>
      <w:rPr>
        <w:rStyle w:val="PageNumber"/>
      </w:rPr>
      <w:fldChar w:fldCharType="separate"/>
    </w:r>
    <w:r w:rsidR="00DE4D33">
      <w:rPr>
        <w:rStyle w:val="PageNumber"/>
        <w:noProof/>
      </w:rPr>
      <w:t>18</w:t>
    </w:r>
    <w:r>
      <w:rPr>
        <w:rStyle w:val="PageNumber"/>
      </w:rPr>
      <w:fldChar w:fldCharType="end"/>
    </w:r>
    <w:r>
      <w:tab/>
      <w:t xml:space="preserve">CAMPAGNANO v. </w:t>
    </w:r>
    <w:smartTag w:uri="urn:schemas-microsoft-com:office:smarttags" w:element="place">
      <w:smartTag w:uri="urn:schemas-microsoft-com:office:smarttags" w:element="country-region">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729" w:rsidRDefault="00851729">
    <w:pPr>
      <w:pStyle w:val="JuHeader"/>
      <w:rPr>
        <w:rStyle w:val="PageNumber"/>
      </w:rPr>
    </w:pPr>
    <w:r>
      <w:tab/>
      <w:t xml:space="preserve">CAMPAGNANO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DE4D33">
      <w:rPr>
        <w:rStyle w:val="PageNumber"/>
        <w:noProof/>
      </w:rPr>
      <w:t>19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9E661AEF-C14A-44CC-8CEE-4D1C5E1AC4E3}"/>
    <w:docVar w:name="dgnword-eventsink" w:val="106749648"/>
  </w:docVars>
  <w:rsids>
    <w:rsidRoot w:val="00BF466A"/>
    <w:rsid w:val="0000007C"/>
    <w:rsid w:val="000012DA"/>
    <w:rsid w:val="000030F0"/>
    <w:rsid w:val="0000381A"/>
    <w:rsid w:val="00015823"/>
    <w:rsid w:val="00037FBD"/>
    <w:rsid w:val="000465FF"/>
    <w:rsid w:val="00061592"/>
    <w:rsid w:val="00063FE0"/>
    <w:rsid w:val="0007096F"/>
    <w:rsid w:val="00076EFE"/>
    <w:rsid w:val="00084DF6"/>
    <w:rsid w:val="00085109"/>
    <w:rsid w:val="000A37D0"/>
    <w:rsid w:val="000C5228"/>
    <w:rsid w:val="000D0516"/>
    <w:rsid w:val="000D4499"/>
    <w:rsid w:val="000D5632"/>
    <w:rsid w:val="000E44E2"/>
    <w:rsid w:val="000F0ECA"/>
    <w:rsid w:val="000F5861"/>
    <w:rsid w:val="000F6356"/>
    <w:rsid w:val="0011683D"/>
    <w:rsid w:val="00117CE3"/>
    <w:rsid w:val="00124DE8"/>
    <w:rsid w:val="001318AC"/>
    <w:rsid w:val="00136071"/>
    <w:rsid w:val="00137202"/>
    <w:rsid w:val="00137BF1"/>
    <w:rsid w:val="00157C7F"/>
    <w:rsid w:val="001627B8"/>
    <w:rsid w:val="00180953"/>
    <w:rsid w:val="00185C0B"/>
    <w:rsid w:val="001A5261"/>
    <w:rsid w:val="001A7C18"/>
    <w:rsid w:val="001B75A0"/>
    <w:rsid w:val="001C356D"/>
    <w:rsid w:val="001D1DFF"/>
    <w:rsid w:val="001E44AA"/>
    <w:rsid w:val="001F6720"/>
    <w:rsid w:val="00205B4F"/>
    <w:rsid w:val="00211B9E"/>
    <w:rsid w:val="00216B6B"/>
    <w:rsid w:val="00222E1E"/>
    <w:rsid w:val="00250556"/>
    <w:rsid w:val="002506EA"/>
    <w:rsid w:val="00262291"/>
    <w:rsid w:val="00264975"/>
    <w:rsid w:val="00267BF8"/>
    <w:rsid w:val="00283F8B"/>
    <w:rsid w:val="002C1DE0"/>
    <w:rsid w:val="002C4737"/>
    <w:rsid w:val="002C605E"/>
    <w:rsid w:val="002D3108"/>
    <w:rsid w:val="002D4882"/>
    <w:rsid w:val="002D5258"/>
    <w:rsid w:val="00301B31"/>
    <w:rsid w:val="00310A22"/>
    <w:rsid w:val="0032554A"/>
    <w:rsid w:val="00327DED"/>
    <w:rsid w:val="00345857"/>
    <w:rsid w:val="00352356"/>
    <w:rsid w:val="003536AC"/>
    <w:rsid w:val="00377BD8"/>
    <w:rsid w:val="00380EA2"/>
    <w:rsid w:val="003910F1"/>
    <w:rsid w:val="0039117A"/>
    <w:rsid w:val="003A5E34"/>
    <w:rsid w:val="003A751C"/>
    <w:rsid w:val="003D252A"/>
    <w:rsid w:val="003E541D"/>
    <w:rsid w:val="003E5B66"/>
    <w:rsid w:val="003F538B"/>
    <w:rsid w:val="0041454F"/>
    <w:rsid w:val="004212FB"/>
    <w:rsid w:val="00441971"/>
    <w:rsid w:val="00450882"/>
    <w:rsid w:val="00451EB1"/>
    <w:rsid w:val="00453E6E"/>
    <w:rsid w:val="004548E7"/>
    <w:rsid w:val="0046021F"/>
    <w:rsid w:val="00460CE2"/>
    <w:rsid w:val="00466DB6"/>
    <w:rsid w:val="004821FC"/>
    <w:rsid w:val="004A0697"/>
    <w:rsid w:val="004B03C0"/>
    <w:rsid w:val="004B179F"/>
    <w:rsid w:val="004B54D0"/>
    <w:rsid w:val="004B5C22"/>
    <w:rsid w:val="004B69CE"/>
    <w:rsid w:val="004D4F4E"/>
    <w:rsid w:val="004E5CE6"/>
    <w:rsid w:val="004F1FB8"/>
    <w:rsid w:val="004F2023"/>
    <w:rsid w:val="004F58B9"/>
    <w:rsid w:val="004F7A3F"/>
    <w:rsid w:val="00513A13"/>
    <w:rsid w:val="00520578"/>
    <w:rsid w:val="00521280"/>
    <w:rsid w:val="0053045F"/>
    <w:rsid w:val="005334D0"/>
    <w:rsid w:val="005516DC"/>
    <w:rsid w:val="00553DBB"/>
    <w:rsid w:val="0055705E"/>
    <w:rsid w:val="00562628"/>
    <w:rsid w:val="0056521C"/>
    <w:rsid w:val="005733D0"/>
    <w:rsid w:val="005803E1"/>
    <w:rsid w:val="00580A33"/>
    <w:rsid w:val="00581A74"/>
    <w:rsid w:val="00587536"/>
    <w:rsid w:val="005877BE"/>
    <w:rsid w:val="00590073"/>
    <w:rsid w:val="005907B9"/>
    <w:rsid w:val="00590D71"/>
    <w:rsid w:val="00594D71"/>
    <w:rsid w:val="005A4D50"/>
    <w:rsid w:val="005C0254"/>
    <w:rsid w:val="005C65CB"/>
    <w:rsid w:val="005C7CAD"/>
    <w:rsid w:val="005D3FD4"/>
    <w:rsid w:val="005D4341"/>
    <w:rsid w:val="005F0429"/>
    <w:rsid w:val="005F4107"/>
    <w:rsid w:val="005F4EB5"/>
    <w:rsid w:val="0060220C"/>
    <w:rsid w:val="006115F0"/>
    <w:rsid w:val="0063127B"/>
    <w:rsid w:val="00655B7D"/>
    <w:rsid w:val="00661B6E"/>
    <w:rsid w:val="006656DC"/>
    <w:rsid w:val="00682202"/>
    <w:rsid w:val="00697C99"/>
    <w:rsid w:val="006B38A9"/>
    <w:rsid w:val="006B4FE9"/>
    <w:rsid w:val="006D0A92"/>
    <w:rsid w:val="006D44F5"/>
    <w:rsid w:val="006D6722"/>
    <w:rsid w:val="006E5350"/>
    <w:rsid w:val="006E78CC"/>
    <w:rsid w:val="006F7FFC"/>
    <w:rsid w:val="007032A9"/>
    <w:rsid w:val="00716079"/>
    <w:rsid w:val="00721C6E"/>
    <w:rsid w:val="0072703B"/>
    <w:rsid w:val="00732557"/>
    <w:rsid w:val="00761A43"/>
    <w:rsid w:val="00763532"/>
    <w:rsid w:val="00764AF2"/>
    <w:rsid w:val="007663F7"/>
    <w:rsid w:val="00771915"/>
    <w:rsid w:val="00775D70"/>
    <w:rsid w:val="007771EE"/>
    <w:rsid w:val="007815D2"/>
    <w:rsid w:val="007943AB"/>
    <w:rsid w:val="0079559F"/>
    <w:rsid w:val="00795CB4"/>
    <w:rsid w:val="00795EFF"/>
    <w:rsid w:val="007D2983"/>
    <w:rsid w:val="007D3CA5"/>
    <w:rsid w:val="007D3D2D"/>
    <w:rsid w:val="007D6830"/>
    <w:rsid w:val="007E10F3"/>
    <w:rsid w:val="007E6EDA"/>
    <w:rsid w:val="007E77F4"/>
    <w:rsid w:val="007F0242"/>
    <w:rsid w:val="00801ADF"/>
    <w:rsid w:val="008029CD"/>
    <w:rsid w:val="00804042"/>
    <w:rsid w:val="00823BFA"/>
    <w:rsid w:val="0082444F"/>
    <w:rsid w:val="00831D57"/>
    <w:rsid w:val="008379CA"/>
    <w:rsid w:val="00851729"/>
    <w:rsid w:val="00870608"/>
    <w:rsid w:val="0087095A"/>
    <w:rsid w:val="00880F59"/>
    <w:rsid w:val="008C6D25"/>
    <w:rsid w:val="008D5528"/>
    <w:rsid w:val="008E36F2"/>
    <w:rsid w:val="009106DF"/>
    <w:rsid w:val="00920BC2"/>
    <w:rsid w:val="00923590"/>
    <w:rsid w:val="00936227"/>
    <w:rsid w:val="00937CFD"/>
    <w:rsid w:val="009443DC"/>
    <w:rsid w:val="009478B6"/>
    <w:rsid w:val="00952A30"/>
    <w:rsid w:val="009607CB"/>
    <w:rsid w:val="00971812"/>
    <w:rsid w:val="00974FC3"/>
    <w:rsid w:val="00986C30"/>
    <w:rsid w:val="009A0233"/>
    <w:rsid w:val="009A4D5E"/>
    <w:rsid w:val="009B298D"/>
    <w:rsid w:val="009C432B"/>
    <w:rsid w:val="009C57E7"/>
    <w:rsid w:val="009C723E"/>
    <w:rsid w:val="009E2B61"/>
    <w:rsid w:val="009F4C41"/>
    <w:rsid w:val="009F5774"/>
    <w:rsid w:val="00A04622"/>
    <w:rsid w:val="00A05A05"/>
    <w:rsid w:val="00A13306"/>
    <w:rsid w:val="00A16917"/>
    <w:rsid w:val="00A25CBA"/>
    <w:rsid w:val="00A27D16"/>
    <w:rsid w:val="00A34BFB"/>
    <w:rsid w:val="00A37AEE"/>
    <w:rsid w:val="00A4402B"/>
    <w:rsid w:val="00A44691"/>
    <w:rsid w:val="00A53A1D"/>
    <w:rsid w:val="00A5569F"/>
    <w:rsid w:val="00A65124"/>
    <w:rsid w:val="00A678FC"/>
    <w:rsid w:val="00A72C80"/>
    <w:rsid w:val="00A76F5E"/>
    <w:rsid w:val="00A770E1"/>
    <w:rsid w:val="00A85CDA"/>
    <w:rsid w:val="00A869CB"/>
    <w:rsid w:val="00A95FEE"/>
    <w:rsid w:val="00AA3029"/>
    <w:rsid w:val="00AA4B59"/>
    <w:rsid w:val="00AB193C"/>
    <w:rsid w:val="00AC58D1"/>
    <w:rsid w:val="00AD0386"/>
    <w:rsid w:val="00AF139E"/>
    <w:rsid w:val="00AF28D1"/>
    <w:rsid w:val="00AF6522"/>
    <w:rsid w:val="00B077A1"/>
    <w:rsid w:val="00B11A00"/>
    <w:rsid w:val="00B15CB4"/>
    <w:rsid w:val="00B17EC7"/>
    <w:rsid w:val="00B70CD8"/>
    <w:rsid w:val="00B71C55"/>
    <w:rsid w:val="00B71D31"/>
    <w:rsid w:val="00B7634A"/>
    <w:rsid w:val="00B97214"/>
    <w:rsid w:val="00BA086E"/>
    <w:rsid w:val="00BA30DB"/>
    <w:rsid w:val="00BC613D"/>
    <w:rsid w:val="00BD3997"/>
    <w:rsid w:val="00BF466A"/>
    <w:rsid w:val="00C10EDE"/>
    <w:rsid w:val="00C34BC6"/>
    <w:rsid w:val="00C4445F"/>
    <w:rsid w:val="00C51932"/>
    <w:rsid w:val="00C62FCF"/>
    <w:rsid w:val="00C66EF2"/>
    <w:rsid w:val="00C713EF"/>
    <w:rsid w:val="00C82CFE"/>
    <w:rsid w:val="00C96A0A"/>
    <w:rsid w:val="00CC29B0"/>
    <w:rsid w:val="00CC4630"/>
    <w:rsid w:val="00CD42D3"/>
    <w:rsid w:val="00CD49A7"/>
    <w:rsid w:val="00CD789B"/>
    <w:rsid w:val="00CE293A"/>
    <w:rsid w:val="00CE782F"/>
    <w:rsid w:val="00CF1100"/>
    <w:rsid w:val="00CF1C0B"/>
    <w:rsid w:val="00CF50B2"/>
    <w:rsid w:val="00D02611"/>
    <w:rsid w:val="00D233CB"/>
    <w:rsid w:val="00D35E1B"/>
    <w:rsid w:val="00D50E6B"/>
    <w:rsid w:val="00D71FB9"/>
    <w:rsid w:val="00D751F4"/>
    <w:rsid w:val="00D75BE9"/>
    <w:rsid w:val="00D90F55"/>
    <w:rsid w:val="00D97228"/>
    <w:rsid w:val="00DA1ABB"/>
    <w:rsid w:val="00DB49D5"/>
    <w:rsid w:val="00DC20FF"/>
    <w:rsid w:val="00DD4331"/>
    <w:rsid w:val="00DD506C"/>
    <w:rsid w:val="00DE1FE8"/>
    <w:rsid w:val="00DE2393"/>
    <w:rsid w:val="00DE2A62"/>
    <w:rsid w:val="00DE4D33"/>
    <w:rsid w:val="00DE5D14"/>
    <w:rsid w:val="00E02B7F"/>
    <w:rsid w:val="00E21EFE"/>
    <w:rsid w:val="00E275A9"/>
    <w:rsid w:val="00E4031C"/>
    <w:rsid w:val="00E41408"/>
    <w:rsid w:val="00E5652C"/>
    <w:rsid w:val="00E76698"/>
    <w:rsid w:val="00E858FB"/>
    <w:rsid w:val="00E9311D"/>
    <w:rsid w:val="00E95550"/>
    <w:rsid w:val="00EA482B"/>
    <w:rsid w:val="00EF0D95"/>
    <w:rsid w:val="00EF11C1"/>
    <w:rsid w:val="00F014CA"/>
    <w:rsid w:val="00F13369"/>
    <w:rsid w:val="00F13935"/>
    <w:rsid w:val="00F232A9"/>
    <w:rsid w:val="00F2521D"/>
    <w:rsid w:val="00F4173D"/>
    <w:rsid w:val="00F42695"/>
    <w:rsid w:val="00F43833"/>
    <w:rsid w:val="00F4400A"/>
    <w:rsid w:val="00F47D0F"/>
    <w:rsid w:val="00F60F2C"/>
    <w:rsid w:val="00F63692"/>
    <w:rsid w:val="00F77E9D"/>
    <w:rsid w:val="00F843B7"/>
    <w:rsid w:val="00F87F77"/>
    <w:rsid w:val="00F92A55"/>
    <w:rsid w:val="00FA439A"/>
    <w:rsid w:val="00FB38D4"/>
    <w:rsid w:val="00FB4A91"/>
    <w:rsid w:val="00FB6BD0"/>
    <w:rsid w:val="00FC7E11"/>
    <w:rsid w:val="00FD0145"/>
    <w:rsid w:val="00FD1E7D"/>
    <w:rsid w:val="00FD4E29"/>
    <w:rsid w:val="00FD5103"/>
    <w:rsid w:val="00FE1218"/>
    <w:rsid w:val="00FF18FB"/>
    <w:rsid w:val="00FF1992"/>
    <w:rsid w:val="00FF66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link w:val="JuParaCar"/>
    <w:rsid w:val="007D2983"/>
    <w:pPr>
      <w:ind w:firstLine="284"/>
      <w:jc w:val="both"/>
    </w:pPr>
  </w:style>
  <w:style w:type="paragraph" w:customStyle="1" w:styleId="JuHIRoman">
    <w:name w:val="Ju_H_I_Roman"/>
    <w:basedOn w:val="JuHHead"/>
    <w:next w:val="JuPara"/>
    <w:link w:val="JuHIRomanChar"/>
    <w:rsid w:val="007D2983"/>
    <w:pPr>
      <w:tabs>
        <w:tab w:val="left" w:pos="357"/>
      </w:tabs>
      <w:spacing w:before="360"/>
      <w:ind w:left="357" w:hanging="357"/>
    </w:pPr>
    <w:rPr>
      <w:sz w:val="24"/>
    </w:rPr>
  </w:style>
  <w:style w:type="paragraph" w:customStyle="1" w:styleId="JuHHead">
    <w:name w:val="Ju_H_Head"/>
    <w:basedOn w:val="Normal"/>
    <w:next w:val="JuPara"/>
    <w:link w:val="JuHHeadChar"/>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rsid w:val="007D2983"/>
    <w:pPr>
      <w:tabs>
        <w:tab w:val="clear" w:pos="357"/>
        <w:tab w:val="left" w:pos="584"/>
      </w:tabs>
      <w:ind w:left="584" w:hanging="352"/>
    </w:pPr>
    <w:rPr>
      <w:b/>
    </w:rPr>
  </w:style>
  <w:style w:type="paragraph" w:customStyle="1" w:styleId="JuQuot">
    <w:name w:val="Ju_Quot"/>
    <w:basedOn w:val="JuPara"/>
    <w:rsid w:val="007D2983"/>
    <w:pPr>
      <w:spacing w:before="120" w:after="120"/>
      <w:ind w:left="425" w:firstLine="142"/>
    </w:pPr>
    <w:rPr>
      <w:sz w:val="20"/>
    </w:rPr>
  </w:style>
  <w:style w:type="paragraph" w:customStyle="1" w:styleId="JuSigned">
    <w:name w:val="Ju_Signed"/>
    <w:basedOn w:val="Normal"/>
    <w:next w:val="JuParaLast"/>
    <w:rsid w:val="00267BF8"/>
    <w:pPr>
      <w:tabs>
        <w:tab w:val="center" w:pos="1219"/>
        <w:tab w:val="center" w:pos="6379"/>
      </w:tabs>
      <w:spacing w:before="720"/>
    </w:pPr>
  </w:style>
  <w:style w:type="paragraph" w:customStyle="1" w:styleId="JuParaLast">
    <w:name w:val="Ju_Para_Last"/>
    <w:basedOn w:val="JuPara"/>
    <w:next w:val="JuPara"/>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rsid w:val="007D2983"/>
    <w:pPr>
      <w:tabs>
        <w:tab w:val="clear" w:pos="731"/>
        <w:tab w:val="left" w:pos="975"/>
      </w:tabs>
      <w:ind w:left="975" w:hanging="340"/>
    </w:pPr>
    <w:rPr>
      <w:b/>
      <w:i w:val="0"/>
      <w:sz w:val="20"/>
    </w:rPr>
  </w:style>
  <w:style w:type="paragraph" w:customStyle="1" w:styleId="JuH1">
    <w:name w:val="Ju_H_1."/>
    <w:basedOn w:val="JuHA"/>
    <w:next w:val="JuPara"/>
    <w:rsid w:val="007D2983"/>
    <w:pPr>
      <w:tabs>
        <w:tab w:val="clear" w:pos="584"/>
        <w:tab w:val="left" w:pos="731"/>
      </w:tabs>
      <w:spacing w:before="240" w:after="120"/>
      <w:ind w:left="732" w:hanging="301"/>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i">
    <w:name w:val="Opi_H_i"/>
    <w:basedOn w:val="OpiHa0"/>
    <w:next w:val="OpiPara"/>
    <w:rsid w:val="007D2983"/>
    <w:pPr>
      <w:ind w:left="1038"/>
    </w:pPr>
    <w:rPr>
      <w:b w:val="0"/>
      <w:i/>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Keywords">
    <w:name w:val="Su_Keywords"/>
    <w:basedOn w:val="SuHHead"/>
    <w:rsid w:val="007D2983"/>
    <w:pPr>
      <w:spacing w:before="120"/>
    </w:pPr>
    <w:rPr>
      <w:b w:val="0"/>
      <w:i/>
    </w:rPr>
  </w:style>
  <w:style w:type="paragraph" w:customStyle="1" w:styleId="SuHHead">
    <w:name w:val="Su_H_Head"/>
    <w:basedOn w:val="SuSubject"/>
    <w:rsid w:val="007D2983"/>
    <w:pPr>
      <w:spacing w:after="120"/>
    </w:pPr>
  </w:style>
  <w:style w:type="paragraph" w:customStyle="1" w:styleId="SuSubject">
    <w:name w:val="Su_Subject"/>
    <w:basedOn w:val="SuSummary"/>
    <w:rsid w:val="007D2983"/>
    <w:pPr>
      <w:spacing w:before="360"/>
      <w:jc w:val="both"/>
    </w:pPr>
    <w:rPr>
      <w:b/>
      <w:sz w:val="22"/>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character" w:styleId="Hyperlink">
    <w:name w:val="Hyperlink"/>
    <w:basedOn w:val="DefaultParagraphFont"/>
    <w:rsid w:val="00BF466A"/>
    <w:rPr>
      <w:color w:val="0000FF"/>
      <w:u w:val="single"/>
    </w:rPr>
  </w:style>
  <w:style w:type="character" w:customStyle="1" w:styleId="JuParaCar">
    <w:name w:val="Ju_Para Car"/>
    <w:basedOn w:val="DefaultParagraphFont"/>
    <w:link w:val="JuPara"/>
    <w:rsid w:val="00594D71"/>
    <w:rPr>
      <w:sz w:val="24"/>
      <w:lang w:val="en-GB" w:eastAsia="fr-FR" w:bidi="ar-SA"/>
    </w:rPr>
  </w:style>
  <w:style w:type="character" w:customStyle="1" w:styleId="JuHHeadChar">
    <w:name w:val="Ju_H_Head Char"/>
    <w:basedOn w:val="DefaultParagraphFont"/>
    <w:link w:val="JuHHead"/>
    <w:rsid w:val="00063FE0"/>
    <w:rPr>
      <w:sz w:val="28"/>
      <w:lang w:val="en-GB" w:eastAsia="fr-FR" w:bidi="ar-SA"/>
    </w:rPr>
  </w:style>
  <w:style w:type="character" w:customStyle="1" w:styleId="JuHIRomanChar">
    <w:name w:val="Ju_H_I_Roman Char"/>
    <w:basedOn w:val="JuHHeadChar"/>
    <w:link w:val="JuHIRoman"/>
    <w:rsid w:val="00063FE0"/>
    <w:rPr>
      <w:sz w:val="24"/>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2776">
      <w:bodyDiv w:val="1"/>
      <w:marLeft w:val="0"/>
      <w:marRight w:val="0"/>
      <w:marTop w:val="0"/>
      <w:marBottom w:val="0"/>
      <w:divBdr>
        <w:top w:val="none" w:sz="0" w:space="0" w:color="auto"/>
        <w:left w:val="none" w:sz="0" w:space="0" w:color="auto"/>
        <w:bottom w:val="none" w:sz="0" w:space="0" w:color="auto"/>
        <w:right w:val="none" w:sz="0" w:space="0" w:color="auto"/>
      </w:divBdr>
    </w:div>
    <w:div w:id="44126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B851DA-ABDC-475D-8037-CE996755C4C3}"/>
</file>

<file path=customXml/itemProps2.xml><?xml version="1.0" encoding="utf-8"?>
<ds:datastoreItem xmlns:ds="http://schemas.openxmlformats.org/officeDocument/2006/customXml" ds:itemID="{62DE3F90-8023-4EFA-B84E-130F9B468778}"/>
</file>

<file path=customXml/itemProps3.xml><?xml version="1.0" encoding="utf-8"?>
<ds:datastoreItem xmlns:ds="http://schemas.openxmlformats.org/officeDocument/2006/customXml" ds:itemID="{014A4F78-FC2C-41C3-BC9C-48F8E6B37CB5}"/>
</file>

<file path=docProps/app.xml><?xml version="1.0" encoding="utf-8"?>
<Properties xmlns="http://schemas.openxmlformats.org/officeDocument/2006/extended-properties" xmlns:vt="http://schemas.openxmlformats.org/officeDocument/2006/docPropsVTypes">
  <Template>Normal.dotm</Template>
  <TotalTime>2791</TotalTime>
  <Pages>1</Pages>
  <Words>7036</Words>
  <Characters>40110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27</cp:revision>
  <cp:lastPrinted>2007-12-17T09:06:00Z</cp:lastPrinted>
  <dcterms:created xsi:type="dcterms:W3CDTF">2017-07-31T09:34:00Z</dcterms:created>
  <dcterms:modified xsi:type="dcterms:W3CDTF">2017-07-31T09:34:00Z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