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CB7" w:rsidP="00B66328" w:rsidRDefault="00204CB7">
      <w:pPr>
        <w:jc w:val="center"/>
      </w:pPr>
      <w:bookmarkStart w:name="_GoBack" w:id="0"/>
      <w:bookmarkEnd w:id="0"/>
    </w:p>
    <w:p w:rsidR="00204CB7" w:rsidP="00B66328" w:rsidRDefault="00204CB7">
      <w:pPr>
        <w:jc w:val="center"/>
      </w:pPr>
    </w:p>
    <w:p w:rsidR="00204CB7" w:rsidP="00B66328" w:rsidRDefault="00A31EB8">
      <w:pPr>
        <w:jc w:val="center"/>
      </w:pPr>
      <w:r>
        <w:t>GRAND CHAMBER</w:t>
      </w:r>
    </w:p>
    <w:p w:rsidR="008D6212" w:rsidP="00B66328" w:rsidRDefault="008D6212">
      <w:pPr>
        <w:jc w:val="center"/>
      </w:pPr>
    </w:p>
    <w:p w:rsidR="00204CB7" w:rsidP="00B66328" w:rsidRDefault="00204CB7">
      <w:pPr>
        <w:jc w:val="center"/>
      </w:pPr>
    </w:p>
    <w:p w:rsidR="00204CB7" w:rsidP="00B66328" w:rsidRDefault="00204CB7">
      <w:pPr>
        <w:jc w:val="center"/>
      </w:pPr>
    </w:p>
    <w:p w:rsidR="00204CB7" w:rsidP="00B66328" w:rsidRDefault="00204CB7">
      <w:pPr>
        <w:jc w:val="center"/>
      </w:pPr>
    </w:p>
    <w:p w:rsidR="00204CB7" w:rsidP="00B66328" w:rsidRDefault="00204CB7">
      <w:pPr>
        <w:jc w:val="center"/>
      </w:pPr>
    </w:p>
    <w:p w:rsidRPr="008213D8" w:rsidR="00B66328" w:rsidP="00B66328" w:rsidRDefault="00B66328">
      <w:pPr>
        <w:jc w:val="center"/>
      </w:pPr>
    </w:p>
    <w:p w:rsidRPr="008213D8" w:rsidR="00B66328" w:rsidP="00B66328" w:rsidRDefault="00B66328">
      <w:pPr>
        <w:jc w:val="center"/>
        <w:rPr>
          <w:b/>
        </w:rPr>
      </w:pPr>
      <w:r w:rsidRPr="008213D8">
        <w:rPr>
          <w:b/>
        </w:rPr>
        <w:t xml:space="preserve">CASE OF COCCHIARELLA v. </w:t>
      </w:r>
      <w:smartTag w:uri="urn:schemas-microsoft-com:office:smarttags" w:element="place">
        <w:smartTag w:uri="urn:schemas-microsoft-com:office:smarttags" w:element="country-region">
          <w:r w:rsidRPr="008213D8">
            <w:rPr>
              <w:b/>
            </w:rPr>
            <w:t>ITAL</w:t>
          </w:r>
          <w:r>
            <w:rPr>
              <w:b/>
            </w:rPr>
            <w:t>Y</w:t>
          </w:r>
        </w:smartTag>
      </w:smartTag>
    </w:p>
    <w:p w:rsidRPr="008213D8" w:rsidR="00B66328" w:rsidP="00B66328" w:rsidRDefault="00B66328">
      <w:pPr>
        <w:jc w:val="center"/>
      </w:pPr>
    </w:p>
    <w:p w:rsidR="00204CB7" w:rsidP="00204CB7" w:rsidRDefault="00B66328">
      <w:pPr>
        <w:jc w:val="center"/>
        <w:rPr>
          <w:i/>
        </w:rPr>
      </w:pPr>
      <w:r w:rsidRPr="008213D8">
        <w:rPr>
          <w:i/>
        </w:rPr>
        <w:t>(Application no. 64886/01)</w:t>
      </w:r>
    </w:p>
    <w:p w:rsidR="00204CB7" w:rsidP="00204CB7" w:rsidRDefault="00204CB7">
      <w:pPr>
        <w:jc w:val="center"/>
        <w:rPr>
          <w:i/>
        </w:rPr>
      </w:pPr>
    </w:p>
    <w:p w:rsidR="00204CB7" w:rsidP="00204CB7" w:rsidRDefault="00204CB7">
      <w:pPr>
        <w:jc w:val="center"/>
        <w:rPr>
          <w:i/>
        </w:rPr>
      </w:pPr>
    </w:p>
    <w:p w:rsidR="00204CB7" w:rsidP="00204CB7" w:rsidRDefault="00204CB7">
      <w:pPr>
        <w:jc w:val="center"/>
        <w:rPr>
          <w:i/>
        </w:rPr>
      </w:pPr>
    </w:p>
    <w:p w:rsidR="00204CB7" w:rsidP="00204CB7" w:rsidRDefault="00204CB7">
      <w:pPr>
        <w:jc w:val="center"/>
        <w:rPr>
          <w:i/>
        </w:rPr>
      </w:pPr>
    </w:p>
    <w:p w:rsidR="00204CB7" w:rsidP="00204CB7" w:rsidRDefault="00204CB7">
      <w:pPr>
        <w:jc w:val="center"/>
        <w:rPr>
          <w:i/>
        </w:rPr>
      </w:pPr>
    </w:p>
    <w:p w:rsidR="00204CB7" w:rsidP="00204CB7" w:rsidRDefault="00204CB7">
      <w:pPr>
        <w:jc w:val="center"/>
        <w:rPr>
          <w:i/>
        </w:rPr>
      </w:pPr>
    </w:p>
    <w:p w:rsidR="00204CB7" w:rsidP="00204CB7" w:rsidRDefault="00204CB7">
      <w:pPr>
        <w:jc w:val="center"/>
        <w:rPr>
          <w:i/>
        </w:rPr>
      </w:pPr>
    </w:p>
    <w:p w:rsidR="00204CB7" w:rsidP="00204CB7" w:rsidRDefault="00204CB7">
      <w:pPr>
        <w:jc w:val="center"/>
        <w:rPr>
          <w:i/>
        </w:rPr>
      </w:pPr>
    </w:p>
    <w:p w:rsidR="00204CB7" w:rsidP="00204CB7" w:rsidRDefault="00204CB7">
      <w:pPr>
        <w:jc w:val="center"/>
        <w:rPr>
          <w:i/>
        </w:rPr>
      </w:pPr>
    </w:p>
    <w:p w:rsidR="00204CB7" w:rsidP="00204CB7" w:rsidRDefault="00204CB7">
      <w:pPr>
        <w:jc w:val="center"/>
        <w:rPr>
          <w:i/>
        </w:rPr>
      </w:pPr>
    </w:p>
    <w:p w:rsidR="00204CB7" w:rsidP="00204CB7" w:rsidRDefault="00204CB7">
      <w:pPr>
        <w:jc w:val="center"/>
      </w:pPr>
      <w:r>
        <w:t>JUDGMENT</w:t>
      </w:r>
    </w:p>
    <w:p w:rsidR="00204CB7" w:rsidP="00204CB7" w:rsidRDefault="00204CB7">
      <w:pPr>
        <w:jc w:val="center"/>
      </w:pPr>
    </w:p>
    <w:p w:rsidR="00204CB7" w:rsidP="00204CB7" w:rsidRDefault="00204CB7">
      <w:pPr>
        <w:jc w:val="center"/>
      </w:pPr>
    </w:p>
    <w:p w:rsidR="00204CB7" w:rsidP="00204CB7" w:rsidRDefault="00204CB7">
      <w:pPr>
        <w:jc w:val="center"/>
      </w:pPr>
    </w:p>
    <w:p w:rsidR="00204CB7" w:rsidP="00204CB7" w:rsidRDefault="00204CB7">
      <w:pPr>
        <w:jc w:val="center"/>
      </w:pPr>
      <w:smartTag w:uri="urn:schemas-microsoft-com:office:smarttags" w:element="place">
        <w:smartTag w:uri="urn:schemas-microsoft-com:office:smarttags" w:element="City">
          <w:r>
            <w:t>STRASBOURG</w:t>
          </w:r>
        </w:smartTag>
      </w:smartTag>
    </w:p>
    <w:p w:rsidR="00204CB7" w:rsidP="00204CB7" w:rsidRDefault="00204CB7">
      <w:pPr>
        <w:jc w:val="center"/>
      </w:pPr>
    </w:p>
    <w:p w:rsidR="00A31EB8" w:rsidP="00204CB7" w:rsidRDefault="00A31EB8">
      <w:pPr>
        <w:jc w:val="center"/>
      </w:pPr>
    </w:p>
    <w:p w:rsidR="00204CB7" w:rsidP="00204CB7" w:rsidRDefault="0053470A">
      <w:pPr>
        <w:jc w:val="center"/>
      </w:pPr>
      <w:smartTag w:uri="urn:schemas-microsoft-com:office:smarttags" w:element="date">
        <w:smartTagPr>
          <w:attr w:name="Month" w:val="3"/>
          <w:attr w:name="Day" w:val="29"/>
          <w:attr w:name="Year" w:val="2006"/>
        </w:smartTagPr>
        <w:r w:rsidRPr="0053470A">
          <w:t xml:space="preserve">29 </w:t>
        </w:r>
        <w:r w:rsidR="004B63A7" w:rsidRPr="0053470A">
          <w:t>March 2006</w:t>
        </w:r>
      </w:smartTag>
    </w:p>
    <w:p w:rsidR="00204CB7" w:rsidP="00204CB7" w:rsidRDefault="00204CB7">
      <w:pPr>
        <w:jc w:val="center"/>
      </w:pPr>
    </w:p>
    <w:p w:rsidR="00204CB7" w:rsidP="00204CB7" w:rsidRDefault="00204CB7">
      <w:pPr>
        <w:jc w:val="center"/>
      </w:pPr>
    </w:p>
    <w:p w:rsidR="00A31EB8" w:rsidP="00204CB7" w:rsidRDefault="00A31EB8">
      <w:pPr>
        <w:jc w:val="center"/>
      </w:pPr>
    </w:p>
    <w:p w:rsidRPr="00204CB7" w:rsidR="00B66328" w:rsidP="00204CB7" w:rsidRDefault="00B66328">
      <w:pPr>
        <w:jc w:val="both"/>
      </w:pPr>
    </w:p>
    <w:p w:rsidR="00204CB7" w:rsidRDefault="00204CB7">
      <w:pPr>
        <w:pStyle w:val="JuCase"/>
        <w:sectPr w:rsidR="00204CB7" w:rsidSect="00204CB7">
          <w:headerReference w:type="default" r:id="rId7"/>
          <w:footnotePr>
            <w:numRestart w:val="eachPage"/>
          </w:footnotePr>
          <w:pgSz w:w="11906" w:h="16838" w:code="9"/>
          <w:pgMar w:top="2274" w:right="2274" w:bottom="2274" w:left="2274" w:header="1701" w:footer="720" w:gutter="0"/>
          <w:pgNumType w:start="1"/>
          <w:cols w:space="720"/>
          <w:docGrid w:linePitch="326"/>
        </w:sectPr>
      </w:pPr>
    </w:p>
    <w:p w:rsidR="00CD49A7" w:rsidRDefault="00C74018">
      <w:pPr>
        <w:pStyle w:val="JuCase"/>
      </w:pPr>
      <w:r>
        <w:t xml:space="preserve">In </w:t>
      </w:r>
      <w:r w:rsidRPr="00B66328" w:rsidR="00CD49A7">
        <w:t xml:space="preserve">the case of </w:t>
      </w:r>
      <w:r w:rsidRPr="00B66328" w:rsidR="00B66328">
        <w:t xml:space="preserve">Cocchiarella v. </w:t>
      </w:r>
      <w:smartTag w:uri="urn:schemas-microsoft-com:office:smarttags" w:element="place">
        <w:smartTag w:uri="urn:schemas-microsoft-com:office:smarttags" w:element="country-region">
          <w:r w:rsidR="00B66328" w:rsidRPr="00B66328">
            <w:t>Ital</w:t>
          </w:r>
          <w:r w:rsidR="00436F3F">
            <w:t>y</w:t>
          </w:r>
        </w:smartTag>
      </w:smartTag>
      <w:r w:rsidRPr="00B66328" w:rsidR="00CD49A7">
        <w:t>,</w:t>
      </w:r>
    </w:p>
    <w:p w:rsidRPr="008213D8" w:rsidR="00B66328" w:rsidP="00B66328" w:rsidRDefault="00B66328">
      <w:pPr>
        <w:pStyle w:val="JuPara"/>
      </w:pPr>
      <w:r w:rsidRPr="008213D8">
        <w:t>The European Court of Human Rights, sitting as a Grand Chamber composed of:</w:t>
      </w:r>
    </w:p>
    <w:p w:rsidRPr="008213D8" w:rsidR="00B66328" w:rsidP="00B66328" w:rsidRDefault="00BB0280">
      <w:pPr>
        <w:pStyle w:val="JuJudges"/>
      </w:pPr>
      <w:r w:rsidRPr="00BB0280">
        <w:tab/>
        <w:t>Luzius</w:t>
      </w:r>
      <w:r>
        <w:t xml:space="preserve"> </w:t>
      </w:r>
      <w:r w:rsidRPr="00BB0280">
        <w:t>Wildhaber</w:t>
      </w:r>
      <w:r>
        <w:t>,</w:t>
      </w:r>
      <w:r w:rsidRPr="00BB0280">
        <w:rPr>
          <w:i/>
        </w:rPr>
        <w:t xml:space="preserve"> President</w:t>
      </w:r>
      <w:r w:rsidRPr="00BB0280">
        <w:t>,</w:t>
      </w:r>
      <w:r>
        <w:rPr>
          <w:i/>
        </w:rPr>
        <w:br/>
      </w:r>
      <w:r w:rsidRPr="00BB0280">
        <w:tab/>
        <w:t>Christos</w:t>
      </w:r>
      <w:r>
        <w:t xml:space="preserve"> </w:t>
      </w:r>
      <w:r w:rsidRPr="00BB0280">
        <w:t>Rozakis</w:t>
      </w:r>
      <w:r>
        <w:t>,</w:t>
      </w:r>
      <w:r>
        <w:rPr>
          <w:i/>
        </w:rPr>
        <w:br/>
      </w:r>
      <w:r w:rsidRPr="00BB0280">
        <w:tab/>
        <w:t>Jean-Paul</w:t>
      </w:r>
      <w:r>
        <w:t xml:space="preserve"> </w:t>
      </w:r>
      <w:r w:rsidRPr="00BB0280">
        <w:t>Costa</w:t>
      </w:r>
      <w:r>
        <w:t>,</w:t>
      </w:r>
      <w:r>
        <w:rPr>
          <w:i/>
        </w:rPr>
        <w:br/>
      </w:r>
      <w:r w:rsidRPr="00BB0280">
        <w:tab/>
        <w:t>Nicolas</w:t>
      </w:r>
      <w:r>
        <w:t xml:space="preserve"> </w:t>
      </w:r>
      <w:r w:rsidRPr="00BB0280">
        <w:t>Bratza</w:t>
      </w:r>
      <w:r>
        <w:t>,</w:t>
      </w:r>
      <w:r>
        <w:rPr>
          <w:i/>
        </w:rPr>
        <w:br/>
      </w:r>
      <w:r w:rsidRPr="00BB0280">
        <w:tab/>
        <w:t>Boštjan M.</w:t>
      </w:r>
      <w:r>
        <w:t xml:space="preserve"> </w:t>
      </w:r>
      <w:r w:rsidRPr="00BB0280">
        <w:t>Zupančič</w:t>
      </w:r>
      <w:r>
        <w:t>,</w:t>
      </w:r>
      <w:r>
        <w:rPr>
          <w:i/>
        </w:rPr>
        <w:br/>
      </w:r>
      <w:r w:rsidRPr="00BB0280">
        <w:tab/>
        <w:t>Lucius</w:t>
      </w:r>
      <w:r>
        <w:t xml:space="preserve"> </w:t>
      </w:r>
      <w:r w:rsidRPr="00BB0280">
        <w:t>Caflisch</w:t>
      </w:r>
      <w:r>
        <w:t>,</w:t>
      </w:r>
      <w:r>
        <w:rPr>
          <w:i/>
        </w:rPr>
        <w:br/>
      </w:r>
      <w:r w:rsidRPr="00BB0280">
        <w:tab/>
        <w:t>Corneliu</w:t>
      </w:r>
      <w:r>
        <w:t xml:space="preserve"> </w:t>
      </w:r>
      <w:r w:rsidRPr="00BB0280">
        <w:t>Bîrsan</w:t>
      </w:r>
      <w:r>
        <w:t>,</w:t>
      </w:r>
      <w:r>
        <w:rPr>
          <w:i/>
        </w:rPr>
        <w:br/>
      </w:r>
      <w:r w:rsidRPr="00BB0280">
        <w:tab/>
        <w:t>Karel</w:t>
      </w:r>
      <w:r>
        <w:t xml:space="preserve"> </w:t>
      </w:r>
      <w:r w:rsidRPr="00BB0280">
        <w:t>Jungwiert</w:t>
      </w:r>
      <w:r>
        <w:t>,</w:t>
      </w:r>
      <w:r>
        <w:rPr>
          <w:i/>
        </w:rPr>
        <w:br/>
      </w:r>
      <w:r w:rsidRPr="00BB0280">
        <w:tab/>
        <w:t>Matti</w:t>
      </w:r>
      <w:r>
        <w:t xml:space="preserve"> </w:t>
      </w:r>
      <w:r w:rsidRPr="00BB0280">
        <w:t>Pellonpää</w:t>
      </w:r>
      <w:r>
        <w:t>,</w:t>
      </w:r>
      <w:r>
        <w:rPr>
          <w:i/>
        </w:rPr>
        <w:br/>
      </w:r>
      <w:r w:rsidRPr="00BB0280">
        <w:tab/>
        <w:t>Margarita</w:t>
      </w:r>
      <w:r>
        <w:t xml:space="preserve"> </w:t>
      </w:r>
      <w:r w:rsidRPr="00BB0280">
        <w:t>Tsatsa-Nikolovska</w:t>
      </w:r>
      <w:r>
        <w:t>,</w:t>
      </w:r>
      <w:r>
        <w:rPr>
          <w:i/>
        </w:rPr>
        <w:br/>
      </w:r>
      <w:r w:rsidRPr="00BB0280">
        <w:tab/>
        <w:t>Rait</w:t>
      </w:r>
      <w:r>
        <w:t xml:space="preserve"> </w:t>
      </w:r>
      <w:r w:rsidRPr="00BB0280">
        <w:t>Maruste</w:t>
      </w:r>
      <w:r>
        <w:t>,</w:t>
      </w:r>
      <w:r>
        <w:rPr>
          <w:i/>
        </w:rPr>
        <w:br/>
      </w:r>
      <w:r w:rsidRPr="00BB0280">
        <w:tab/>
        <w:t>Stanislav</w:t>
      </w:r>
      <w:r>
        <w:t xml:space="preserve"> </w:t>
      </w:r>
      <w:r w:rsidRPr="00BB0280">
        <w:t>Pavlovschi</w:t>
      </w:r>
      <w:r>
        <w:t>,</w:t>
      </w:r>
      <w:r>
        <w:rPr>
          <w:i/>
        </w:rPr>
        <w:br/>
      </w:r>
      <w:r w:rsidRPr="00BB0280">
        <w:tab/>
        <w:t>Lech</w:t>
      </w:r>
      <w:r>
        <w:t xml:space="preserve"> </w:t>
      </w:r>
      <w:r w:rsidRPr="00BB0280">
        <w:t>Garlicki</w:t>
      </w:r>
      <w:r>
        <w:t>,</w:t>
      </w:r>
      <w:r>
        <w:rPr>
          <w:i/>
        </w:rPr>
        <w:br/>
      </w:r>
      <w:r w:rsidRPr="00BB0280">
        <w:tab/>
        <w:t>Alvina</w:t>
      </w:r>
      <w:r>
        <w:t xml:space="preserve"> </w:t>
      </w:r>
      <w:r w:rsidRPr="00BB0280">
        <w:t>Gyulumyan</w:t>
      </w:r>
      <w:r>
        <w:t>,</w:t>
      </w:r>
      <w:r>
        <w:rPr>
          <w:i/>
        </w:rPr>
        <w:br/>
      </w:r>
      <w:r w:rsidRPr="00BB0280">
        <w:tab/>
        <w:t>Egbert</w:t>
      </w:r>
      <w:r>
        <w:t xml:space="preserve"> </w:t>
      </w:r>
      <w:r w:rsidRPr="00BB0280">
        <w:t>Myjer</w:t>
      </w:r>
      <w:r>
        <w:t>,</w:t>
      </w:r>
      <w:r>
        <w:rPr>
          <w:i/>
        </w:rPr>
        <w:br/>
      </w:r>
      <w:r w:rsidRPr="00BB0280">
        <w:tab/>
        <w:t>Sverre Erik</w:t>
      </w:r>
      <w:r>
        <w:t xml:space="preserve"> </w:t>
      </w:r>
      <w:r w:rsidRPr="00BB0280">
        <w:t>Jebens</w:t>
      </w:r>
      <w:r>
        <w:t>,</w:t>
      </w:r>
      <w:r w:rsidRPr="00BB0280">
        <w:rPr>
          <w:i/>
        </w:rPr>
        <w:t xml:space="preserve"> judges</w:t>
      </w:r>
      <w:r w:rsidRPr="00BB0280">
        <w:t>,</w:t>
      </w:r>
      <w:r>
        <w:rPr>
          <w:i/>
        </w:rPr>
        <w:br/>
      </w:r>
      <w:r w:rsidRPr="00BB0280">
        <w:tab/>
        <w:t>Luigi</w:t>
      </w:r>
      <w:r>
        <w:t xml:space="preserve"> </w:t>
      </w:r>
      <w:r w:rsidRPr="00BB0280">
        <w:t>Ferrari Bravo</w:t>
      </w:r>
      <w:r>
        <w:t>,</w:t>
      </w:r>
      <w:r w:rsidRPr="00BB0280">
        <w:rPr>
          <w:i/>
        </w:rPr>
        <w:t xml:space="preserve"> </w:t>
      </w:r>
      <w:r w:rsidRPr="00BB0280">
        <w:t>ad hoc</w:t>
      </w:r>
      <w:r w:rsidRPr="00BB0280">
        <w:rPr>
          <w:i/>
        </w:rPr>
        <w:t xml:space="preserve"> judge</w:t>
      </w:r>
      <w:r w:rsidRPr="00BB0280">
        <w:t>,</w:t>
      </w:r>
      <w:r>
        <w:rPr>
          <w:i/>
        </w:rPr>
        <w:br/>
      </w:r>
      <w:r w:rsidRPr="008213D8" w:rsidR="00B66328">
        <w:t xml:space="preserve">and </w:t>
      </w:r>
      <w:r w:rsidR="00446BA8">
        <w:t>Lawrence</w:t>
      </w:r>
      <w:r w:rsidRPr="008213D8" w:rsidR="00B66328">
        <w:t xml:space="preserve"> </w:t>
      </w:r>
      <w:r w:rsidRPr="008213D8" w:rsidR="00B66328">
        <w:rPr>
          <w:rStyle w:val="JuNames"/>
        </w:rPr>
        <w:t>E</w:t>
      </w:r>
      <w:r w:rsidRPr="00446BA8" w:rsidR="00B66328">
        <w:rPr>
          <w:rStyle w:val="JuNames"/>
          <w:rFonts w:ascii="Times New (W1)" w:hAnsi="Times New (W1)"/>
          <w:smallCaps w:val="0"/>
        </w:rPr>
        <w:t>arly</w:t>
      </w:r>
      <w:r w:rsidRPr="008213D8" w:rsidR="00B66328">
        <w:t xml:space="preserve">, </w:t>
      </w:r>
      <w:r w:rsidRPr="008213D8" w:rsidR="00B66328">
        <w:rPr>
          <w:i/>
        </w:rPr>
        <w:t>Deputy Grand Chamber Registrar</w:t>
      </w:r>
      <w:r w:rsidRPr="008213D8" w:rsidR="00B66328">
        <w:t>,</w:t>
      </w:r>
    </w:p>
    <w:p w:rsidR="00BF31EE" w:rsidP="00B66328" w:rsidRDefault="00B66328">
      <w:pPr>
        <w:pStyle w:val="JuPara"/>
      </w:pPr>
      <w:r w:rsidRPr="008213D8">
        <w:t xml:space="preserve">Having deliberated in private on </w:t>
      </w:r>
      <w:smartTag w:uri="urn:schemas-microsoft-com:office:smarttags" w:element="date">
        <w:smartTagPr>
          <w:attr w:name="Month" w:val="7"/>
          <w:attr w:name="Day" w:val="1"/>
          <w:attr w:name="Year" w:val="2005"/>
        </w:smartTagPr>
        <w:r>
          <w:t>1 July 2005</w:t>
        </w:r>
      </w:smartTag>
      <w:r>
        <w:t xml:space="preserve"> and</w:t>
      </w:r>
      <w:r w:rsidRPr="008213D8">
        <w:t xml:space="preserve"> </w:t>
      </w:r>
      <w:smartTag w:uri="urn:schemas-microsoft-com:office:smarttags" w:element="date">
        <w:smartTagPr>
          <w:attr w:name="Month" w:val="1"/>
          <w:attr w:name="Day" w:val="18"/>
          <w:attr w:name="Year" w:val="2006"/>
        </w:smartTagPr>
        <w:r w:rsidR="004B63A7" w:rsidRPr="003A386A">
          <w:t>18 January 2006</w:t>
        </w:r>
      </w:smartTag>
      <w:r w:rsidR="00BB0280">
        <w:t>,</w:t>
      </w:r>
    </w:p>
    <w:p w:rsidRPr="008213D8" w:rsidR="00B66328" w:rsidP="00B66328" w:rsidRDefault="00B66328">
      <w:pPr>
        <w:pStyle w:val="JuPara"/>
      </w:pPr>
      <w:r w:rsidRPr="008213D8">
        <w:t>Delivers the following judgment</w:t>
      </w:r>
      <w:r>
        <w:t>, which was adopted on the last</w:t>
      </w:r>
      <w:r>
        <w:noBreakHyphen/>
      </w:r>
      <w:r w:rsidRPr="008213D8">
        <w:t>mentioned date:</w:t>
      </w:r>
    </w:p>
    <w:p w:rsidRPr="008213D8" w:rsidR="00B66328" w:rsidP="00B66328" w:rsidRDefault="00B66328">
      <w:pPr>
        <w:pStyle w:val="JuHHead"/>
      </w:pPr>
      <w:r w:rsidRPr="008213D8">
        <w:t>PROCEDURE</w:t>
      </w:r>
    </w:p>
    <w:p w:rsidRPr="008213D8" w:rsidR="00B66328" w:rsidP="00B66328" w:rsidRDefault="00B66328">
      <w:pPr>
        <w:pStyle w:val="JuPara"/>
      </w:pPr>
      <w:r>
        <w:fldChar w:fldCharType="begin"/>
      </w:r>
      <w:r>
        <w:instrText xml:space="preserve"> SEQ level0 \*arabic </w:instrText>
      </w:r>
      <w:r>
        <w:fldChar w:fldCharType="separate"/>
      </w:r>
      <w:r w:rsidR="006D3397">
        <w:rPr>
          <w:noProof/>
        </w:rPr>
        <w:t>1</w:t>
      </w:r>
      <w:r>
        <w:fldChar w:fldCharType="end"/>
      </w:r>
      <w:r>
        <w:t>.  </w:t>
      </w:r>
      <w:r w:rsidRPr="008213D8">
        <w:t>The case originated in a</w:t>
      </w:r>
      <w:r w:rsidR="00223EF5">
        <w:t>n application (no.</w:t>
      </w:r>
      <w:r w:rsidR="002A7BAA">
        <w:t xml:space="preserve"> </w:t>
      </w:r>
      <w:r w:rsidRPr="008213D8">
        <w:t xml:space="preserve">64886/01) against the </w:t>
      </w:r>
      <w:smartTag w:uri="urn:schemas-microsoft-com:office:smarttags" w:element="place">
        <w:smartTag w:uri="urn:schemas-microsoft-com:office:smarttags" w:element="PlaceName">
          <w:r w:rsidRPr="008213D8">
            <w:t>Italian</w:t>
          </w:r>
        </w:smartTag>
        <w:r w:rsidRPr="008213D8">
          <w:t xml:space="preserve"> </w:t>
        </w:r>
        <w:smartTag w:uri="urn:schemas-microsoft-com:office:smarttags" w:element="PlaceType">
          <w:r w:rsidRPr="008213D8">
            <w:t>Republic</w:t>
          </w:r>
        </w:smartTag>
      </w:smartTag>
      <w:r w:rsidRPr="008213D8">
        <w:t xml:space="preserve"> lodged with the European Commission of Human Rights (“the Commission”) under former Article 25 of the Convention for the Protection of Human Rights and Fundamental Freedoms (“the Convention”) by an Italian national, </w:t>
      </w:r>
      <w:r>
        <w:t xml:space="preserve">Mr </w:t>
      </w:r>
      <w:r w:rsidRPr="008213D8">
        <w:t>Giovanni Cocchi</w:t>
      </w:r>
      <w:r>
        <w:t xml:space="preserve">arella (“the applicant”), on </w:t>
      </w:r>
      <w:smartTag w:uri="urn:schemas-microsoft-com:office:smarttags" w:element="date">
        <w:smartTagPr>
          <w:attr w:name="Month" w:val="12"/>
          <w:attr w:name="Day" w:val="22"/>
          <w:attr w:name="Year" w:val="1997"/>
        </w:smartTagPr>
        <w:r>
          <w:t>22 </w:t>
        </w:r>
        <w:r w:rsidRPr="008213D8">
          <w:t>December 1997</w:t>
        </w:r>
      </w:smartTag>
      <w:r w:rsidRPr="008213D8">
        <w:t>.</w:t>
      </w:r>
    </w:p>
    <w:p w:rsidRPr="008213D8" w:rsidR="00B66328" w:rsidP="00B66328" w:rsidRDefault="00B66328">
      <w:pPr>
        <w:pStyle w:val="JuPara"/>
      </w:pPr>
      <w:r>
        <w:fldChar w:fldCharType="begin"/>
      </w:r>
      <w:r>
        <w:instrText xml:space="preserve"> SEQ level0 \*arabic </w:instrText>
      </w:r>
      <w:r>
        <w:fldChar w:fldCharType="separate"/>
      </w:r>
      <w:r w:rsidR="006D3397">
        <w:rPr>
          <w:noProof/>
        </w:rPr>
        <w:t>2</w:t>
      </w:r>
      <w:r>
        <w:fldChar w:fldCharType="end"/>
      </w:r>
      <w:r>
        <w:t>.  </w:t>
      </w:r>
      <w:r w:rsidRPr="008213D8">
        <w:t xml:space="preserve">The applicant was represented by Mr S. de Nigris de Maria, </w:t>
      </w:r>
      <w:r>
        <w:t>of the</w:t>
      </w:r>
      <w:r w:rsidRPr="008213D8">
        <w:t xml:space="preserve"> </w:t>
      </w:r>
      <w:r w:rsidRPr="005367BA">
        <w:t>Benevento</w:t>
      </w:r>
      <w:r>
        <w:t xml:space="preserve"> Bar, in the proceedings before the Chamber and subsequently by Mr de Nigris de Maria, Mr T. Verrilli, Mr</w:t>
      </w:r>
      <w:r w:rsidR="002A7BAA">
        <w:t xml:space="preserve"> </w:t>
      </w:r>
      <w:r>
        <w:t>C. Marcellino, Mr A. Nardone and Mr</w:t>
      </w:r>
      <w:r w:rsidR="002A7BAA">
        <w:t xml:space="preserve"> </w:t>
      </w:r>
      <w:r>
        <w:t xml:space="preserve">V. Collarile, of the </w:t>
      </w:r>
      <w:r w:rsidRPr="005367BA">
        <w:t>Benevento</w:t>
      </w:r>
      <w:r>
        <w:t xml:space="preserve"> Bar</w:t>
      </w:r>
      <w:r w:rsidRPr="008213D8">
        <w:t xml:space="preserve">. The Italian Government (“the Government”) were represented </w:t>
      </w:r>
      <w:r>
        <w:t xml:space="preserve">successively </w:t>
      </w:r>
      <w:r w:rsidRPr="008213D8">
        <w:t>by their Agent</w:t>
      </w:r>
      <w:r>
        <w:t>s</w:t>
      </w:r>
      <w:r w:rsidRPr="008213D8">
        <w:t xml:space="preserve">, Mr </w:t>
      </w:r>
      <w:r>
        <w:t>U. Leanza and Mr I.M. Braguglia, their co-Agents</w:t>
      </w:r>
      <w:r w:rsidRPr="008213D8">
        <w:t>,</w:t>
      </w:r>
      <w:r w:rsidR="00223EF5">
        <w:t xml:space="preserve"> Mr V. Esposito and Mr </w:t>
      </w:r>
      <w:r>
        <w:t xml:space="preserve">F. Crisafulli, and their </w:t>
      </w:r>
      <w:r w:rsidR="00B16E95">
        <w:t>D</w:t>
      </w:r>
      <w:r>
        <w:t>eputy co-Agent,</w:t>
      </w:r>
      <w:r w:rsidRPr="008213D8">
        <w:t xml:space="preserve"> </w:t>
      </w:r>
      <w:r>
        <w:t>Mr N. Lettieri</w:t>
      </w:r>
      <w:r w:rsidRPr="008213D8">
        <w:t>.</w:t>
      </w:r>
    </w:p>
    <w:p w:rsidRPr="008213D8" w:rsidR="00B66328" w:rsidP="00B66328" w:rsidRDefault="00B66328">
      <w:pPr>
        <w:pStyle w:val="JuPara"/>
        <w:keepLines/>
      </w:pPr>
      <w:r>
        <w:fldChar w:fldCharType="begin"/>
      </w:r>
      <w:r>
        <w:instrText xml:space="preserve"> SEQ level0 \*arabic </w:instrText>
      </w:r>
      <w:r>
        <w:fldChar w:fldCharType="separate"/>
      </w:r>
      <w:r w:rsidR="006D3397">
        <w:rPr>
          <w:noProof/>
        </w:rPr>
        <w:t>3</w:t>
      </w:r>
      <w:r>
        <w:fldChar w:fldCharType="end"/>
      </w:r>
      <w:r>
        <w:t>.  </w:t>
      </w:r>
      <w:r w:rsidRPr="008213D8">
        <w:t xml:space="preserve">The applicant alleged </w:t>
      </w:r>
      <w:r>
        <w:t>that there had been a breach of Article 6 § 1 of the Convention on account of the length of civil proceedings to which he had been a party</w:t>
      </w:r>
      <w:r w:rsidRPr="008213D8">
        <w:t>.</w:t>
      </w:r>
      <w:r>
        <w:t xml:space="preserve"> Subsequently, the applicant indicated that he was not complaining of the manner in which the Court of Appeal had calculated the delays but of the derisory amount awarded in damages.</w:t>
      </w:r>
    </w:p>
    <w:p w:rsidRPr="008213D8" w:rsidR="00B66328" w:rsidP="00B66328" w:rsidRDefault="00B66328">
      <w:pPr>
        <w:pStyle w:val="JuPara"/>
      </w:pPr>
      <w:r>
        <w:fldChar w:fldCharType="begin"/>
      </w:r>
      <w:r>
        <w:instrText xml:space="preserve"> SEQ level0 \*arabic </w:instrText>
      </w:r>
      <w:r>
        <w:fldChar w:fldCharType="separate"/>
      </w:r>
      <w:r w:rsidR="006D3397">
        <w:rPr>
          <w:noProof/>
        </w:rPr>
        <w:t>4</w:t>
      </w:r>
      <w:r>
        <w:fldChar w:fldCharType="end"/>
      </w:r>
      <w:r>
        <w:t>.  </w:t>
      </w:r>
      <w:r w:rsidRPr="008213D8">
        <w:t xml:space="preserve">The application was transmitted to the Court on </w:t>
      </w:r>
      <w:smartTag w:uri="urn:schemas-microsoft-com:office:smarttags" w:element="date">
        <w:smartTagPr>
          <w:attr w:name="Month" w:val="11"/>
          <w:attr w:name="Day" w:val="1"/>
          <w:attr w:name="Year" w:val="1998"/>
        </w:smartTagPr>
        <w:r w:rsidRPr="008213D8">
          <w:t>1 November 1998</w:t>
        </w:r>
      </w:smartTag>
      <w:r w:rsidRPr="008213D8">
        <w:t>, when Protocol No. 11 to the Convention came into force (Art</w:t>
      </w:r>
      <w:r>
        <w:t>icle 5 § 2 of Protocol No. 11).</w:t>
      </w:r>
    </w:p>
    <w:p w:rsidR="00B66328" w:rsidP="00B66328" w:rsidRDefault="00B66328">
      <w:pPr>
        <w:pStyle w:val="JuPara"/>
      </w:pPr>
      <w:r>
        <w:fldChar w:fldCharType="begin"/>
      </w:r>
      <w:r>
        <w:instrText xml:space="preserve"> SEQ level0 \*arabic </w:instrText>
      </w:r>
      <w:r>
        <w:fldChar w:fldCharType="separate"/>
      </w:r>
      <w:r w:rsidR="006D3397">
        <w:rPr>
          <w:noProof/>
        </w:rPr>
        <w:t>5</w:t>
      </w:r>
      <w:r>
        <w:fldChar w:fldCharType="end"/>
      </w:r>
      <w:r>
        <w:t>.  </w:t>
      </w:r>
      <w:r w:rsidRPr="008213D8">
        <w:t xml:space="preserve">The application was allocated to </w:t>
      </w:r>
      <w:r>
        <w:t>a Section of the Court (Rule 52 § 1 of the Rules of Court).</w:t>
      </w:r>
      <w:r w:rsidRPr="008213D8">
        <w:t xml:space="preserve"> </w:t>
      </w:r>
      <w:r w:rsidR="00BB0280">
        <w:t>Vladimiro</w:t>
      </w:r>
      <w:r>
        <w:t xml:space="preserve"> Zagrebelsky</w:t>
      </w:r>
      <w:r w:rsidRPr="008213D8">
        <w:t xml:space="preserve">, the judge elected in respect of </w:t>
      </w:r>
      <w:smartTag w:uri="urn:schemas-microsoft-com:office:smarttags" w:element="place">
        <w:smartTag w:uri="urn:schemas-microsoft-com:office:smarttags" w:element="country-region">
          <w:r w:rsidRPr="008213D8">
            <w:t>Italy</w:t>
          </w:r>
        </w:smartTag>
      </w:smartTag>
      <w:r w:rsidRPr="008213D8">
        <w:t xml:space="preserve">, withdrew from sitting in the </w:t>
      </w:r>
      <w:r w:rsidR="00BB0280">
        <w:t>case</w:t>
      </w:r>
      <w:r w:rsidRPr="008213D8">
        <w:t xml:space="preserve"> (Rule 28). The Government accordingly appointed </w:t>
      </w:r>
      <w:r w:rsidR="00BB0280">
        <w:t>Luigi</w:t>
      </w:r>
      <w:r>
        <w:t xml:space="preserve"> Ferrari Bravo</w:t>
      </w:r>
      <w:r w:rsidRPr="008213D8">
        <w:t xml:space="preserve"> to sit as an </w:t>
      </w:r>
      <w:r w:rsidRPr="008213D8">
        <w:rPr>
          <w:i/>
        </w:rPr>
        <w:t>ad hoc</w:t>
      </w:r>
      <w:r w:rsidRPr="008213D8">
        <w:t xml:space="preserve"> judge (Article</w:t>
      </w:r>
      <w:r w:rsidR="00BB0280">
        <w:t> </w:t>
      </w:r>
      <w:r w:rsidRPr="008213D8">
        <w:t>27 § 2 of t</w:t>
      </w:r>
      <w:r>
        <w:t>he Convention and Rule 29 § 1).</w:t>
      </w:r>
    </w:p>
    <w:p w:rsidRPr="00A6562D" w:rsidR="00B66328" w:rsidP="00B66328" w:rsidRDefault="00B66328">
      <w:pPr>
        <w:pStyle w:val="JuPara"/>
        <w:rPr>
          <w:rStyle w:val="JuParaCharChar1"/>
        </w:rPr>
      </w:pPr>
      <w:r w:rsidRPr="00A6562D">
        <w:rPr>
          <w:rStyle w:val="JuParaCharChar1"/>
        </w:rPr>
        <w:fldChar w:fldCharType="begin"/>
      </w:r>
      <w:r w:rsidRPr="00A6562D">
        <w:rPr>
          <w:rStyle w:val="JuParaCharChar1"/>
        </w:rPr>
        <w:instrText xml:space="preserve"> SEQ level0 \*arabic </w:instrText>
      </w:r>
      <w:r w:rsidRPr="00A6562D">
        <w:rPr>
          <w:rStyle w:val="JuParaCharChar1"/>
        </w:rPr>
        <w:fldChar w:fldCharType="separate"/>
      </w:r>
      <w:r w:rsidR="006D3397">
        <w:rPr>
          <w:rStyle w:val="JuParaCharChar1"/>
          <w:noProof/>
        </w:rPr>
        <w:t>6</w:t>
      </w:r>
      <w:r w:rsidRPr="00A6562D">
        <w:rPr>
          <w:rStyle w:val="JuParaCharChar1"/>
        </w:rPr>
        <w:fldChar w:fldCharType="end"/>
      </w:r>
      <w:r w:rsidRPr="00A6562D">
        <w:rPr>
          <w:rStyle w:val="JuParaCharChar1"/>
        </w:rPr>
        <w:t xml:space="preserve">.  On 20 November 2003 the application was declared admissible by a Chamber of the First Section, composed of </w:t>
      </w:r>
      <w:r w:rsidR="00EE5B03">
        <w:rPr>
          <w:rStyle w:val="JuParaCharChar1"/>
        </w:rPr>
        <w:t>Christos</w:t>
      </w:r>
      <w:r w:rsidR="002A7BAA">
        <w:rPr>
          <w:rStyle w:val="JuParaCharChar1"/>
        </w:rPr>
        <w:t xml:space="preserve"> </w:t>
      </w:r>
      <w:r w:rsidRPr="00A6562D">
        <w:rPr>
          <w:rStyle w:val="JuParaCharChar1"/>
        </w:rPr>
        <w:t xml:space="preserve">Rozakis, </w:t>
      </w:r>
      <w:r w:rsidR="00A90421">
        <w:rPr>
          <w:rStyle w:val="JuParaCharChar1"/>
        </w:rPr>
        <w:t xml:space="preserve">President, </w:t>
      </w:r>
      <w:r w:rsidR="00EE5B03">
        <w:rPr>
          <w:rStyle w:val="JuParaCharChar1"/>
        </w:rPr>
        <w:t>Peer</w:t>
      </w:r>
      <w:r w:rsidRPr="00A6562D">
        <w:rPr>
          <w:rStyle w:val="JuParaCharChar1"/>
        </w:rPr>
        <w:t xml:space="preserve"> Lorenzen, </w:t>
      </w:r>
      <w:r w:rsidR="00EE5B03">
        <w:rPr>
          <w:rStyle w:val="JuParaCharChar1"/>
        </w:rPr>
        <w:t>Giovanni</w:t>
      </w:r>
      <w:r w:rsidRPr="00A6562D">
        <w:rPr>
          <w:rStyle w:val="JuParaCharChar1"/>
        </w:rPr>
        <w:t xml:space="preserve"> Bonello, </w:t>
      </w:r>
      <w:r w:rsidR="00EE5B03">
        <w:rPr>
          <w:rStyle w:val="JuParaCharChar1"/>
        </w:rPr>
        <w:t>Anatoly</w:t>
      </w:r>
      <w:r w:rsidRPr="00A6562D">
        <w:rPr>
          <w:rStyle w:val="JuParaCharChar1"/>
        </w:rPr>
        <w:t xml:space="preserve"> Kovler, </w:t>
      </w:r>
      <w:r w:rsidR="00EE5B03">
        <w:t>Elisabeth</w:t>
      </w:r>
      <w:r w:rsidR="002A7BAA">
        <w:t xml:space="preserve"> </w:t>
      </w:r>
      <w:r>
        <w:t>Steiner</w:t>
      </w:r>
      <w:r w:rsidRPr="008213D8">
        <w:t>,</w:t>
      </w:r>
      <w:r>
        <w:t xml:space="preserve"> </w:t>
      </w:r>
      <w:r w:rsidR="00EE5B03">
        <w:t>Khanlar</w:t>
      </w:r>
      <w:r>
        <w:t xml:space="preserve"> Hajiyev, judges, </w:t>
      </w:r>
      <w:r w:rsidR="00EE5B03">
        <w:t>Luigi</w:t>
      </w:r>
      <w:r>
        <w:t xml:space="preserve"> Ferrari Bravo, </w:t>
      </w:r>
      <w:r w:rsidRPr="009A1AF5">
        <w:rPr>
          <w:i/>
        </w:rPr>
        <w:t>ad hoc</w:t>
      </w:r>
      <w:r>
        <w:t xml:space="preserve"> judge, </w:t>
      </w:r>
      <w:r w:rsidRPr="00A6562D">
        <w:rPr>
          <w:rStyle w:val="JuParaCharChar1"/>
        </w:rPr>
        <w:t>and S</w:t>
      </w:r>
      <w:r w:rsidR="00A90421">
        <w:rPr>
          <w:rStyle w:val="JuParaCharChar1"/>
        </w:rPr>
        <w:t>øren</w:t>
      </w:r>
      <w:r w:rsidR="002A7BAA">
        <w:rPr>
          <w:rStyle w:val="JuParaCharChar1"/>
        </w:rPr>
        <w:t xml:space="preserve"> </w:t>
      </w:r>
      <w:r w:rsidRPr="00A6562D">
        <w:rPr>
          <w:rStyle w:val="JuParaCharChar1"/>
        </w:rPr>
        <w:t>Nielsen, Section Registrar.</w:t>
      </w:r>
    </w:p>
    <w:p w:rsidR="00B66328" w:rsidP="00B66328" w:rsidRDefault="00B66328">
      <w:pPr>
        <w:pStyle w:val="JuPara"/>
      </w:pPr>
      <w:r>
        <w:fldChar w:fldCharType="begin"/>
      </w:r>
      <w:r>
        <w:instrText xml:space="preserve"> SEQ level0 \*arabic </w:instrText>
      </w:r>
      <w:r>
        <w:fldChar w:fldCharType="separate"/>
      </w:r>
      <w:r w:rsidR="006D3397">
        <w:rPr>
          <w:noProof/>
        </w:rPr>
        <w:t>7</w:t>
      </w:r>
      <w:r>
        <w:fldChar w:fldCharType="end"/>
      </w:r>
      <w:r>
        <w:t>.  On 10 November 2004 the same Chamber gave judgment in which it held unanimously that there had been a violation of Article 6 § 1 of the Convention.</w:t>
      </w:r>
    </w:p>
    <w:p w:rsidR="00B66328" w:rsidP="00B66328" w:rsidRDefault="00B66328">
      <w:pPr>
        <w:pStyle w:val="JuPara"/>
      </w:pPr>
      <w:r>
        <w:fldChar w:fldCharType="begin"/>
      </w:r>
      <w:r>
        <w:instrText xml:space="preserve"> SEQ level0 \*arabic </w:instrText>
      </w:r>
      <w:r>
        <w:fldChar w:fldCharType="separate"/>
      </w:r>
      <w:r w:rsidR="006D3397">
        <w:rPr>
          <w:noProof/>
        </w:rPr>
        <w:t>8</w:t>
      </w:r>
      <w:r>
        <w:fldChar w:fldCharType="end"/>
      </w:r>
      <w:r>
        <w:t xml:space="preserve">.  On </w:t>
      </w:r>
      <w:smartTag w:uri="urn:schemas-microsoft-com:office:smarttags" w:element="date">
        <w:smartTagPr>
          <w:attr w:name="Month" w:val="1"/>
          <w:attr w:name="Day" w:val="27"/>
          <w:attr w:name="Year" w:val="2005"/>
        </w:smartTagPr>
        <w:r>
          <w:t>27 January 2005</w:t>
        </w:r>
      </w:smartTag>
      <w:r>
        <w:t xml:space="preserve"> the Government requested,</w:t>
      </w:r>
      <w:r w:rsidRPr="00EF0051">
        <w:t xml:space="preserve"> </w:t>
      </w:r>
      <w:r>
        <w:t xml:space="preserve">in accordance with Article 43 of the Convention and Rule 73, that the case be referred to the Grand Chamber. On </w:t>
      </w:r>
      <w:smartTag w:uri="urn:schemas-microsoft-com:office:smarttags" w:element="date">
        <w:smartTagPr>
          <w:attr w:name="Month" w:val="3"/>
          <w:attr w:name="Day" w:val="30"/>
          <w:attr w:name="Year" w:val="2005"/>
        </w:smartTagPr>
        <w:r>
          <w:t>30 March 2005</w:t>
        </w:r>
      </w:smartTag>
      <w:r>
        <w:t xml:space="preserve"> a panel of the Grand Chamber accepted that request.</w:t>
      </w:r>
    </w:p>
    <w:p w:rsidRPr="002B2AD2" w:rsidR="00B66328" w:rsidP="00B66328" w:rsidRDefault="00B66328">
      <w:pPr>
        <w:pStyle w:val="JuPara"/>
      </w:pPr>
      <w:r>
        <w:fldChar w:fldCharType="begin"/>
      </w:r>
      <w:r>
        <w:instrText xml:space="preserve"> SEQ level0 \*arabic </w:instrText>
      </w:r>
      <w:r>
        <w:fldChar w:fldCharType="separate"/>
      </w:r>
      <w:r w:rsidR="006D3397">
        <w:rPr>
          <w:noProof/>
        </w:rPr>
        <w:t>9</w:t>
      </w:r>
      <w:r>
        <w:fldChar w:fldCharType="end"/>
      </w:r>
      <w:r>
        <w:t>.  </w:t>
      </w:r>
      <w:r w:rsidRPr="008213D8">
        <w:t xml:space="preserve">The composition of the Grand Chamber was determined </w:t>
      </w:r>
      <w:r>
        <w:t xml:space="preserve">in accordance with </w:t>
      </w:r>
      <w:r w:rsidRPr="008213D8">
        <w:t>the provisions of Article 27 §§ 2 and 3 of the Convention and Rule 24. The President of the Court decided that</w:t>
      </w:r>
      <w:r>
        <w:t>,</w:t>
      </w:r>
      <w:r w:rsidRPr="008213D8">
        <w:t xml:space="preserve"> in the interests of the proper administration of justice, the case should be assigned to </w:t>
      </w:r>
      <w:r>
        <w:t xml:space="preserve">the same Grand Chamber as </w:t>
      </w:r>
      <w:r w:rsidRPr="00223EF5">
        <w:rPr>
          <w:i/>
        </w:rPr>
        <w:t>Riccardi Pizzati v. Italy</w:t>
      </w:r>
      <w:r>
        <w:t xml:space="preserve">, </w:t>
      </w:r>
      <w:r w:rsidRPr="00223EF5">
        <w:rPr>
          <w:i/>
        </w:rPr>
        <w:t>Musci v. Italy</w:t>
      </w:r>
      <w:r>
        <w:t xml:space="preserve">, </w:t>
      </w:r>
      <w:r w:rsidRPr="00223EF5">
        <w:rPr>
          <w:i/>
        </w:rPr>
        <w:t>Giuseppe Mostacciuolo v. Italy (no. 1)</w:t>
      </w:r>
      <w:r w:rsidRPr="00B16E95">
        <w:t>,</w:t>
      </w:r>
      <w:r>
        <w:t xml:space="preserve"> </w:t>
      </w:r>
      <w:r w:rsidRPr="00223EF5">
        <w:rPr>
          <w:i/>
        </w:rPr>
        <w:t>Apicella v. Italy</w:t>
      </w:r>
      <w:r w:rsidRPr="00B16E95">
        <w:t>,</w:t>
      </w:r>
      <w:r w:rsidRPr="00223EF5">
        <w:rPr>
          <w:i/>
        </w:rPr>
        <w:t xml:space="preserve"> Ernestina Zullo</w:t>
      </w:r>
      <w:r w:rsidRPr="002B2AD2">
        <w:t xml:space="preserve"> </w:t>
      </w:r>
      <w:r w:rsidRPr="00223EF5">
        <w:rPr>
          <w:i/>
        </w:rPr>
        <w:t>v.</w:t>
      </w:r>
      <w:r w:rsidR="002A7BAA">
        <w:rPr>
          <w:i/>
        </w:rPr>
        <w:t xml:space="preserve"> </w:t>
      </w:r>
      <w:r w:rsidRPr="00223EF5">
        <w:rPr>
          <w:i/>
        </w:rPr>
        <w:t>Italy</w:t>
      </w:r>
      <w:r w:rsidRPr="00B16E95">
        <w:t xml:space="preserve">, </w:t>
      </w:r>
      <w:r w:rsidRPr="00223EF5">
        <w:rPr>
          <w:i/>
        </w:rPr>
        <w:t>Giuseppina and Orestina Procaccini v. Italy</w:t>
      </w:r>
      <w:r>
        <w:t xml:space="preserve"> and</w:t>
      </w:r>
      <w:r w:rsidRPr="002B2AD2">
        <w:t xml:space="preserve"> </w:t>
      </w:r>
      <w:r w:rsidRPr="00223EF5">
        <w:rPr>
          <w:i/>
        </w:rPr>
        <w:t>Giuseppe</w:t>
      </w:r>
      <w:r w:rsidRPr="002B2AD2">
        <w:t xml:space="preserve"> </w:t>
      </w:r>
      <w:r w:rsidRPr="00223EF5">
        <w:rPr>
          <w:i/>
        </w:rPr>
        <w:t>Mostacciuolo v. Italy</w:t>
      </w:r>
      <w:r w:rsidR="00223EF5">
        <w:rPr>
          <w:i/>
        </w:rPr>
        <w:t xml:space="preserve"> </w:t>
      </w:r>
      <w:r w:rsidRPr="00223EF5" w:rsidR="00223EF5">
        <w:rPr>
          <w:i/>
        </w:rPr>
        <w:t>(no. 2)</w:t>
      </w:r>
      <w:r w:rsidRPr="002B2AD2">
        <w:t xml:space="preserve"> (</w:t>
      </w:r>
      <w:r>
        <w:t>applications</w:t>
      </w:r>
      <w:r w:rsidRPr="002B2AD2">
        <w:t xml:space="preserve"> </w:t>
      </w:r>
      <w:r>
        <w:t>nos.</w:t>
      </w:r>
      <w:r w:rsidRPr="002B2AD2">
        <w:t xml:space="preserve"> 62361/00, 64699/01, 64705/01, 64890/01, 64897/01, 65075/01 </w:t>
      </w:r>
      <w:r>
        <w:t>and</w:t>
      </w:r>
      <w:r w:rsidRPr="002B2AD2">
        <w:t xml:space="preserve"> 65102/01</w:t>
      </w:r>
      <w:r w:rsidR="00B16E95">
        <w:t xml:space="preserve"> respectively</w:t>
      </w:r>
      <w:r w:rsidRPr="002B2AD2">
        <w:t>) (Rules 24, 42 § 2 and 71).</w:t>
      </w:r>
      <w:r>
        <w:t xml:space="preserve"> To that end the President ordered the parties to form a legal team (see paragraph 2 above).</w:t>
      </w:r>
    </w:p>
    <w:p w:rsidRPr="008213D8" w:rsidR="00B66328" w:rsidP="00B66328" w:rsidRDefault="00B66328">
      <w:pPr>
        <w:pStyle w:val="JuPara"/>
      </w:pPr>
      <w:r>
        <w:fldChar w:fldCharType="begin"/>
      </w:r>
      <w:r>
        <w:instrText xml:space="preserve"> SEQ level0 \*arabic </w:instrText>
      </w:r>
      <w:r>
        <w:fldChar w:fldCharType="separate"/>
      </w:r>
      <w:r w:rsidR="006D3397">
        <w:rPr>
          <w:noProof/>
        </w:rPr>
        <w:t>10</w:t>
      </w:r>
      <w:r>
        <w:fldChar w:fldCharType="end"/>
      </w:r>
      <w:r>
        <w:t>.  </w:t>
      </w:r>
      <w:r w:rsidRPr="008213D8">
        <w:t xml:space="preserve">The applicant and the Government each filed </w:t>
      </w:r>
      <w:r>
        <w:t xml:space="preserve">a memorial. </w:t>
      </w:r>
      <w:r w:rsidRPr="008213D8">
        <w:t>In addition, third-par</w:t>
      </w:r>
      <w:r>
        <w:t xml:space="preserve">ty comments were received from </w:t>
      </w:r>
      <w:r w:rsidRPr="008213D8">
        <w:t xml:space="preserve">the </w:t>
      </w:r>
      <w:r>
        <w:t>Polish, Czech and Slovak</w:t>
      </w:r>
      <w:r w:rsidR="00B16E95">
        <w:t>ian</w:t>
      </w:r>
      <w:r w:rsidRPr="008213D8">
        <w:t xml:space="preserve"> Government</w:t>
      </w:r>
      <w:r>
        <w:t>s</w:t>
      </w:r>
      <w:r w:rsidRPr="008213D8">
        <w:t xml:space="preserve">, which had been given leave by the President to intervene in the written procedure (Article 36 § 2 of </w:t>
      </w:r>
      <w:r>
        <w:t>the Convention and Rule 44 § 2)</w:t>
      </w:r>
      <w:r w:rsidRPr="008213D8">
        <w:t>.</w:t>
      </w:r>
      <w:r>
        <w:t xml:space="preserve"> </w:t>
      </w:r>
      <w:r w:rsidRPr="008213D8">
        <w:t>The applicant replied t</w:t>
      </w:r>
      <w:r>
        <w:t>o those comments (Rule 44 § 5).</w:t>
      </w:r>
    </w:p>
    <w:p w:rsidRPr="008213D8" w:rsidR="00B66328" w:rsidP="00B66328" w:rsidRDefault="00B66328">
      <w:pPr>
        <w:pStyle w:val="JuPara"/>
      </w:pPr>
      <w:r>
        <w:fldChar w:fldCharType="begin"/>
      </w:r>
      <w:r>
        <w:instrText xml:space="preserve"> SEQ level0 \*arabic </w:instrText>
      </w:r>
      <w:r>
        <w:fldChar w:fldCharType="separate"/>
      </w:r>
      <w:r w:rsidR="006D3397">
        <w:rPr>
          <w:noProof/>
        </w:rPr>
        <w:t>11</w:t>
      </w:r>
      <w:r>
        <w:fldChar w:fldCharType="end"/>
      </w:r>
      <w:r>
        <w:t>.  </w:t>
      </w:r>
      <w:r w:rsidRPr="008213D8">
        <w:t xml:space="preserve">A hearing took place in public in the </w:t>
      </w:r>
      <w:smartTag w:uri="urn:schemas-microsoft-com:office:smarttags" w:element="PlaceName">
        <w:r w:rsidRPr="008213D8">
          <w:t>Human</w:t>
        </w:r>
      </w:smartTag>
      <w:r w:rsidRPr="008213D8">
        <w:t xml:space="preserve"> </w:t>
      </w:r>
      <w:smartTag w:uri="urn:schemas-microsoft-com:office:smarttags" w:element="PlaceName">
        <w:r w:rsidRPr="008213D8">
          <w:t>Rights</w:t>
        </w:r>
      </w:smartTag>
      <w:r w:rsidRPr="008213D8">
        <w:t xml:space="preserve"> </w:t>
      </w:r>
      <w:smartTag w:uri="urn:schemas-microsoft-com:office:smarttags" w:element="PlaceType">
        <w:r w:rsidRPr="008213D8">
          <w:t>Building</w:t>
        </w:r>
      </w:smartTag>
      <w:r w:rsidRPr="008213D8">
        <w:t xml:space="preserve">, </w:t>
      </w:r>
      <w:smartTag w:uri="urn:schemas-microsoft-com:office:smarttags" w:element="place">
        <w:smartTag w:uri="urn:schemas-microsoft-com:office:smarttags" w:element="City">
          <w:r w:rsidRPr="008213D8">
            <w:t>Strasbourg</w:t>
          </w:r>
        </w:smartTag>
      </w:smartTag>
      <w:r w:rsidRPr="008213D8">
        <w:t xml:space="preserve">, on </w:t>
      </w:r>
      <w:smartTag w:uri="urn:schemas-microsoft-com:office:smarttags" w:element="date">
        <w:smartTagPr>
          <w:attr w:name="Month" w:val="6"/>
          <w:attr w:name="Day" w:val="29"/>
          <w:attr w:name="Year" w:val="2005"/>
        </w:smartTagPr>
        <w:r>
          <w:t>29 June 2005</w:t>
        </w:r>
      </w:smartTag>
      <w:r w:rsidRPr="008213D8">
        <w:t xml:space="preserve"> (Rule 59 § 3).</w:t>
      </w:r>
    </w:p>
    <w:p w:rsidRPr="008213D8" w:rsidR="00B66328" w:rsidP="00B66328" w:rsidRDefault="00B66328">
      <w:pPr>
        <w:pStyle w:val="JuPara"/>
        <w:keepNext/>
        <w:keepLines/>
      </w:pPr>
      <w:r w:rsidRPr="008213D8">
        <w:t>There appeared before the Court:</w:t>
      </w:r>
    </w:p>
    <w:p w:rsidR="002C116A" w:rsidP="002C116A" w:rsidRDefault="00B66328">
      <w:pPr>
        <w:pStyle w:val="JuCourt"/>
        <w:keepLines/>
      </w:pPr>
      <w:r w:rsidRPr="008213D8">
        <w:t>(a)  </w:t>
      </w:r>
      <w:r w:rsidRPr="008213D8">
        <w:rPr>
          <w:i/>
        </w:rPr>
        <w:t>for the</w:t>
      </w:r>
      <w:r>
        <w:rPr>
          <w:i/>
        </w:rPr>
        <w:t xml:space="preserve"> </w:t>
      </w:r>
      <w:r w:rsidRPr="008213D8">
        <w:rPr>
          <w:i/>
        </w:rPr>
        <w:t>Government</w:t>
      </w:r>
      <w:r>
        <w:br/>
      </w:r>
      <w:r w:rsidRPr="008F016A" w:rsidR="008C6CE3">
        <w:t>Mr</w:t>
      </w:r>
      <w:r w:rsidRPr="008F016A" w:rsidR="008C6CE3">
        <w:tab/>
      </w:r>
      <w:r w:rsidR="008C6CE3">
        <w:rPr>
          <w:rStyle w:val="JuNames"/>
        </w:rPr>
        <w:t>N.</w:t>
      </w:r>
      <w:r w:rsidRPr="008C6CE3" w:rsidR="008C6CE3">
        <w:rPr>
          <w:rStyle w:val="JuNames"/>
        </w:rPr>
        <w:t xml:space="preserve"> </w:t>
      </w:r>
      <w:r w:rsidR="008C6CE3">
        <w:rPr>
          <w:rStyle w:val="JuNames"/>
        </w:rPr>
        <w:t>Lettieri</w:t>
      </w:r>
      <w:r w:rsidR="008C6CE3">
        <w:t>,</w:t>
      </w:r>
      <w:r w:rsidRPr="008F016A" w:rsidR="008C6CE3">
        <w:t xml:space="preserve"> </w:t>
      </w:r>
      <w:r w:rsidRPr="008F016A" w:rsidR="008C6CE3">
        <w:tab/>
      </w:r>
      <w:r w:rsidR="00B16E95">
        <w:rPr>
          <w:i/>
        </w:rPr>
        <w:t>D</w:t>
      </w:r>
      <w:r w:rsidRPr="002B2AD2" w:rsidR="008C6CE3">
        <w:rPr>
          <w:i/>
        </w:rPr>
        <w:t>eputy co</w:t>
      </w:r>
      <w:r w:rsidR="008C6CE3">
        <w:t>-</w:t>
      </w:r>
      <w:r w:rsidR="008C6CE3">
        <w:rPr>
          <w:i/>
        </w:rPr>
        <w:t>Agent</w:t>
      </w:r>
      <w:r w:rsidRPr="002C116A" w:rsidR="008C6CE3">
        <w:t>;</w:t>
      </w:r>
    </w:p>
    <w:p w:rsidR="008C6CE3" w:rsidP="002C116A" w:rsidRDefault="00B66328">
      <w:pPr>
        <w:pStyle w:val="JuCourt"/>
        <w:keepLines/>
      </w:pPr>
      <w:r w:rsidRPr="00577F4E">
        <w:t>(b)  </w:t>
      </w:r>
      <w:r w:rsidRPr="001D2AB2">
        <w:rPr>
          <w:i/>
        </w:rPr>
        <w:t>for the applicant</w:t>
      </w:r>
      <w:r w:rsidRPr="00577F4E">
        <w:br/>
      </w:r>
      <w:r w:rsidRPr="008F016A" w:rsidR="008C6CE3">
        <w:t>Mr</w:t>
      </w:r>
      <w:r w:rsidRPr="008F016A" w:rsidR="008C6CE3">
        <w:tab/>
      </w:r>
      <w:r w:rsidRPr="00577F4E" w:rsidR="008C6CE3">
        <w:rPr>
          <w:rStyle w:val="JuNames"/>
          <w:iCs/>
        </w:rPr>
        <w:t>S.</w:t>
      </w:r>
      <w:r w:rsidRPr="00577F4E" w:rsidR="008C6CE3">
        <w:rPr>
          <w:iCs/>
        </w:rPr>
        <w:t xml:space="preserve"> </w:t>
      </w:r>
      <w:r w:rsidRPr="00577F4E" w:rsidR="008C6CE3">
        <w:rPr>
          <w:rStyle w:val="JuNames"/>
          <w:iCs/>
        </w:rPr>
        <w:t>de Nigris de Maria</w:t>
      </w:r>
      <w:r w:rsidRPr="008F016A" w:rsidR="008C6CE3">
        <w:t xml:space="preserve">, </w:t>
      </w:r>
      <w:r w:rsidRPr="008F016A" w:rsidR="008C6CE3">
        <w:br/>
        <w:t>Mr</w:t>
      </w:r>
      <w:r w:rsidRPr="008F016A" w:rsidR="008C6CE3">
        <w:tab/>
      </w:r>
      <w:r w:rsidRPr="00577F4E" w:rsidR="008C6CE3">
        <w:rPr>
          <w:rStyle w:val="JuNames"/>
        </w:rPr>
        <w:t>T. Verrilli</w:t>
      </w:r>
      <w:r w:rsidRPr="008F016A" w:rsidR="008C6CE3">
        <w:t xml:space="preserve">, </w:t>
      </w:r>
      <w:r w:rsidRPr="008F016A" w:rsidR="008C6CE3">
        <w:br/>
        <w:t>Mr</w:t>
      </w:r>
      <w:r w:rsidRPr="008F016A" w:rsidR="008C6CE3">
        <w:tab/>
      </w:r>
      <w:r w:rsidRPr="00577F4E" w:rsidR="008C6CE3">
        <w:rPr>
          <w:rStyle w:val="JuNames"/>
        </w:rPr>
        <w:t>C. Marcellino</w:t>
      </w:r>
      <w:r w:rsidRPr="008F016A" w:rsidR="008C6CE3">
        <w:t xml:space="preserve">, </w:t>
      </w:r>
      <w:r w:rsidRPr="008F016A" w:rsidR="008C6CE3">
        <w:br/>
        <w:t>Mr</w:t>
      </w:r>
      <w:r w:rsidRPr="008F016A" w:rsidR="008C6CE3">
        <w:tab/>
      </w:r>
      <w:r w:rsidRPr="00577F4E" w:rsidR="008C6CE3">
        <w:rPr>
          <w:rStyle w:val="JuNames"/>
        </w:rPr>
        <w:t>A. Nardone</w:t>
      </w:r>
      <w:r w:rsidRPr="008F016A" w:rsidR="008C6CE3">
        <w:t xml:space="preserve">, </w:t>
      </w:r>
      <w:r w:rsidRPr="008F016A" w:rsidR="008C6CE3">
        <w:br/>
        <w:t>Mr</w:t>
      </w:r>
      <w:r w:rsidRPr="008F016A" w:rsidR="008C6CE3">
        <w:tab/>
      </w:r>
      <w:r w:rsidRPr="00577F4E" w:rsidR="008C6CE3">
        <w:t xml:space="preserve">V. </w:t>
      </w:r>
      <w:r w:rsidRPr="00577F4E" w:rsidR="008C6CE3">
        <w:rPr>
          <w:rStyle w:val="JuNames"/>
        </w:rPr>
        <w:t>Collarile</w:t>
      </w:r>
      <w:r w:rsidRPr="008F016A" w:rsidR="008C6CE3">
        <w:t xml:space="preserve">, </w:t>
      </w:r>
      <w:r w:rsidR="00B16E95">
        <w:t xml:space="preserve">all </w:t>
      </w:r>
      <w:r w:rsidRPr="00577F4E" w:rsidR="008C6CE3">
        <w:rPr>
          <w:iCs/>
        </w:rPr>
        <w:t>of the Benevento Bar</w:t>
      </w:r>
      <w:r w:rsidRPr="008F016A" w:rsidR="008C6CE3">
        <w:t xml:space="preserve">, </w:t>
      </w:r>
      <w:r w:rsidR="008C6CE3">
        <w:tab/>
      </w:r>
      <w:r w:rsidRPr="00363596" w:rsidR="008C6CE3">
        <w:rPr>
          <w:i/>
        </w:rPr>
        <w:t>C</w:t>
      </w:r>
      <w:r w:rsidR="008C6CE3">
        <w:rPr>
          <w:i/>
        </w:rPr>
        <w:t>ounsel.</w:t>
      </w:r>
      <w:r w:rsidRPr="008F016A" w:rsidR="008C6CE3">
        <w:br/>
      </w:r>
    </w:p>
    <w:p w:rsidRPr="00577F4E" w:rsidR="00B66328" w:rsidP="00B66328" w:rsidRDefault="00B66328">
      <w:pPr>
        <w:pStyle w:val="JuPara"/>
      </w:pPr>
      <w:r>
        <w:t>The Court heard addresses by Mr de Nigris de Maria, Mr Verrilli and Mr</w:t>
      </w:r>
      <w:r w:rsidR="002C116A">
        <w:t> </w:t>
      </w:r>
      <w:r>
        <w:t>Lettieri, and Mr Lettieri</w:t>
      </w:r>
      <w:r w:rsidR="00C01D3E">
        <w:t>’</w:t>
      </w:r>
      <w:r>
        <w:t>s replies to judges</w:t>
      </w:r>
      <w:r w:rsidR="00C01D3E">
        <w:t>’</w:t>
      </w:r>
      <w:r>
        <w:t xml:space="preserve"> questions.</w:t>
      </w:r>
    </w:p>
    <w:p w:rsidRPr="008213D8" w:rsidR="00B66328" w:rsidP="00B66328" w:rsidRDefault="00B66328">
      <w:pPr>
        <w:pStyle w:val="JuHHead"/>
      </w:pPr>
      <w:r w:rsidRPr="008213D8">
        <w:t>THE FACTS</w:t>
      </w:r>
    </w:p>
    <w:p w:rsidRPr="008213D8" w:rsidR="00B66328" w:rsidP="00B66328" w:rsidRDefault="00B66328">
      <w:pPr>
        <w:pStyle w:val="JuHIRoman"/>
      </w:pPr>
      <w:r w:rsidRPr="008213D8">
        <w:t>I.  THE CIRCUMSTANCES OF THE CASE</w:t>
      </w:r>
    </w:p>
    <w:p w:rsidRPr="0025493F" w:rsidR="00B66328" w:rsidP="00B66328" w:rsidRDefault="00B66328">
      <w:pPr>
        <w:pStyle w:val="JuPara"/>
        <w:rPr>
          <w:noProof/>
        </w:rPr>
      </w:pPr>
      <w:r>
        <w:fldChar w:fldCharType="begin"/>
      </w:r>
      <w:r>
        <w:instrText xml:space="preserve"> SEQ level0 \*arabic </w:instrText>
      </w:r>
      <w:r>
        <w:fldChar w:fldCharType="separate"/>
      </w:r>
      <w:r w:rsidR="006D3397">
        <w:rPr>
          <w:noProof/>
        </w:rPr>
        <w:t>12</w:t>
      </w:r>
      <w:r>
        <w:fldChar w:fldCharType="end"/>
      </w:r>
      <w:r>
        <w:t>.  </w:t>
      </w:r>
      <w:r w:rsidRPr="0025493F">
        <w:t xml:space="preserve">The applicant was born in 1942 </w:t>
      </w:r>
      <w:r>
        <w:t>and lives in</w:t>
      </w:r>
      <w:r w:rsidRPr="0025493F">
        <w:t xml:space="preserve"> </w:t>
      </w:r>
      <w:smartTag w:uri="urn:schemas-microsoft-com:office:smarttags" w:element="place">
        <w:smartTag w:uri="urn:schemas-microsoft-com:office:smarttags" w:element="City">
          <w:r w:rsidRPr="0025493F">
            <w:t>Benevento</w:t>
          </w:r>
        </w:smartTag>
      </w:smartTag>
      <w:r w:rsidRPr="0025493F">
        <w:rPr>
          <w:noProof/>
        </w:rPr>
        <w:t>.</w:t>
      </w:r>
    </w:p>
    <w:p w:rsidRPr="005367BA" w:rsidR="00B66328" w:rsidP="00B66328" w:rsidRDefault="00B66328">
      <w:pPr>
        <w:pStyle w:val="JuHA"/>
      </w:pPr>
      <w:r>
        <w:t>A.  </w:t>
      </w:r>
      <w:r w:rsidRPr="005367BA">
        <w:t xml:space="preserve">The </w:t>
      </w:r>
      <w:r>
        <w:t>main</w:t>
      </w:r>
      <w:r w:rsidRPr="005367BA">
        <w:t xml:space="preserve"> proceedings</w:t>
      </w:r>
    </w:p>
    <w:p w:rsidRPr="005367BA" w:rsidR="00B66328" w:rsidP="00B66328" w:rsidRDefault="00B66328">
      <w:pPr>
        <w:pStyle w:val="JuPara"/>
      </w:pPr>
      <w:r>
        <w:fldChar w:fldCharType="begin"/>
      </w:r>
      <w:r>
        <w:instrText xml:space="preserve"> SEQ level0 \*arabic </w:instrText>
      </w:r>
      <w:r>
        <w:fldChar w:fldCharType="separate"/>
      </w:r>
      <w:r w:rsidR="006D3397">
        <w:rPr>
          <w:noProof/>
        </w:rPr>
        <w:t>13</w:t>
      </w:r>
      <w:r>
        <w:fldChar w:fldCharType="end"/>
      </w:r>
      <w:r>
        <w:t>.  </w:t>
      </w:r>
      <w:r w:rsidRPr="005367BA">
        <w:t>On 15 July 1994 Mrs P., the applicant</w:t>
      </w:r>
      <w:r w:rsidR="00C01D3E">
        <w:t>’</w:t>
      </w:r>
      <w:r w:rsidRPr="005367BA">
        <w:t>s mother, brought procee</w:t>
      </w:r>
      <w:r>
        <w:t>dings in the Benevento M</w:t>
      </w:r>
      <w:r w:rsidRPr="005367BA">
        <w:t>agistrate</w:t>
      </w:r>
      <w:r w:rsidR="00C01D3E">
        <w:t>’</w:t>
      </w:r>
      <w:r>
        <w:t>s C</w:t>
      </w:r>
      <w:r w:rsidRPr="005367BA">
        <w:t>ourt, sitting as an employment tribunal, seeking acknowledgment of her right to an invalidity pension (</w:t>
      </w:r>
      <w:r w:rsidRPr="005367BA">
        <w:rPr>
          <w:i/>
          <w:iCs/>
        </w:rPr>
        <w:t>pensione di inabilità</w:t>
      </w:r>
      <w:r w:rsidRPr="005367BA">
        <w:t>) and an attendance allowance (</w:t>
      </w:r>
      <w:r w:rsidRPr="005367BA">
        <w:rPr>
          <w:i/>
          <w:iCs/>
        </w:rPr>
        <w:t>indennità di accompagnamento</w:t>
      </w:r>
      <w:r w:rsidRPr="005367BA">
        <w:t>).</w:t>
      </w:r>
    </w:p>
    <w:p w:rsidR="00A31EB8" w:rsidP="00B66328" w:rsidRDefault="00B66328">
      <w:pPr>
        <w:pStyle w:val="JuPara"/>
      </w:pPr>
      <w:r>
        <w:fldChar w:fldCharType="begin"/>
      </w:r>
      <w:r w:rsidRPr="00426A71">
        <w:instrText xml:space="preserve"> SEQ level0 \*arabic </w:instrText>
      </w:r>
      <w:r>
        <w:fldChar w:fldCharType="separate"/>
      </w:r>
      <w:r w:rsidR="006D3397">
        <w:rPr>
          <w:noProof/>
        </w:rPr>
        <w:t>14</w:t>
      </w:r>
      <w:r>
        <w:fldChar w:fldCharType="end"/>
      </w:r>
      <w:r w:rsidRPr="00426A71">
        <w:t>.  </w:t>
      </w:r>
      <w:r>
        <w:t xml:space="preserve">On </w:t>
      </w:r>
      <w:smartTag w:uri="urn:schemas-microsoft-com:office:smarttags" w:element="date">
        <w:smartTagPr>
          <w:attr w:name="Month" w:val="7"/>
          <w:attr w:name="Day" w:val="23"/>
          <w:attr w:name="Year" w:val="1994"/>
        </w:smartTagPr>
        <w:r>
          <w:t>23 July 1994</w:t>
        </w:r>
      </w:smartTag>
      <w:r>
        <w:t xml:space="preserve"> the Magistrate</w:t>
      </w:r>
      <w:r w:rsidR="00C01D3E">
        <w:t>’</w:t>
      </w:r>
      <w:r w:rsidRPr="00426A71">
        <w:t xml:space="preserve">s </w:t>
      </w:r>
      <w:r>
        <w:t>C</w:t>
      </w:r>
      <w:r w:rsidRPr="00426A71">
        <w:t xml:space="preserve">ourt </w:t>
      </w:r>
      <w:r>
        <w:t>set the case down for</w:t>
      </w:r>
      <w:r w:rsidRPr="00426A71">
        <w:t xml:space="preserve"> the first hearing </w:t>
      </w:r>
      <w:r>
        <w:t>on</w:t>
      </w:r>
      <w:r w:rsidRPr="00426A71">
        <w:t xml:space="preserve"> </w:t>
      </w:r>
      <w:smartTag w:uri="urn:schemas-microsoft-com:office:smarttags" w:element="date">
        <w:smartTagPr>
          <w:attr w:name="Month" w:val="3"/>
          <w:attr w:name="Day" w:val="11"/>
          <w:attr w:name="Year" w:val="1996"/>
        </w:smartTagPr>
        <w:r w:rsidRPr="00426A71">
          <w:t>11</w:t>
        </w:r>
        <w:r w:rsidR="002A7BAA">
          <w:t xml:space="preserve"> </w:t>
        </w:r>
        <w:r w:rsidRPr="00426A71">
          <w:t>March</w:t>
        </w:r>
        <w:r w:rsidR="002A7BAA">
          <w:t xml:space="preserve"> </w:t>
        </w:r>
        <w:r w:rsidRPr="00426A71">
          <w:t>1996</w:t>
        </w:r>
      </w:smartTag>
      <w:r w:rsidRPr="00426A71">
        <w:t>. On that day the court appointed an expert and adjourned the proceedin</w:t>
      </w:r>
      <w:r>
        <w:t xml:space="preserve">gs to a hearing on </w:t>
      </w:r>
      <w:smartTag w:uri="urn:schemas-microsoft-com:office:smarttags" w:element="date">
        <w:smartTagPr>
          <w:attr w:name="Month" w:val="4"/>
          <w:attr w:name="Day" w:val="9"/>
          <w:attr w:name="Year" w:val="1997"/>
        </w:smartTagPr>
        <w:r>
          <w:t>9 April 1997</w:t>
        </w:r>
      </w:smartTag>
      <w:r w:rsidRPr="00236FCB">
        <w:t>.</w:t>
      </w:r>
    </w:p>
    <w:p w:rsidRPr="00236FCB" w:rsidR="00B66328" w:rsidP="00B66328" w:rsidRDefault="00B66328">
      <w:pPr>
        <w:pStyle w:val="JuPara"/>
      </w:pPr>
      <w:r>
        <w:fldChar w:fldCharType="begin"/>
      </w:r>
      <w:r w:rsidRPr="00236FCB">
        <w:instrText xml:space="preserve"> SEQ level0 \*arabic </w:instrText>
      </w:r>
      <w:r>
        <w:fldChar w:fldCharType="separate"/>
      </w:r>
      <w:r w:rsidR="006D3397">
        <w:rPr>
          <w:noProof/>
        </w:rPr>
        <w:t>15</w:t>
      </w:r>
      <w:r>
        <w:fldChar w:fldCharType="end"/>
      </w:r>
      <w:r w:rsidRPr="00236FCB">
        <w:t xml:space="preserve">.  In a judgment of the same day, the text of which was deposited with the registry on </w:t>
      </w:r>
      <w:smartTag w:uri="urn:schemas-microsoft-com:office:smarttags" w:element="date">
        <w:smartTagPr>
          <w:attr w:name="Month" w:val="6"/>
          <w:attr w:name="Day" w:val="13"/>
          <w:attr w:name="Year" w:val="1997"/>
        </w:smartTagPr>
        <w:r w:rsidRPr="00236FCB">
          <w:t>13</w:t>
        </w:r>
        <w:r w:rsidR="002A7BAA">
          <w:t xml:space="preserve"> </w:t>
        </w:r>
        <w:r w:rsidRPr="00236FCB">
          <w:t>June</w:t>
        </w:r>
        <w:r w:rsidR="002A7BAA">
          <w:t xml:space="preserve"> </w:t>
        </w:r>
        <w:r w:rsidRPr="00236FCB">
          <w:t>1997</w:t>
        </w:r>
      </w:smartTag>
      <w:r w:rsidRPr="00236FCB">
        <w:t>, the court dismissed Mrs P</w:t>
      </w:r>
      <w:r w:rsidR="00C01D3E">
        <w:t>’</w:t>
      </w:r>
      <w:r w:rsidRPr="00236FCB">
        <w:t>s claim.</w:t>
      </w:r>
    </w:p>
    <w:p w:rsidRPr="00236FCB" w:rsidR="00B66328" w:rsidP="00B66328" w:rsidRDefault="00B66328">
      <w:pPr>
        <w:pStyle w:val="JuPara"/>
      </w:pPr>
      <w:r>
        <w:fldChar w:fldCharType="begin"/>
      </w:r>
      <w:r w:rsidRPr="00236FCB">
        <w:instrText xml:space="preserve"> SEQ level0 \*arabic </w:instrText>
      </w:r>
      <w:r>
        <w:fldChar w:fldCharType="separate"/>
      </w:r>
      <w:r w:rsidR="006D3397">
        <w:rPr>
          <w:noProof/>
        </w:rPr>
        <w:t>16</w:t>
      </w:r>
      <w:r>
        <w:fldChar w:fldCharType="end"/>
      </w:r>
      <w:r w:rsidRPr="00236FCB">
        <w:t xml:space="preserve">.  On </w:t>
      </w:r>
      <w:smartTag w:uri="urn:schemas-microsoft-com:office:smarttags" w:element="date">
        <w:smartTagPr>
          <w:attr w:name="Month" w:val="7"/>
          <w:attr w:name="Day" w:val="29"/>
          <w:attr w:name="Year" w:val="1997"/>
        </w:smartTagPr>
        <w:r w:rsidRPr="00236FCB">
          <w:t>29 July 1997</w:t>
        </w:r>
      </w:smartTag>
      <w:r w:rsidRPr="00236FCB">
        <w:t xml:space="preserve"> Mrs P. lodged an appeal with the Naples District Court. The president of the court </w:t>
      </w:r>
      <w:r>
        <w:t>appointed</w:t>
      </w:r>
      <w:r w:rsidRPr="00236FCB">
        <w:t xml:space="preserve"> a judge rapporteur and set the appeal down</w:t>
      </w:r>
      <w:r>
        <w:t xml:space="preserve"> for hearing on </w:t>
      </w:r>
      <w:smartTag w:uri="urn:schemas-microsoft-com:office:smarttags" w:element="date">
        <w:smartTagPr>
          <w:attr w:name="Month" w:val="4"/>
          <w:attr w:name="Day" w:val="30"/>
          <w:attr w:name="Year" w:val="2001"/>
        </w:smartTagPr>
        <w:r>
          <w:t>30 April 2001</w:t>
        </w:r>
      </w:smartTag>
      <w:r>
        <w:t>.</w:t>
      </w:r>
    </w:p>
    <w:p w:rsidRPr="000A119A" w:rsidR="00B66328" w:rsidP="00B66328" w:rsidRDefault="00B66328">
      <w:pPr>
        <w:pStyle w:val="JuPara"/>
      </w:pPr>
      <w:r>
        <w:fldChar w:fldCharType="begin"/>
      </w:r>
      <w:r w:rsidRPr="00236FCB">
        <w:instrText xml:space="preserve"> SEQ level0 \*arabic </w:instrText>
      </w:r>
      <w:r>
        <w:fldChar w:fldCharType="separate"/>
      </w:r>
      <w:r w:rsidR="006D3397">
        <w:rPr>
          <w:noProof/>
        </w:rPr>
        <w:t>17</w:t>
      </w:r>
      <w:r>
        <w:fldChar w:fldCharType="end"/>
      </w:r>
      <w:r w:rsidRPr="00236FCB">
        <w:t>.  In th</w:t>
      </w:r>
      <w:r>
        <w:t xml:space="preserve">e meantime, also on </w:t>
      </w:r>
      <w:smartTag w:uri="urn:schemas-microsoft-com:office:smarttags" w:element="date">
        <w:smartTagPr>
          <w:attr w:name="Month" w:val="7"/>
          <w:attr w:name="Day" w:val="29"/>
          <w:attr w:name="Year" w:val="1997"/>
        </w:smartTagPr>
        <w:r>
          <w:t xml:space="preserve">29 July </w:t>
        </w:r>
        <w:r w:rsidRPr="00236FCB">
          <w:t>1997</w:t>
        </w:r>
      </w:smartTag>
      <w:r w:rsidRPr="00236FCB">
        <w:t>, Mrs P. died.</w:t>
      </w:r>
      <w:r>
        <w:t xml:space="preserve"> </w:t>
      </w:r>
      <w:r w:rsidRPr="00521549">
        <w:t>According to information provided by the applicant</w:t>
      </w:r>
      <w:r w:rsidR="00C01D3E">
        <w:t>’</w:t>
      </w:r>
      <w:r w:rsidRPr="00521549">
        <w:t xml:space="preserve">s lawyer on </w:t>
      </w:r>
      <w:smartTag w:uri="urn:schemas-microsoft-com:office:smarttags" w:element="date">
        <w:smartTagPr>
          <w:attr w:name="Month" w:val="3"/>
          <w:attr w:name="Day" w:val="18"/>
          <w:attr w:name="Year" w:val="1998"/>
        </w:smartTagPr>
        <w:r w:rsidRPr="00521549">
          <w:t>18 March 1998</w:t>
        </w:r>
      </w:smartTag>
      <w:r w:rsidRPr="00521549">
        <w:t xml:space="preserve">, when he </w:t>
      </w:r>
      <w:r>
        <w:t>attempted to file with the court registry</w:t>
      </w:r>
      <w:r w:rsidRPr="00820CFB">
        <w:t xml:space="preserve"> </w:t>
      </w:r>
      <w:r>
        <w:t>the document stating his client</w:t>
      </w:r>
      <w:r w:rsidR="00C01D3E">
        <w:t>’</w:t>
      </w:r>
      <w:r>
        <w:t xml:space="preserve">s intention to continue the proceedings as heir, </w:t>
      </w:r>
      <w:r w:rsidRPr="00521549">
        <w:t xml:space="preserve">an employee of the Naples </w:t>
      </w:r>
      <w:r>
        <w:t xml:space="preserve">District Court </w:t>
      </w:r>
      <w:r w:rsidRPr="00521549">
        <w:t xml:space="preserve">registry </w:t>
      </w:r>
      <w:r>
        <w:t>told him to come back in the year</w:t>
      </w:r>
      <w:r w:rsidRPr="00521549">
        <w:t xml:space="preserve"> 2000</w:t>
      </w:r>
      <w:r>
        <w:t>. His reason for this was that the hearing would not be until</w:t>
      </w:r>
      <w:r w:rsidRPr="00521549">
        <w:t xml:space="preserve"> 2001 </w:t>
      </w:r>
      <w:r>
        <w:t>and he would otherwise have to waste hours looking in hundreds of cases listed for April</w:t>
      </w:r>
      <w:r w:rsidRPr="00521549">
        <w:t xml:space="preserve"> 2001. </w:t>
      </w:r>
      <w:r w:rsidRPr="000A119A">
        <w:t xml:space="preserve">On </w:t>
      </w:r>
      <w:smartTag w:uri="urn:schemas-microsoft-com:office:smarttags" w:element="date">
        <w:smartTagPr>
          <w:attr w:name="Month" w:val="1"/>
          <w:attr w:name="Day" w:val="25"/>
          <w:attr w:name="Year" w:val="2000"/>
        </w:smartTagPr>
        <w:r w:rsidRPr="000A119A">
          <w:t>25</w:t>
        </w:r>
        <w:r w:rsidR="002A7BAA">
          <w:t xml:space="preserve"> </w:t>
        </w:r>
        <w:r w:rsidRPr="000A119A">
          <w:t>January</w:t>
        </w:r>
        <w:r w:rsidR="002A7BAA">
          <w:t xml:space="preserve"> </w:t>
        </w:r>
        <w:r w:rsidRPr="000A119A">
          <w:t>2000</w:t>
        </w:r>
      </w:smartTag>
      <w:r w:rsidRPr="000A119A">
        <w:t xml:space="preserve"> the applicant</w:t>
      </w:r>
      <w:r>
        <w:t xml:space="preserve"> </w:t>
      </w:r>
      <w:r w:rsidRPr="00D66639">
        <w:t xml:space="preserve">lodged a document </w:t>
      </w:r>
      <w:r>
        <w:t>declaring his intention to c</w:t>
      </w:r>
      <w:r w:rsidRPr="00D66639">
        <w:t>ontinu</w:t>
      </w:r>
      <w:r>
        <w:t>e</w:t>
      </w:r>
      <w:r w:rsidRPr="00D66639">
        <w:t xml:space="preserve"> the proceedings as heir</w:t>
      </w:r>
      <w:r w:rsidRPr="000A119A">
        <w:t>.</w:t>
      </w:r>
      <w:r>
        <w:t xml:space="preserve"> A hearing was </w:t>
      </w:r>
      <w:r w:rsidR="00223EF5">
        <w:t>listed for</w:t>
      </w:r>
      <w:r>
        <w:t xml:space="preserve"> </w:t>
      </w:r>
      <w:smartTag w:uri="urn:schemas-microsoft-com:office:smarttags" w:element="date">
        <w:smartTagPr>
          <w:attr w:name="Month" w:val="2"/>
          <w:attr w:name="Day" w:val="14"/>
          <w:attr w:name="Year" w:val="2002"/>
        </w:smartTagPr>
        <w:r>
          <w:t>14</w:t>
        </w:r>
        <w:r w:rsidR="002A7BAA">
          <w:t> </w:t>
        </w:r>
        <w:r>
          <w:t>February 2002</w:t>
        </w:r>
      </w:smartTag>
      <w:r>
        <w:t>.</w:t>
      </w:r>
    </w:p>
    <w:p w:rsidRPr="00F0614F" w:rsidR="00B66328" w:rsidP="00B66328" w:rsidRDefault="00B66328">
      <w:pPr>
        <w:pStyle w:val="JuPara"/>
      </w:pPr>
      <w:r>
        <w:fldChar w:fldCharType="begin"/>
      </w:r>
      <w:r>
        <w:instrText xml:space="preserve"> SEQ level0 \*arabic </w:instrText>
      </w:r>
      <w:r>
        <w:fldChar w:fldCharType="separate"/>
      </w:r>
      <w:r w:rsidR="006D3397">
        <w:rPr>
          <w:noProof/>
        </w:rPr>
        <w:t>18</w:t>
      </w:r>
      <w:r>
        <w:fldChar w:fldCharType="end"/>
      </w:r>
      <w:r>
        <w:t>.  </w:t>
      </w:r>
      <w:r w:rsidRPr="00F47E21">
        <w:t xml:space="preserve">In a judgment of 16 January 2003, the text of which was deposited with the registry on 21 March 2003, the court </w:t>
      </w:r>
      <w:r>
        <w:t>noted that</w:t>
      </w:r>
      <w:r w:rsidRPr="00F47E21">
        <w:t xml:space="preserve"> </w:t>
      </w:r>
      <w:r>
        <w:t>a further</w:t>
      </w:r>
      <w:r w:rsidRPr="00F47E21">
        <w:t xml:space="preserve"> expert</w:t>
      </w:r>
      <w:r w:rsidR="00C01D3E">
        <w:t>’</w:t>
      </w:r>
      <w:r w:rsidRPr="00F47E21">
        <w:t>s report showed that Mrs</w:t>
      </w:r>
      <w:r w:rsidR="005A0F55">
        <w:rPr>
          <w:vertAlign w:val="superscript"/>
        </w:rPr>
        <w:t xml:space="preserve"> </w:t>
      </w:r>
      <w:r w:rsidRPr="00F47E21">
        <w:t xml:space="preserve">P. </w:t>
      </w:r>
      <w:r>
        <w:t>had been suffering from a number of ailment</w:t>
      </w:r>
      <w:r w:rsidRPr="00E270FB">
        <w:t>s</w:t>
      </w:r>
      <w:r>
        <w:t xml:space="preserve"> which rendered her totally unfit for work and made it necessary to hire</w:t>
      </w:r>
      <w:r w:rsidRPr="00F47E21">
        <w:t xml:space="preserve"> </w:t>
      </w:r>
      <w:r>
        <w:t>a</w:t>
      </w:r>
      <w:r w:rsidRPr="00F47E21">
        <w:t xml:space="preserve"> permanent</w:t>
      </w:r>
      <w:r>
        <w:t xml:space="preserve"> home help</w:t>
      </w:r>
      <w:r w:rsidRPr="00F47E21">
        <w:t xml:space="preserve">. </w:t>
      </w:r>
      <w:r w:rsidRPr="00F0614F">
        <w:t xml:space="preserve">Accordingly, it </w:t>
      </w:r>
      <w:r>
        <w:t>granted</w:t>
      </w:r>
      <w:r w:rsidRPr="00F0614F">
        <w:t xml:space="preserve"> Mrs P.</w:t>
      </w:r>
      <w:r w:rsidR="00C01D3E">
        <w:t>’</w:t>
      </w:r>
      <w:r w:rsidRPr="00F0614F">
        <w:t xml:space="preserve">s claim from </w:t>
      </w:r>
      <w:smartTag w:uri="urn:schemas-microsoft-com:office:smarttags" w:element="date">
        <w:smartTagPr>
          <w:attr w:name="Month" w:val="6"/>
          <w:attr w:name="Day" w:val="1"/>
          <w:attr w:name="Year" w:val="1996"/>
        </w:smartTagPr>
        <w:r w:rsidRPr="00F0614F">
          <w:t>1 June 1996</w:t>
        </w:r>
      </w:smartTag>
      <w:r w:rsidRPr="00F0614F">
        <w:t xml:space="preserve"> until the date of her death.</w:t>
      </w:r>
    </w:p>
    <w:p w:rsidRPr="00A6562D" w:rsidR="00B66328" w:rsidP="00B66328" w:rsidRDefault="00B66328">
      <w:pPr>
        <w:pStyle w:val="JuHA"/>
        <w:keepNext w:val="0"/>
        <w:keepLines w:val="0"/>
      </w:pPr>
      <w:r>
        <w:t>B.  </w:t>
      </w:r>
      <w:r w:rsidRPr="00A6562D">
        <w:t>The “Pinto” proceedings</w:t>
      </w:r>
    </w:p>
    <w:p w:rsidRPr="001467A1" w:rsidR="00B66328" w:rsidP="00B66328" w:rsidRDefault="00B66328">
      <w:pPr>
        <w:pStyle w:val="JuPara"/>
      </w:pPr>
      <w:r>
        <w:fldChar w:fldCharType="begin"/>
      </w:r>
      <w:r>
        <w:instrText xml:space="preserve"> SEQ level0 \*arabic </w:instrText>
      </w:r>
      <w:r>
        <w:fldChar w:fldCharType="separate"/>
      </w:r>
      <w:r w:rsidR="006D3397">
        <w:rPr>
          <w:noProof/>
        </w:rPr>
        <w:t>19</w:t>
      </w:r>
      <w:r>
        <w:fldChar w:fldCharType="end"/>
      </w:r>
      <w:r>
        <w:t>.  </w:t>
      </w:r>
      <w:r w:rsidRPr="001467A1">
        <w:t xml:space="preserve">On </w:t>
      </w:r>
      <w:smartTag w:uri="urn:schemas-microsoft-com:office:smarttags" w:element="date">
        <w:smartTagPr>
          <w:attr w:name="Month" w:val="10"/>
          <w:attr w:name="Day" w:val="3"/>
          <w:attr w:name="Year" w:val="2001"/>
        </w:smartTagPr>
        <w:r w:rsidRPr="001467A1">
          <w:t>3 October 2001</w:t>
        </w:r>
      </w:smartTag>
      <w:r w:rsidRPr="001467A1">
        <w:t xml:space="preserve"> the applicant lodged an </w:t>
      </w:r>
      <w:r>
        <w:t xml:space="preserve">application </w:t>
      </w:r>
      <w:r w:rsidRPr="001467A1">
        <w:t>with the Rome Court of Appeal under Law no.</w:t>
      </w:r>
      <w:r w:rsidR="002A7BAA">
        <w:t xml:space="preserve"> </w:t>
      </w:r>
      <w:r w:rsidRPr="001467A1">
        <w:t xml:space="preserve">89 of </w:t>
      </w:r>
      <w:smartTag w:uri="urn:schemas-microsoft-com:office:smarttags" w:element="date">
        <w:smartTagPr>
          <w:attr w:name="Month" w:val="3"/>
          <w:attr w:name="Day" w:val="24"/>
          <w:attr w:name="Year" w:val="2001"/>
        </w:smartTagPr>
        <w:r w:rsidRPr="001467A1">
          <w:t>24</w:t>
        </w:r>
        <w:r w:rsidR="002A7BAA">
          <w:t xml:space="preserve"> </w:t>
        </w:r>
        <w:r w:rsidRPr="001467A1">
          <w:t>March</w:t>
        </w:r>
        <w:r w:rsidR="002A7BAA">
          <w:t xml:space="preserve"> </w:t>
        </w:r>
        <w:r w:rsidRPr="001467A1">
          <w:t>2001</w:t>
        </w:r>
      </w:smartTag>
      <w:r w:rsidRPr="001467A1">
        <w:t xml:space="preserve">, </w:t>
      </w:r>
      <w:r>
        <w:t>known as the “Pinto</w:t>
      </w:r>
      <w:r w:rsidRPr="001467A1">
        <w:t xml:space="preserve"> Act</w:t>
      </w:r>
      <w:r>
        <w:t>”</w:t>
      </w:r>
      <w:r w:rsidRPr="001467A1">
        <w:t xml:space="preserve">, complaining of the excessive length of the above-described proceedings. The applicant requested the court to </w:t>
      </w:r>
      <w:r>
        <w:t>conclude</w:t>
      </w:r>
      <w:r w:rsidRPr="001467A1">
        <w:t xml:space="preserve"> that there had been a breach of Article 6 § 1 of the Convention and to order the </w:t>
      </w:r>
      <w:r w:rsidR="00DD47C5">
        <w:t>Italian State</w:t>
      </w:r>
      <w:r w:rsidRPr="001467A1">
        <w:t xml:space="preserve"> to pay compensation for the non-pecuniary damage sustained, which he </w:t>
      </w:r>
      <w:r>
        <w:t xml:space="preserve">had </w:t>
      </w:r>
      <w:r w:rsidRPr="001467A1">
        <w:t xml:space="preserve">assessed at 30,000,000 Italian lire (15,493.71 euros (EUR)), plus </w:t>
      </w:r>
      <w:r>
        <w:t>an unspecified</w:t>
      </w:r>
      <w:r w:rsidRPr="001A65CB">
        <w:t xml:space="preserve"> amount</w:t>
      </w:r>
      <w:r>
        <w:t xml:space="preserve"> in costs and expenses</w:t>
      </w:r>
      <w:r w:rsidRPr="001467A1">
        <w:t>.</w:t>
      </w:r>
    </w:p>
    <w:p w:rsidR="00A31EB8" w:rsidP="00B66328" w:rsidRDefault="00B66328">
      <w:pPr>
        <w:pStyle w:val="JuPara"/>
      </w:pPr>
      <w:r>
        <w:fldChar w:fldCharType="begin"/>
      </w:r>
      <w:r>
        <w:instrText xml:space="preserve"> SEQ level0 \*arabic </w:instrText>
      </w:r>
      <w:r>
        <w:fldChar w:fldCharType="separate"/>
      </w:r>
      <w:r w:rsidR="006D3397">
        <w:rPr>
          <w:noProof/>
        </w:rPr>
        <w:t>20</w:t>
      </w:r>
      <w:r>
        <w:fldChar w:fldCharType="end"/>
      </w:r>
      <w:r>
        <w:t>.  </w:t>
      </w:r>
      <w:r w:rsidRPr="001467A1">
        <w:t xml:space="preserve">In a decision of </w:t>
      </w:r>
      <w:smartTag w:uri="urn:schemas-microsoft-com:office:smarttags" w:element="date">
        <w:smartTagPr>
          <w:attr w:name="Month" w:val="3"/>
          <w:attr w:name="Day" w:val="7"/>
          <w:attr w:name="Year" w:val="2002"/>
        </w:smartTagPr>
        <w:r w:rsidRPr="001467A1">
          <w:t>7 March 2002</w:t>
        </w:r>
      </w:smartTag>
      <w:r w:rsidRPr="001467A1">
        <w:t xml:space="preserve">, the text of which was deposited with the registry on </w:t>
      </w:r>
      <w:smartTag w:uri="urn:schemas-microsoft-com:office:smarttags" w:element="date">
        <w:smartTagPr>
          <w:attr w:name="Month" w:val="5"/>
          <w:attr w:name="Day" w:val="6"/>
          <w:attr w:name="Year" w:val="2002"/>
        </w:smartTagPr>
        <w:r w:rsidRPr="001467A1">
          <w:t>6 May 2002</w:t>
        </w:r>
      </w:smartTag>
      <w:r w:rsidRPr="001467A1">
        <w:t xml:space="preserve">, the Court of Appeal found that </w:t>
      </w:r>
      <w:r>
        <w:t>the length of the proceedings had been excessive for the following reasons:</w:t>
      </w:r>
    </w:p>
    <w:p w:rsidRPr="00530968" w:rsidR="00B66328" w:rsidP="00B66328" w:rsidRDefault="00B66328">
      <w:pPr>
        <w:pStyle w:val="JuQuot"/>
      </w:pPr>
      <w:r w:rsidRPr="00530968">
        <w:t>“</w:t>
      </w:r>
      <w:r w:rsidR="00204CB7">
        <w:t>...</w:t>
      </w:r>
      <w:r w:rsidRPr="00530968">
        <w:t xml:space="preserve"> </w:t>
      </w:r>
      <w:r w:rsidR="002C116A">
        <w:t>T</w:t>
      </w:r>
      <w:r w:rsidRPr="00530968">
        <w:t>he</w:t>
      </w:r>
      <w:r w:rsidRPr="001A65CB">
        <w:t xml:space="preserve"> </w:t>
      </w:r>
      <w:r w:rsidRPr="00530968">
        <w:t>first</w:t>
      </w:r>
      <w:r>
        <w:t>-</w:t>
      </w:r>
      <w:r w:rsidRPr="00530968">
        <w:t>instance proceedings ended after approximately three years</w:t>
      </w:r>
      <w:r>
        <w:t>,</w:t>
      </w:r>
      <w:r w:rsidRPr="00530968">
        <w:t xml:space="preserve"> whe</w:t>
      </w:r>
      <w:r>
        <w:t>reas the appeal lodged in</w:t>
      </w:r>
      <w:r w:rsidRPr="00530968">
        <w:t xml:space="preserve"> 1997</w:t>
      </w:r>
      <w:r>
        <w:t xml:space="preserve"> is still pending.</w:t>
      </w:r>
    </w:p>
    <w:p w:rsidRPr="00530968" w:rsidR="00B66328" w:rsidP="00B66328" w:rsidRDefault="00B66328">
      <w:pPr>
        <w:pStyle w:val="JuQuot"/>
      </w:pPr>
      <w:r w:rsidRPr="00530968">
        <w:t>The Convention principle that everyone</w:t>
      </w:r>
      <w:r w:rsidR="00C01D3E">
        <w:t>’</w:t>
      </w:r>
      <w:r w:rsidRPr="00530968">
        <w:t xml:space="preserve">s case must be examined within a reasonable time must be </w:t>
      </w:r>
      <w:r>
        <w:t>deemed to have b</w:t>
      </w:r>
      <w:r w:rsidRPr="00530968">
        <w:t>een breached</w:t>
      </w:r>
      <w:r>
        <w:t>.</w:t>
      </w:r>
    </w:p>
    <w:p w:rsidRPr="00A16448" w:rsidR="00B66328" w:rsidP="00B66328" w:rsidRDefault="00B66328">
      <w:pPr>
        <w:pStyle w:val="JuQuot"/>
      </w:pPr>
      <w:r w:rsidRPr="00A16448">
        <w:t>The length of the proceedings in question does not comply with the reasonable-time requirement because</w:t>
      </w:r>
      <w:r>
        <w:t xml:space="preserve"> </w:t>
      </w:r>
      <w:r w:rsidRPr="00A16448">
        <w:t xml:space="preserve">– </w:t>
      </w:r>
      <w:r>
        <w:t>given the subject matter</w:t>
      </w:r>
      <w:r w:rsidRPr="00A16448">
        <w:t xml:space="preserve"> – </w:t>
      </w:r>
      <w:r>
        <w:t>they</w:t>
      </w:r>
      <w:r w:rsidRPr="00A16448">
        <w:t xml:space="preserve"> should not</w:t>
      </w:r>
      <w:r>
        <w:t xml:space="preserve"> have exceeded</w:t>
      </w:r>
      <w:r w:rsidRPr="00A16448">
        <w:t xml:space="preserve"> </w:t>
      </w:r>
      <w:r>
        <w:t xml:space="preserve">two years at first </w:t>
      </w:r>
      <w:r w:rsidRPr="00A16448">
        <w:t xml:space="preserve">instance </w:t>
      </w:r>
      <w:r>
        <w:t>and eighteen months on appeal since the case is not a c</w:t>
      </w:r>
      <w:r w:rsidRPr="00A16448">
        <w:t>omplex</w:t>
      </w:r>
      <w:r>
        <w:t xml:space="preserve"> one.</w:t>
      </w:r>
    </w:p>
    <w:p w:rsidRPr="00B32309" w:rsidR="00B66328" w:rsidP="00B66328" w:rsidRDefault="00B66328">
      <w:pPr>
        <w:pStyle w:val="JuQuot"/>
      </w:pPr>
      <w:r w:rsidRPr="00B32309">
        <w:t>No particularly repetitive conduct such as to prolong the proceedings ca</w:t>
      </w:r>
      <w:r>
        <w:t>n be attributed to the applicant.</w:t>
      </w:r>
    </w:p>
    <w:p w:rsidR="00A31EB8" w:rsidP="00B66328" w:rsidRDefault="00B66328">
      <w:pPr>
        <w:pStyle w:val="JuQuot"/>
      </w:pPr>
      <w:r w:rsidRPr="00BF024D">
        <w:t xml:space="preserve">It is undeniable that the judicial system – on account of the </w:t>
      </w:r>
      <w:r>
        <w:t>relevant</w:t>
      </w:r>
      <w:r w:rsidRPr="00C37568">
        <w:t xml:space="preserve"> rules of procedure</w:t>
      </w:r>
      <w:r w:rsidRPr="00BF024D">
        <w:t xml:space="preserve"> and the lack of staff – prevents judicial proceedings from being disposed of rapidly, </w:t>
      </w:r>
      <w:r>
        <w:t>despite the inte</w:t>
      </w:r>
      <w:r w:rsidRPr="00BF024D">
        <w:t>rvention</w:t>
      </w:r>
      <w:r>
        <w:t xml:space="preserve"> of the legislature, which has introduced specific reforms that have not, however, succeeded in having a </w:t>
      </w:r>
      <w:r w:rsidRPr="00C37568">
        <w:t>decisive</w:t>
      </w:r>
      <w:r w:rsidR="00A7291E">
        <w:t xml:space="preserve"> effect on the </w:t>
      </w:r>
      <w:r w:rsidR="00C01D3E">
        <w:t>‘</w:t>
      </w:r>
      <w:r w:rsidR="00A7291E">
        <w:t>slow workings</w:t>
      </w:r>
      <w:r w:rsidR="00C01D3E">
        <w:t>’</w:t>
      </w:r>
      <w:r>
        <w:t xml:space="preserve"> of justice.</w:t>
      </w:r>
    </w:p>
    <w:p w:rsidRPr="00A6562D" w:rsidR="00B66328" w:rsidP="00B66328" w:rsidRDefault="00B66328">
      <w:pPr>
        <w:pStyle w:val="JuQuot"/>
      </w:pPr>
      <w:r w:rsidRPr="00A6562D">
        <w:t>Having regard to the foregoi</w:t>
      </w:r>
      <w:r w:rsidR="00A7291E">
        <w:t>ng, the C</w:t>
      </w:r>
      <w:r w:rsidRPr="00A6562D">
        <w:t>ourt can only acknowledge that the applicant has incurred non-pecuniary damage as a result of the mental distress and the inevitable state of prolonged anxiety suffered by having to wait approximately seven years for the end of proceedin</w:t>
      </w:r>
      <w:r w:rsidR="00223EF5">
        <w:t xml:space="preserve">gs relating to the right to an </w:t>
      </w:r>
      <w:r w:rsidRPr="00A6562D">
        <w:t>attendance allowance</w:t>
      </w:r>
      <w:r>
        <w:t>.</w:t>
      </w:r>
    </w:p>
    <w:p w:rsidRPr="00A6711B" w:rsidR="00B66328" w:rsidP="00B66328" w:rsidRDefault="00B66328">
      <w:pPr>
        <w:pStyle w:val="JuQuot"/>
      </w:pPr>
      <w:r w:rsidRPr="00A6711B">
        <w:t xml:space="preserve">Considering, on the basis of the above-mentioned factors, that there was a one-year delay at first instance and a three-year delay on appeal, </w:t>
      </w:r>
      <w:r>
        <w:t>damages may be determined, on an equitable basis, as currently standing at</w:t>
      </w:r>
      <w:r w:rsidRPr="00A6711B">
        <w:t xml:space="preserve"> 1</w:t>
      </w:r>
      <w:r>
        <w:t>,</w:t>
      </w:r>
      <w:r w:rsidRPr="00A6711B">
        <w:t>000 euros plus</w:t>
      </w:r>
      <w:r>
        <w:t xml:space="preserve"> interest accruing from the</w:t>
      </w:r>
      <w:r w:rsidRPr="00A6711B">
        <w:t xml:space="preserve"> date</w:t>
      </w:r>
      <w:r>
        <w:t xml:space="preserve"> on which this de</w:t>
      </w:r>
      <w:r w:rsidRPr="00A6711B">
        <w:t>cision</w:t>
      </w:r>
      <w:r>
        <w:t xml:space="preserve"> is deposited</w:t>
      </w:r>
      <w:r w:rsidRPr="00A6711B">
        <w:t>.</w:t>
      </w:r>
      <w:r>
        <w:t>”</w:t>
      </w:r>
    </w:p>
    <w:p w:rsidR="00A31EB8" w:rsidP="00B66328" w:rsidRDefault="00223EF5">
      <w:pPr>
        <w:pStyle w:val="JuPara"/>
      </w:pPr>
      <w:r>
        <w:t>The Court of Appeal</w:t>
      </w:r>
      <w:r w:rsidR="00B66328">
        <w:t xml:space="preserve"> also awarded EUR</w:t>
      </w:r>
      <w:r w:rsidR="002A7BAA">
        <w:t xml:space="preserve"> </w:t>
      </w:r>
      <w:r w:rsidRPr="0000757C" w:rsidR="00B66328">
        <w:t>800 for costs and expenses. Th</w:t>
      </w:r>
      <w:r w:rsidR="00B66328">
        <w:t>e</w:t>
      </w:r>
      <w:r w:rsidRPr="0000757C" w:rsidR="00B66328">
        <w:t xml:space="preserve"> decision was served on </w:t>
      </w:r>
      <w:smartTag w:uri="urn:schemas-microsoft-com:office:smarttags" w:element="date">
        <w:smartTagPr>
          <w:attr w:name="Month" w:val="12"/>
          <w:attr w:name="Day" w:val="20"/>
          <w:attr w:name="Year" w:val="2002"/>
        </w:smartTagPr>
        <w:r w:rsidR="00B66328" w:rsidRPr="0000757C">
          <w:t>20 December 2002</w:t>
        </w:r>
      </w:smartTag>
      <w:r w:rsidRPr="0000757C" w:rsidR="00B66328">
        <w:t xml:space="preserve"> and became </w:t>
      </w:r>
      <w:r w:rsidR="00B66328">
        <w:t>final</w:t>
      </w:r>
      <w:r w:rsidRPr="0000757C" w:rsidR="00B66328">
        <w:t xml:space="preserve"> in F</w:t>
      </w:r>
      <w:r w:rsidR="00B66328">
        <w:t>ebruary</w:t>
      </w:r>
      <w:r w:rsidRPr="0000757C" w:rsidR="00B66328">
        <w:t xml:space="preserve"> 2003.</w:t>
      </w:r>
    </w:p>
    <w:p w:rsidR="00A31EB8" w:rsidP="00B66328" w:rsidRDefault="00B66328">
      <w:pPr>
        <w:pStyle w:val="JuPara"/>
      </w:pPr>
      <w:r>
        <w:fldChar w:fldCharType="begin"/>
      </w:r>
      <w:r w:rsidRPr="0000757C">
        <w:instrText xml:space="preserve"> SEQ level0 \*arabic </w:instrText>
      </w:r>
      <w:r>
        <w:fldChar w:fldCharType="separate"/>
      </w:r>
      <w:r w:rsidR="006D3397">
        <w:rPr>
          <w:noProof/>
        </w:rPr>
        <w:t>21</w:t>
      </w:r>
      <w:r>
        <w:fldChar w:fldCharType="end"/>
      </w:r>
      <w:r w:rsidRPr="0000757C">
        <w:t>.  </w:t>
      </w:r>
      <w:r w:rsidRPr="007F58E8">
        <w:t>In a letter of 8 January 2003</w:t>
      </w:r>
      <w:r w:rsidR="002C116A">
        <w:t>,</w:t>
      </w:r>
      <w:r w:rsidRPr="007F58E8">
        <w:t xml:space="preserve"> the applicant informed the Court of the outcome of the domestic proceedings and asked it to resume its examination of the application.</w:t>
      </w:r>
    </w:p>
    <w:p w:rsidR="00A31EB8" w:rsidP="00B66328" w:rsidRDefault="00B66328">
      <w:pPr>
        <w:pStyle w:val="JuPara"/>
      </w:pPr>
      <w:r>
        <w:fldChar w:fldCharType="begin"/>
      </w:r>
      <w:r>
        <w:instrText xml:space="preserve"> SEQ level0 \*arabic </w:instrText>
      </w:r>
      <w:r>
        <w:fldChar w:fldCharType="separate"/>
      </w:r>
      <w:r w:rsidR="006D3397">
        <w:rPr>
          <w:noProof/>
        </w:rPr>
        <w:t>22</w:t>
      </w:r>
      <w:r>
        <w:fldChar w:fldCharType="end"/>
      </w:r>
      <w:r>
        <w:t>.  </w:t>
      </w:r>
      <w:r w:rsidRPr="0074707F">
        <w:t xml:space="preserve">When payment was not forthcoming, on </w:t>
      </w:r>
      <w:smartTag w:uri="urn:schemas-microsoft-com:office:smarttags" w:element="date">
        <w:smartTagPr>
          <w:attr w:name="Month" w:val="5"/>
          <w:attr w:name="Day" w:val="26"/>
          <w:attr w:name="Year" w:val="2004"/>
        </w:smartTagPr>
        <w:r w:rsidRPr="0074707F">
          <w:t>26 May 2004</w:t>
        </w:r>
      </w:smartTag>
      <w:r w:rsidRPr="0074707F">
        <w:t xml:space="preserve"> the applicant served notice on the authorities </w:t>
      </w:r>
      <w:r>
        <w:t>to</w:t>
      </w:r>
      <w:r w:rsidRPr="0074707F">
        <w:t xml:space="preserve"> pay </w:t>
      </w:r>
      <w:r>
        <w:t>the amounts due</w:t>
      </w:r>
      <w:r w:rsidRPr="0074707F">
        <w:t xml:space="preserve">. </w:t>
      </w:r>
      <w:r w:rsidRPr="00C16E87">
        <w:t>When that proved unsucc</w:t>
      </w:r>
      <w:r>
        <w:t>essful</w:t>
      </w:r>
      <w:r w:rsidRPr="00C16E87">
        <w:t xml:space="preserve"> he </w:t>
      </w:r>
      <w:r>
        <w:t>applied for a garnishee order,</w:t>
      </w:r>
      <w:r w:rsidRPr="00C16E87">
        <w:t xml:space="preserve"> which </w:t>
      </w:r>
      <w:r>
        <w:t>was granted on 12</w:t>
      </w:r>
      <w:r w:rsidR="002A7BAA">
        <w:t xml:space="preserve"> </w:t>
      </w:r>
      <w:r>
        <w:t>May 2005</w:t>
      </w:r>
      <w:r w:rsidR="002C116A">
        <w:t>,</w:t>
      </w:r>
      <w:r>
        <w:t xml:space="preserve"> </w:t>
      </w:r>
      <w:r w:rsidRPr="005C6AE1">
        <w:t>against</w:t>
      </w:r>
      <w:r>
        <w:t xml:space="preserve"> the</w:t>
      </w:r>
      <w:r w:rsidRPr="00C16E87">
        <w:t xml:space="preserve"> Ban</w:t>
      </w:r>
      <w:r>
        <w:t>k of Italy</w:t>
      </w:r>
      <w:r w:rsidRPr="00C16E87">
        <w:t xml:space="preserve">. </w:t>
      </w:r>
      <w:r w:rsidRPr="0074707F">
        <w:t>According to the information provided by the</w:t>
      </w:r>
      <w:r>
        <w:t xml:space="preserve"> applicant at the hearing on </w:t>
      </w:r>
      <w:smartTag w:uri="urn:schemas-microsoft-com:office:smarttags" w:element="date">
        <w:smartTagPr>
          <w:attr w:name="Month" w:val="6"/>
          <w:attr w:name="Day" w:val="29"/>
          <w:attr w:name="Year" w:val="2005"/>
        </w:smartTagPr>
        <w:r>
          <w:t>29</w:t>
        </w:r>
        <w:r w:rsidR="002A7BAA">
          <w:t xml:space="preserve"> </w:t>
        </w:r>
        <w:r w:rsidRPr="0074707F">
          <w:t>June 2005</w:t>
        </w:r>
      </w:smartTag>
      <w:r w:rsidRPr="0074707F">
        <w:t>, the Court of Appeal</w:t>
      </w:r>
      <w:r w:rsidR="00C01D3E">
        <w:t>’</w:t>
      </w:r>
      <w:r w:rsidRPr="0074707F">
        <w:t>s decision had not yet been enforced.</w:t>
      </w:r>
    </w:p>
    <w:p w:rsidRPr="00A6562D" w:rsidR="00B66328" w:rsidP="00B66328" w:rsidRDefault="00B66328">
      <w:pPr>
        <w:pStyle w:val="JuHIRoman"/>
        <w:keepNext w:val="0"/>
        <w:keepLines w:val="0"/>
      </w:pPr>
      <w:r w:rsidRPr="00A6562D">
        <w:t>II. </w:t>
      </w:r>
      <w:r>
        <w:t> </w:t>
      </w:r>
      <w:r w:rsidRPr="00A6562D">
        <w:t>RELEVANT DOMESTIC LAW AND PRACTICE</w:t>
      </w:r>
    </w:p>
    <w:p w:rsidR="00B66328" w:rsidP="00B66328" w:rsidRDefault="00B66328">
      <w:pPr>
        <w:pStyle w:val="JuHA"/>
        <w:keepNext w:val="0"/>
        <w:keepLines w:val="0"/>
        <w:tabs>
          <w:tab w:val="clear" w:pos="584"/>
        </w:tabs>
        <w:ind w:left="232" w:firstLine="0"/>
      </w:pPr>
      <w:r>
        <w:t>A.  </w:t>
      </w:r>
      <w:r w:rsidRPr="00C16E87">
        <w:t>Law no.</w:t>
      </w:r>
      <w:r w:rsidR="002A7BAA">
        <w:t xml:space="preserve"> </w:t>
      </w:r>
      <w:r w:rsidRPr="00C16E87">
        <w:t xml:space="preserve">89 of 24 </w:t>
      </w:r>
      <w:r>
        <w:t>March</w:t>
      </w:r>
      <w:r w:rsidRPr="00C16E87">
        <w:t xml:space="preserve"> 2001</w:t>
      </w:r>
      <w:r w:rsidR="002C116A">
        <w:t xml:space="preserve"> (</w:t>
      </w:r>
      <w:r>
        <w:t>the “Pint</w:t>
      </w:r>
      <w:r w:rsidRPr="00C16E87">
        <w:t>o</w:t>
      </w:r>
      <w:r>
        <w:t xml:space="preserve"> Act”</w:t>
      </w:r>
      <w:r w:rsidR="002C116A">
        <w:t>)</w:t>
      </w:r>
    </w:p>
    <w:p w:rsidRPr="00A6562D" w:rsidR="00B66328" w:rsidP="00B66328" w:rsidRDefault="00B66328">
      <w:pPr>
        <w:pStyle w:val="JuPara"/>
      </w:pPr>
      <w:r w:rsidRPr="00A6562D">
        <w:fldChar w:fldCharType="begin"/>
      </w:r>
      <w:r w:rsidRPr="00A6562D">
        <w:instrText xml:space="preserve"> SEQ level0 \*arabic </w:instrText>
      </w:r>
      <w:r w:rsidRPr="00A6562D">
        <w:fldChar w:fldCharType="separate"/>
      </w:r>
      <w:r w:rsidR="006D3397">
        <w:rPr>
          <w:noProof/>
        </w:rPr>
        <w:t>23</w:t>
      </w:r>
      <w:r w:rsidRPr="00A6562D">
        <w:fldChar w:fldCharType="end"/>
      </w:r>
      <w:r w:rsidRPr="00A6562D">
        <w:t>.  Award of just satisfaction in the event of a breach of the requirement to dispose of proceedings within a reasonable time and amendment to Article 375 of the Code of Civil Procedure</w:t>
      </w:r>
    </w:p>
    <w:p w:rsidRPr="00B33F2C" w:rsidR="002C116A" w:rsidP="002C116A" w:rsidRDefault="002C116A">
      <w:pPr>
        <w:pStyle w:val="JuHArticle"/>
        <w:rPr>
          <w:sz w:val="24"/>
          <w:szCs w:val="24"/>
        </w:rPr>
      </w:pPr>
      <w:r w:rsidRPr="00B33F2C">
        <w:rPr>
          <w:sz w:val="24"/>
          <w:szCs w:val="24"/>
        </w:rPr>
        <w:t>Chapter II – Just satisfaction</w:t>
      </w:r>
    </w:p>
    <w:p w:rsidRPr="005831FC" w:rsidR="002C116A" w:rsidP="002C116A" w:rsidRDefault="002C116A">
      <w:pPr>
        <w:pStyle w:val="JuHArticle"/>
        <w:rPr>
          <w:rStyle w:val="JuHaChar1"/>
          <w:lang w:val="en-GB"/>
        </w:rPr>
      </w:pPr>
      <w:r w:rsidRPr="005831FC">
        <w:rPr>
          <w:rStyle w:val="JuHaChar1"/>
          <w:lang w:val="en-GB"/>
        </w:rPr>
        <w:t>Section 2 – Entitlement to just satisfaction</w:t>
      </w:r>
    </w:p>
    <w:p w:rsidRPr="00A6562D" w:rsidR="00B66328" w:rsidP="002C116A" w:rsidRDefault="00B66328">
      <w:pPr>
        <w:pStyle w:val="JuQuot"/>
      </w:pPr>
      <w:r w:rsidRPr="00A6562D">
        <w:t>“</w:t>
      </w:r>
      <w:r w:rsidR="005831FC">
        <w:t>(</w:t>
      </w:r>
      <w:r w:rsidRPr="00A6562D">
        <w:t>1</w:t>
      </w:r>
      <w:r w:rsidR="005831FC">
        <w:t>)</w:t>
      </w:r>
      <w:r w:rsidRPr="00A6562D">
        <w:t xml:space="preserve">  Anyone sustaining pecuniary or non-pecuniary damage as a result of a violation of the Convention for the Protection of Human Rights and Fundamental Freedoms, ratified by Law no. 848 of 4 August 1955, on account of a failure to comply with the </w:t>
      </w:r>
      <w:r w:rsidR="00C01D3E">
        <w:t>‘</w:t>
      </w:r>
      <w:r w:rsidRPr="00A6562D">
        <w:t>reasonable</w:t>
      </w:r>
      <w:r w:rsidR="005831FC">
        <w:t xml:space="preserve"> </w:t>
      </w:r>
      <w:r w:rsidRPr="00A6562D">
        <w:t>time</w:t>
      </w:r>
      <w:r w:rsidR="00C01D3E">
        <w:t>’</w:t>
      </w:r>
      <w:r w:rsidRPr="00A6562D">
        <w:t xml:space="preserve"> requirement in Article 6 § 1 of the Convention, shall be entitled to just satisfaction.</w:t>
      </w:r>
    </w:p>
    <w:p w:rsidR="00B66328" w:rsidP="00B66328" w:rsidRDefault="005831FC">
      <w:pPr>
        <w:pStyle w:val="JuQuot"/>
      </w:pPr>
      <w:r>
        <w:t>(</w:t>
      </w:r>
      <w:r w:rsidR="00B66328">
        <w:t>2</w:t>
      </w:r>
      <w:r>
        <w:t>)</w:t>
      </w:r>
      <w:r w:rsidR="00B66328">
        <w:t>  In determining whether there has been a violation, the court shall have regard to the complexity of the case and, in the light thereof, the conduct of the parties and of the judge deciding procedural issues, and also the conduct of any authority required to participate in or contribute to the resolution of the case.</w:t>
      </w:r>
    </w:p>
    <w:p w:rsidR="00B66328" w:rsidP="00B66328" w:rsidRDefault="005831FC">
      <w:pPr>
        <w:pStyle w:val="JuQuot"/>
      </w:pPr>
      <w:r>
        <w:t>(</w:t>
      </w:r>
      <w:r w:rsidR="00B66328">
        <w:t>3</w:t>
      </w:r>
      <w:r>
        <w:t>)</w:t>
      </w:r>
      <w:r w:rsidR="00B66328">
        <w:t>  The court shall assess the quantum of damage in accordance with Article 2056 of the Civil Code and shall apply the following rules:</w:t>
      </w:r>
    </w:p>
    <w:p w:rsidR="00B66328" w:rsidP="008C6CE3" w:rsidRDefault="00B66328">
      <w:pPr>
        <w:pStyle w:val="JuQuotSub"/>
      </w:pPr>
      <w:r>
        <w:t xml:space="preserve">(a)  only damage attributable to the period beyond the reasonable time referred to in subsection </w:t>
      </w:r>
      <w:r w:rsidR="005831FC">
        <w:t>(</w:t>
      </w:r>
      <w:r>
        <w:t>1</w:t>
      </w:r>
      <w:r w:rsidR="005831FC">
        <w:t>)</w:t>
      </w:r>
      <w:r>
        <w:t xml:space="preserve"> may be taken into account;</w:t>
      </w:r>
    </w:p>
    <w:p w:rsidR="00B66328" w:rsidP="008C6CE3" w:rsidRDefault="00B66328">
      <w:pPr>
        <w:pStyle w:val="JuQuotSub"/>
      </w:pPr>
      <w:r>
        <w:t>(b)  in addition to the payment of a sum of money, reparation for non-pecuniary damage shall be made by giving suitable publicity to the finding of a violation.”</w:t>
      </w:r>
    </w:p>
    <w:p w:rsidRPr="00A6562D" w:rsidR="005831FC" w:rsidP="005831FC" w:rsidRDefault="005831FC">
      <w:pPr>
        <w:pStyle w:val="JuHArticle"/>
      </w:pPr>
      <w:r w:rsidRPr="00A6562D">
        <w:t>Section 3</w:t>
      </w:r>
      <w:r>
        <w:t xml:space="preserve"> – </w:t>
      </w:r>
      <w:r w:rsidRPr="00A6562D">
        <w:t>Procedure</w:t>
      </w:r>
    </w:p>
    <w:p w:rsidR="00B66328" w:rsidP="005831FC" w:rsidRDefault="00B66328">
      <w:pPr>
        <w:pStyle w:val="JuQuot"/>
      </w:pPr>
      <w:r>
        <w:t>“</w:t>
      </w:r>
      <w:r w:rsidR="005831FC">
        <w:t>(</w:t>
      </w:r>
      <w:r>
        <w:t>1</w:t>
      </w:r>
      <w:r w:rsidR="005831FC">
        <w:t>)</w:t>
      </w:r>
      <w:r>
        <w:t> </w:t>
      </w:r>
      <w:r w:rsidR="008C6CE3">
        <w:t> </w:t>
      </w:r>
      <w:r>
        <w:t>Claims for just satisfaction shall be lodged with the court of appeal in which the judge sits who has jurisdiction under Article 11 of the Code of Criminal Procedure to try cases concerning members of the judiciary in the district where the case in which the violation is alleged to have occurred was decided or discontinued at the merits stage or is still pending.</w:t>
      </w:r>
    </w:p>
    <w:p w:rsidR="00B66328" w:rsidP="00B66328" w:rsidRDefault="005831FC">
      <w:pPr>
        <w:pStyle w:val="JuQuot"/>
      </w:pPr>
      <w:r>
        <w:t>(</w:t>
      </w:r>
      <w:r w:rsidR="00B66328">
        <w:t>2</w:t>
      </w:r>
      <w:r>
        <w:t>)</w:t>
      </w:r>
      <w:r w:rsidR="00B66328">
        <w:t>  The claim shall be made on an application lodged with the registry of the court of appeal by a lawyer holding a special authority containing all the information prescribed by Article 125 of the Code of Civil Procedure.</w:t>
      </w:r>
    </w:p>
    <w:p w:rsidR="00B66328" w:rsidP="00B66328" w:rsidRDefault="005831FC">
      <w:pPr>
        <w:pStyle w:val="JuQuot"/>
      </w:pPr>
      <w:r>
        <w:t>(</w:t>
      </w:r>
      <w:r w:rsidR="00B66328">
        <w:t>3</w:t>
      </w:r>
      <w:r>
        <w:t>)</w:t>
      </w:r>
      <w:r w:rsidR="00B66328">
        <w:t>  The application shall be made against the Minister of Justice where the alleged violation has taken place in proceedings in the ordinary courts, the Minister of Defence where it has taken place in proceedings before the military courts and the Finance Minister where it has taken place in proceedings before the tax commissioners. In all other cases, the application shall be made against the Prime Minister.</w:t>
      </w:r>
    </w:p>
    <w:p w:rsidR="00B66328" w:rsidP="00B66328" w:rsidRDefault="005831FC">
      <w:pPr>
        <w:pStyle w:val="JuQuot"/>
      </w:pPr>
      <w:r>
        <w:t>(</w:t>
      </w:r>
      <w:r w:rsidR="00B66328">
        <w:t>4</w:t>
      </w:r>
      <w:r>
        <w:t>)</w:t>
      </w:r>
      <w:r w:rsidR="00B66328">
        <w:t xml:space="preserve">  The court of appeal shall hear the application in accordance with Articles 737 </w:t>
      </w:r>
      <w:r w:rsidR="009F1BDE">
        <w:t>et</w:t>
      </w:r>
      <w:r w:rsidR="00B66328">
        <w:t xml:space="preserve"> seq. of the Code of Civil Procedure. The application and the order setting the case down for hearing shall be served by the applicant on the defendant authority at its elected domicile a</w:t>
      </w:r>
      <w:r w:rsidR="006F0E98">
        <w:t xml:space="preserve">t the offices of State Counsel </w:t>
      </w:r>
      <w:r>
        <w:t>[</w:t>
      </w:r>
      <w:r w:rsidR="00B66328">
        <w:rPr>
          <w:i/>
        </w:rPr>
        <w:t>Avvocatura dello Stato</w:t>
      </w:r>
      <w:r>
        <w:t>]</w:t>
      </w:r>
      <w:r w:rsidR="00B66328">
        <w:t xml:space="preserve"> at least fifteen days prior to the date of the hearing before the Chamber.</w:t>
      </w:r>
    </w:p>
    <w:p w:rsidR="00B66328" w:rsidP="00B66328" w:rsidRDefault="005831FC">
      <w:pPr>
        <w:pStyle w:val="JuQuot"/>
      </w:pPr>
      <w:r>
        <w:t>(</w:t>
      </w:r>
      <w:r w:rsidR="00B66328">
        <w:t>5</w:t>
      </w:r>
      <w:r>
        <w:t>)</w:t>
      </w:r>
      <w:r w:rsidR="00B66328">
        <w:t xml:space="preserve">  The parties may apply to the court for an order for production of all or part of the procedural and other documents from the proceedings in which the violation referred to in section 2 is alleged to have occurred and they and their lawyers shall be entitled to be heard by the court in private if they attend the hearing. The parties may lodge memorials and documents up </w:t>
      </w:r>
      <w:r w:rsidR="009B6977">
        <w:t>until</w:t>
      </w:r>
      <w:r w:rsidR="00B66328">
        <w:t xml:space="preserve"> five days before the date set for the hearing or until expiry of the time allowed by the court of appeal for that purpose on an application by the parties.</w:t>
      </w:r>
    </w:p>
    <w:p w:rsidR="00B66328" w:rsidP="00B66328" w:rsidRDefault="005831FC">
      <w:pPr>
        <w:pStyle w:val="JuQuot"/>
      </w:pPr>
      <w:r>
        <w:t>(</w:t>
      </w:r>
      <w:r w:rsidR="00B66328">
        <w:t>6</w:t>
      </w:r>
      <w:r>
        <w:t>)</w:t>
      </w:r>
      <w:r w:rsidR="00B66328">
        <w:t>  The court shall deliver a decision within four months after the application is lodged. An appeal shall lie to the Court of Cassation. The decision shall be enforceable immediately.</w:t>
      </w:r>
    </w:p>
    <w:p w:rsidR="00B66328" w:rsidP="00B66328" w:rsidRDefault="005831FC">
      <w:pPr>
        <w:pStyle w:val="JuQuot"/>
      </w:pPr>
      <w:r>
        <w:t>(</w:t>
      </w:r>
      <w:r w:rsidR="00B66328">
        <w:t>7</w:t>
      </w:r>
      <w:r>
        <w:t>)</w:t>
      </w:r>
      <w:r w:rsidR="00B66328">
        <w:t> </w:t>
      </w:r>
      <w:r w:rsidR="008C6CE3">
        <w:t> </w:t>
      </w:r>
      <w:r w:rsidR="00B66328">
        <w:t xml:space="preserve">To the extent that resources permit, payment of compensation to those entitled shall commence on </w:t>
      </w:r>
      <w:smartTag w:uri="urn:schemas-microsoft-com:office:smarttags" w:element="date">
        <w:smartTagPr>
          <w:attr w:name="Month" w:val="1"/>
          <w:attr w:name="Day" w:val="1"/>
          <w:attr w:name="Year" w:val="2002"/>
        </w:smartTagPr>
        <w:r w:rsidR="00B66328">
          <w:t xml:space="preserve">1 January </w:t>
        </w:r>
        <w:smartTag w:uri="urn:schemas-microsoft-com:office:smarttags" w:element="metricconverter">
          <w:smartTagPr>
            <w:attr w:name="ProductID" w:val="2002.”"/>
          </w:smartTagPr>
          <w:r w:rsidR="00B66328">
            <w:t>2002</w:t>
          </w:r>
        </w:smartTag>
      </w:smartTag>
      <w:r w:rsidR="00B66328">
        <w:t>.”</w:t>
      </w:r>
    </w:p>
    <w:p w:rsidRPr="00A6562D" w:rsidR="005831FC" w:rsidP="005831FC" w:rsidRDefault="005831FC">
      <w:pPr>
        <w:pStyle w:val="JuHArticle"/>
      </w:pPr>
      <w:r>
        <w:t xml:space="preserve">Section 4 – </w:t>
      </w:r>
      <w:r w:rsidRPr="00A6562D">
        <w:t>Time-limits and procedures for lodging applications</w:t>
      </w:r>
    </w:p>
    <w:p w:rsidR="00B66328" w:rsidP="005831FC" w:rsidRDefault="00B66328">
      <w:pPr>
        <w:pStyle w:val="JuQuot"/>
      </w:pPr>
      <w:r>
        <w:t>“A claim for just satisfaction may be lodged while the proceedings in which the violation is alleged to have occurred are pending or within six months from the date when the decision ending the proceedings becomes final. Claims lodged after that date shall be time-barred.”</w:t>
      </w:r>
    </w:p>
    <w:p w:rsidRPr="006E0CF6" w:rsidR="005831FC" w:rsidP="005831FC" w:rsidRDefault="005831FC">
      <w:pPr>
        <w:pStyle w:val="JuHArticle"/>
      </w:pPr>
      <w:r w:rsidRPr="006E0CF6">
        <w:t>Section 5 – Communications</w:t>
      </w:r>
    </w:p>
    <w:p w:rsidR="00B66328" w:rsidP="005831FC" w:rsidRDefault="00B66328">
      <w:pPr>
        <w:pStyle w:val="JuQuot"/>
      </w:pPr>
      <w:r>
        <w:t>“If the court decides to allow an application, its decision shall be communicated by the registry to the parties, to State Counsel at the Court of Audit to enable him to start an investigation into liability, and to the authorities responsible for deciding whether to institute disciplinary proceedings against the civil servants involved in the proceedings in any capacity.”</w:t>
      </w:r>
    </w:p>
    <w:p w:rsidRPr="006E0CF6" w:rsidR="005831FC" w:rsidP="005831FC" w:rsidRDefault="005831FC">
      <w:pPr>
        <w:pStyle w:val="JuHArticle"/>
      </w:pPr>
      <w:r w:rsidRPr="006E0CF6">
        <w:t>Section 6 – Transitional provisions</w:t>
      </w:r>
    </w:p>
    <w:p w:rsidR="00B66328" w:rsidP="005831FC" w:rsidRDefault="00B66328">
      <w:pPr>
        <w:pStyle w:val="JuQuot"/>
      </w:pPr>
      <w:r>
        <w:t>“</w:t>
      </w:r>
      <w:r w:rsidR="005831FC">
        <w:t>(</w:t>
      </w:r>
      <w:r>
        <w:t>1</w:t>
      </w:r>
      <w:r w:rsidR="005831FC">
        <w:t>)</w:t>
      </w:r>
      <w:r>
        <w:t xml:space="preserve">  Within six months after the entry into force of this Act, anyone who has lodged an application with the European Court of Human Rights in due time complaining of a violation of the </w:t>
      </w:r>
      <w:r w:rsidR="00C01D3E">
        <w:t>‘</w:t>
      </w:r>
      <w:r>
        <w:t>reasonable</w:t>
      </w:r>
      <w:r w:rsidR="005831FC">
        <w:t xml:space="preserve"> </w:t>
      </w:r>
      <w:r>
        <w:t>time</w:t>
      </w:r>
      <w:r w:rsidR="00C01D3E">
        <w:t>’</w:t>
      </w:r>
      <w:r>
        <w:t xml:space="preserve"> requirement contained in Article 6 § 1 of the Convention for the Protection of Human Rights and Fundamental Freedoms, ratified by Law no. 848 of 4 August 1955, shall be entitled to lodge a claim under section 3 hereof provided that the application has not by then been declared admissible by the European Court. In such cases, the application to the court of appeal must state when the application to the said </w:t>
      </w:r>
      <w:smartTag w:uri="urn:schemas-microsoft-com:office:smarttags" w:element="Street">
        <w:smartTag w:uri="urn:schemas-microsoft-com:office:smarttags" w:element="address">
          <w:r>
            <w:t>European Court</w:t>
          </w:r>
        </w:smartTag>
      </w:smartTag>
      <w:r>
        <w:t xml:space="preserve"> was made.</w:t>
      </w:r>
    </w:p>
    <w:p w:rsidR="00B66328" w:rsidP="00B66328" w:rsidRDefault="005831FC">
      <w:pPr>
        <w:pStyle w:val="JuQuot"/>
      </w:pPr>
      <w:r>
        <w:t>(</w:t>
      </w:r>
      <w:r w:rsidR="00B66328">
        <w:t>2</w:t>
      </w:r>
      <w:r>
        <w:t>)</w:t>
      </w:r>
      <w:r w:rsidR="00B66328">
        <w:t> </w:t>
      </w:r>
      <w:r w:rsidR="008C6CE3">
        <w:t> </w:t>
      </w:r>
      <w:r w:rsidR="00B66328">
        <w:t xml:space="preserve">The registry of the relevant court shall inform the Minister for Foreign Affairs without delay of any claim lodged in accordance with section 3 and within the period laid down in subsection </w:t>
      </w:r>
      <w:r>
        <w:t>(</w:t>
      </w:r>
      <w:r w:rsidR="00B66328">
        <w:t>1</w:t>
      </w:r>
      <w:r>
        <w:t>)</w:t>
      </w:r>
      <w:r w:rsidR="00B66328">
        <w:t xml:space="preserve"> of this section.”</w:t>
      </w:r>
    </w:p>
    <w:p w:rsidRPr="006E0CF6" w:rsidR="005831FC" w:rsidP="005831FC" w:rsidRDefault="005831FC">
      <w:pPr>
        <w:pStyle w:val="JuHArticle"/>
      </w:pPr>
      <w:r w:rsidRPr="006E0CF6">
        <w:t>Section 7 – Financial provisions</w:t>
      </w:r>
    </w:p>
    <w:p w:rsidR="00B66328" w:rsidP="005831FC" w:rsidRDefault="00B66328">
      <w:pPr>
        <w:pStyle w:val="JuQuot"/>
      </w:pPr>
      <w:r>
        <w:t>“</w:t>
      </w:r>
      <w:r w:rsidR="005831FC">
        <w:t>(</w:t>
      </w:r>
      <w:r>
        <w:t>1</w:t>
      </w:r>
      <w:r w:rsidR="005831FC">
        <w:t>)</w:t>
      </w:r>
      <w:r>
        <w:t xml:space="preserve">  The financial cost of implementing this Act, which is put at 12,705,000,000 Italian lire from 2002, shall be met by releasing funds entered in the three-year budget 2001-03 in the chapter concerning the basic current-liability estimates from the </w:t>
      </w:r>
      <w:r w:rsidR="00C01D3E">
        <w:t>‘</w:t>
      </w:r>
      <w:r>
        <w:t>special fund</w:t>
      </w:r>
      <w:r w:rsidR="00C01D3E">
        <w:t>’</w:t>
      </w:r>
      <w:r>
        <w:t xml:space="preserve"> in the year 2001 forecast of the Ministry of the Treasury, Economy and Financial Planning. Treasury deposits shall be set aside for that purpose.</w:t>
      </w:r>
    </w:p>
    <w:p w:rsidRPr="004818F5" w:rsidR="00B66328" w:rsidP="00B66328" w:rsidRDefault="005831FC">
      <w:pPr>
        <w:pStyle w:val="JuQuot"/>
      </w:pPr>
      <w:r>
        <w:t>(</w:t>
      </w:r>
      <w:r w:rsidR="00B66328">
        <w:t>2</w:t>
      </w:r>
      <w:r>
        <w:t>)</w:t>
      </w:r>
      <w:r w:rsidRPr="004818F5" w:rsidR="00B66328">
        <w:t> </w:t>
      </w:r>
      <w:r w:rsidR="008C6CE3">
        <w:t> </w:t>
      </w:r>
      <w:r w:rsidRPr="004818F5" w:rsidR="00B66328">
        <w:t>The Ministry of the Treasury, Economy and Financial Planning is authorised to make the appropriate budgetary adjustments by decree.</w:t>
      </w:r>
      <w:r w:rsidR="00B66328">
        <w:t>”</w:t>
      </w:r>
    </w:p>
    <w:p w:rsidRPr="0020539D" w:rsidR="00B66328" w:rsidP="00B66328" w:rsidRDefault="008C6CE3">
      <w:pPr>
        <w:pStyle w:val="JuHA"/>
      </w:pPr>
      <w:r>
        <w:t>B.  </w:t>
      </w:r>
      <w:r w:rsidRPr="0020539D" w:rsidR="00B66328">
        <w:t>Extracts from Italian case-law</w:t>
      </w:r>
    </w:p>
    <w:p w:rsidRPr="00227DC3" w:rsidR="00B66328" w:rsidP="00B66328" w:rsidRDefault="008C6CE3">
      <w:pPr>
        <w:pStyle w:val="JuH1"/>
      </w:pPr>
      <w:r>
        <w:t>1.  </w:t>
      </w:r>
      <w:r w:rsidRPr="00227DC3" w:rsidR="00B66328">
        <w:t xml:space="preserve">The </w:t>
      </w:r>
      <w:r w:rsidR="00B66328">
        <w:t>departure from precedent of</w:t>
      </w:r>
      <w:r w:rsidRPr="00227DC3" w:rsidR="00B66328">
        <w:t xml:space="preserve"> 2004</w:t>
      </w:r>
    </w:p>
    <w:p w:rsidRPr="00A6562D" w:rsidR="00B66328" w:rsidP="008C6CE3" w:rsidRDefault="00B66328">
      <w:pPr>
        <w:pStyle w:val="JuPara"/>
        <w:rPr>
          <w:rStyle w:val="JuParaCharChar1"/>
        </w:rPr>
      </w:pPr>
      <w:r>
        <w:fldChar w:fldCharType="begin"/>
      </w:r>
      <w:r>
        <w:instrText xml:space="preserve"> SEQ level0 \*arabic </w:instrText>
      </w:r>
      <w:r>
        <w:fldChar w:fldCharType="separate"/>
      </w:r>
      <w:r w:rsidR="006D3397">
        <w:rPr>
          <w:noProof/>
        </w:rPr>
        <w:t>24</w:t>
      </w:r>
      <w:r>
        <w:fldChar w:fldCharType="end"/>
      </w:r>
      <w:r>
        <w:t>.  </w:t>
      </w:r>
      <w:r w:rsidRPr="00A6562D">
        <w:rPr>
          <w:rStyle w:val="JuParaCharChar1"/>
        </w:rPr>
        <w:t>On appeal from decisions delivered by the courts of appeal in “Pinto” proceedings, the Court of Cassation, sitting as a full court</w:t>
      </w:r>
      <w:r w:rsidR="00223EF5">
        <w:rPr>
          <w:rStyle w:val="JuParaCharChar1"/>
        </w:rPr>
        <w:t xml:space="preserve"> (</w:t>
      </w:r>
      <w:r w:rsidR="009F1BDE">
        <w:rPr>
          <w:rStyle w:val="JuParaCharChar1"/>
          <w:i/>
        </w:rPr>
        <w:t>S</w:t>
      </w:r>
      <w:r w:rsidRPr="00223EF5" w:rsidR="00223EF5">
        <w:rPr>
          <w:rStyle w:val="JuParaCharChar1"/>
          <w:i/>
        </w:rPr>
        <w:t>ezioni Unite</w:t>
      </w:r>
      <w:r w:rsidR="00223EF5">
        <w:rPr>
          <w:rStyle w:val="JuParaCharChar1"/>
        </w:rPr>
        <w:t>)</w:t>
      </w:r>
      <w:r w:rsidRPr="00A6562D">
        <w:rPr>
          <w:rStyle w:val="JuParaCharChar1"/>
        </w:rPr>
        <w:t>, gave four judgments (nos. 1338, 1339, 1340 and 1341) on 27 November 2003, the texts of which were deposited with the registry on 26 January 2004, quashing the appeal court</w:t>
      </w:r>
      <w:r w:rsidR="00C01D3E">
        <w:rPr>
          <w:rStyle w:val="JuParaCharChar1"/>
        </w:rPr>
        <w:t>’</w:t>
      </w:r>
      <w:r w:rsidRPr="00A6562D">
        <w:rPr>
          <w:rStyle w:val="JuParaCharChar1"/>
        </w:rPr>
        <w:t xml:space="preserve">s decision and remitting the case for a rehearing. It held that “the case-law of the </w:t>
      </w:r>
      <w:smartTag w:uri="urn:schemas-microsoft-com:office:smarttags" w:element="Street">
        <w:smartTag w:uri="urn:schemas-microsoft-com:office:smarttags" w:element="address">
          <w:r w:rsidRPr="00A6562D">
            <w:rPr>
              <w:rStyle w:val="JuParaCharChar1"/>
            </w:rPr>
            <w:t>Strasbourg Court</w:t>
          </w:r>
        </w:smartTag>
      </w:smartTag>
      <w:r w:rsidRPr="00A6562D">
        <w:rPr>
          <w:rStyle w:val="JuParaCharChar1"/>
        </w:rPr>
        <w:t xml:space="preserve"> is binding on </w:t>
      </w:r>
      <w:r>
        <w:rPr>
          <w:rStyle w:val="JuParaCharChar1"/>
        </w:rPr>
        <w:t xml:space="preserve">the </w:t>
      </w:r>
      <w:r w:rsidRPr="00A6562D">
        <w:rPr>
          <w:rStyle w:val="JuParaCharChar1"/>
        </w:rPr>
        <w:t>Italian courts regarding the application of Law no. 89/2001”.</w:t>
      </w:r>
    </w:p>
    <w:p w:rsidR="00B66328" w:rsidP="008C6CE3" w:rsidRDefault="00B66328">
      <w:pPr>
        <w:pStyle w:val="JuPara"/>
      </w:pPr>
      <w:r>
        <w:t>I</w:t>
      </w:r>
      <w:r w:rsidRPr="00844539">
        <w:t>n its judgment no</w:t>
      </w:r>
      <w:r>
        <w:t>.</w:t>
      </w:r>
      <w:r w:rsidRPr="00844539">
        <w:t xml:space="preserve"> 1340 </w:t>
      </w:r>
      <w:r>
        <w:t xml:space="preserve">it </w:t>
      </w:r>
      <w:r w:rsidRPr="00844539">
        <w:t>affirmed</w:t>
      </w:r>
      <w:r w:rsidRPr="005831FC">
        <w:t>,</w:t>
      </w:r>
      <w:r w:rsidRPr="00844539">
        <w:rPr>
          <w:i/>
        </w:rPr>
        <w:t xml:space="preserve"> inter alia</w:t>
      </w:r>
      <w:r w:rsidRPr="005831FC">
        <w:t>,</w:t>
      </w:r>
      <w:r w:rsidR="00223EF5">
        <w:t xml:space="preserve"> the principle that</w:t>
      </w:r>
    </w:p>
    <w:p w:rsidRPr="00A6562D" w:rsidR="00B66328" w:rsidP="00B66328" w:rsidRDefault="00B66328">
      <w:pPr>
        <w:pStyle w:val="JuQuot"/>
      </w:pPr>
      <w:r w:rsidRPr="00A6562D">
        <w:t>“the court of appeal</w:t>
      </w:r>
      <w:r w:rsidR="00C01D3E">
        <w:t>’</w:t>
      </w:r>
      <w:r w:rsidRPr="00A6562D">
        <w:t xml:space="preserve">s determination of non-pecuniary damage in accordance with section 2 of Law no. 89/2001, although inherently based on equitable principles, must be </w:t>
      </w:r>
      <w:r w:rsidR="005831FC">
        <w:t>made</w:t>
      </w:r>
      <w:r w:rsidRPr="00A6562D">
        <w:t xml:space="preserve"> in a legally defined framework since reference has to be made to the amounts awarded, in similar cases, by the </w:t>
      </w:r>
      <w:smartTag w:uri="urn:schemas-microsoft-com:office:smarttags" w:element="Street">
        <w:smartTag w:uri="urn:schemas-microsoft-com:office:smarttags" w:element="address">
          <w:r w:rsidRPr="00A6562D">
            <w:t>Strasbourg Court</w:t>
          </w:r>
        </w:smartTag>
      </w:smartTag>
      <w:r w:rsidRPr="00A6562D">
        <w:t>. Some divergence is permissible, within reason”</w:t>
      </w:r>
      <w:r w:rsidR="005831FC">
        <w:t>.</w:t>
      </w:r>
    </w:p>
    <w:p w:rsidR="00A31EB8" w:rsidP="008C6CE3" w:rsidRDefault="00B66328">
      <w:pPr>
        <w:pStyle w:val="JuPara"/>
      </w:pPr>
      <w:r w:rsidRPr="00A6562D">
        <w:fldChar w:fldCharType="begin"/>
      </w:r>
      <w:r w:rsidRPr="00A6562D">
        <w:instrText xml:space="preserve"> SEQ level0 \*arabic </w:instrText>
      </w:r>
      <w:r w:rsidRPr="00A6562D">
        <w:fldChar w:fldCharType="separate"/>
      </w:r>
      <w:r w:rsidR="006D3397">
        <w:rPr>
          <w:noProof/>
        </w:rPr>
        <w:t>25</w:t>
      </w:r>
      <w:r w:rsidRPr="00A6562D">
        <w:fldChar w:fldCharType="end"/>
      </w:r>
      <w:r w:rsidRPr="00A6562D">
        <w:t>.  Extracts from the plenary Court of Cassation</w:t>
      </w:r>
      <w:r w:rsidR="00C01D3E">
        <w:t>’</w:t>
      </w:r>
      <w:r w:rsidR="005831FC">
        <w:t xml:space="preserve">s judgment no. </w:t>
      </w:r>
      <w:r w:rsidRPr="00A6562D">
        <w:t>1339 deposited with the registry on 26 January 2004</w:t>
      </w:r>
      <w:r w:rsidR="005831FC">
        <w:t xml:space="preserve"> read as follows:</w:t>
      </w:r>
    </w:p>
    <w:p w:rsidRPr="00A855E0" w:rsidR="00B66328" w:rsidP="00B66328" w:rsidRDefault="00B66328">
      <w:pPr>
        <w:pStyle w:val="JuQuot"/>
        <w:rPr>
          <w:iCs/>
        </w:rPr>
      </w:pPr>
      <w:r>
        <w:rPr>
          <w:iCs/>
        </w:rPr>
        <w:t>“</w:t>
      </w:r>
      <w:r w:rsidRPr="00A855E0">
        <w:rPr>
          <w:iCs/>
        </w:rPr>
        <w:t>2.</w:t>
      </w:r>
      <w:r w:rsidR="005831FC">
        <w:rPr>
          <w:iCs/>
        </w:rPr>
        <w:t>  </w:t>
      </w:r>
      <w:r w:rsidRPr="00A855E0">
        <w:rPr>
          <w:iCs/>
        </w:rPr>
        <w:t xml:space="preserve">The present application poses the </w:t>
      </w:r>
      <w:r>
        <w:rPr>
          <w:iCs/>
        </w:rPr>
        <w:t xml:space="preserve">fundamental </w:t>
      </w:r>
      <w:r w:rsidRPr="00A855E0">
        <w:rPr>
          <w:iCs/>
        </w:rPr>
        <w:t xml:space="preserve">question of what legal effect must be given – in implementing </w:t>
      </w:r>
      <w:r>
        <w:rPr>
          <w:iCs/>
        </w:rPr>
        <w:t xml:space="preserve">Law </w:t>
      </w:r>
      <w:r w:rsidR="005831FC">
        <w:rPr>
          <w:iCs/>
        </w:rPr>
        <w:t>n</w:t>
      </w:r>
      <w:r w:rsidRPr="00A855E0" w:rsidR="005831FC">
        <w:rPr>
          <w:iCs/>
        </w:rPr>
        <w:t>o. 89</w:t>
      </w:r>
      <w:r w:rsidR="005831FC">
        <w:rPr>
          <w:iCs/>
        </w:rPr>
        <w:t xml:space="preserve"> </w:t>
      </w:r>
      <w:r>
        <w:rPr>
          <w:iCs/>
        </w:rPr>
        <w:t>of 24 March 2001</w:t>
      </w:r>
      <w:r w:rsidRPr="00A855E0">
        <w:rPr>
          <w:iCs/>
        </w:rPr>
        <w:t xml:space="preserve">, and in particular in determining the non-pecuniary damage arising out of the breach of the reasonable length of proceedings requirement – to the </w:t>
      </w:r>
      <w:r>
        <w:rPr>
          <w:iCs/>
        </w:rPr>
        <w:t>judgments</w:t>
      </w:r>
      <w:r w:rsidRPr="00A855E0">
        <w:rPr>
          <w:iCs/>
        </w:rPr>
        <w:t xml:space="preserve"> of the European Court of Human Rights, whether considered generally as interpretative guidelines which the said Court has </w:t>
      </w:r>
      <w:r>
        <w:rPr>
          <w:iCs/>
        </w:rPr>
        <w:t>laid down</w:t>
      </w:r>
      <w:r w:rsidRPr="00A855E0">
        <w:rPr>
          <w:iCs/>
        </w:rPr>
        <w:t xml:space="preserve"> with regard to the consequences of the said violation, or with reference to </w:t>
      </w:r>
      <w:r>
        <w:rPr>
          <w:iCs/>
        </w:rPr>
        <w:t>a</w:t>
      </w:r>
      <w:r w:rsidRPr="00A855E0">
        <w:rPr>
          <w:iCs/>
        </w:rPr>
        <w:t xml:space="preserve"> specific case in which the European Court has already had occasion to give a judgment on the delay in reaching a decision.</w:t>
      </w:r>
      <w:r>
        <w:rPr>
          <w:iCs/>
        </w:rPr>
        <w:t xml:space="preserve"> </w:t>
      </w:r>
      <w:r w:rsidR="00204CB7">
        <w:rPr>
          <w:iCs/>
        </w:rPr>
        <w:t>...</w:t>
      </w:r>
    </w:p>
    <w:p w:rsidR="00B66328" w:rsidP="00B66328" w:rsidRDefault="00B66328">
      <w:pPr>
        <w:pStyle w:val="JuQuot"/>
        <w:rPr>
          <w:iCs/>
        </w:rPr>
      </w:pPr>
      <w:r>
        <w:rPr>
          <w:iCs/>
        </w:rPr>
        <w:t>As stipulated in s</w:t>
      </w:r>
      <w:r w:rsidRPr="00A855E0">
        <w:rPr>
          <w:iCs/>
        </w:rPr>
        <w:t>ection 2</w:t>
      </w:r>
      <w:r w:rsidR="005831FC">
        <w:rPr>
          <w:iCs/>
        </w:rPr>
        <w:t>(</w:t>
      </w:r>
      <w:r w:rsidRPr="00A855E0">
        <w:rPr>
          <w:iCs/>
        </w:rPr>
        <w:t>1</w:t>
      </w:r>
      <w:r w:rsidR="005831FC">
        <w:rPr>
          <w:iCs/>
        </w:rPr>
        <w:t>)</w:t>
      </w:r>
      <w:r w:rsidRPr="00A855E0">
        <w:rPr>
          <w:iCs/>
        </w:rPr>
        <w:t xml:space="preserve"> of the said </w:t>
      </w:r>
      <w:r>
        <w:rPr>
          <w:iCs/>
        </w:rPr>
        <w:t>Law</w:t>
      </w:r>
      <w:r w:rsidRPr="00A855E0">
        <w:rPr>
          <w:iCs/>
        </w:rPr>
        <w:t xml:space="preserve">, the legal fact which gives rise to the right to the just satisfaction that it provides for is constituted by the </w:t>
      </w:r>
      <w:r w:rsidR="00C01D3E">
        <w:rPr>
          <w:iCs/>
        </w:rPr>
        <w:t>‘</w:t>
      </w:r>
      <w:r w:rsidRPr="00A855E0">
        <w:rPr>
          <w:iCs/>
        </w:rPr>
        <w:t xml:space="preserve">violation of the Convention for the Protection of Human Rights and Fundamental Freedoms, ratified </w:t>
      </w:r>
      <w:r w:rsidR="005831FC">
        <w:rPr>
          <w:iCs/>
        </w:rPr>
        <w:t>by</w:t>
      </w:r>
      <w:r w:rsidRPr="00A855E0">
        <w:rPr>
          <w:iCs/>
        </w:rPr>
        <w:t xml:space="preserve"> </w:t>
      </w:r>
      <w:r>
        <w:rPr>
          <w:iCs/>
        </w:rPr>
        <w:t>Law</w:t>
      </w:r>
      <w:r w:rsidRPr="00A855E0">
        <w:rPr>
          <w:iCs/>
        </w:rPr>
        <w:t xml:space="preserve"> </w:t>
      </w:r>
      <w:r w:rsidR="005831FC">
        <w:rPr>
          <w:iCs/>
        </w:rPr>
        <w:t>no</w:t>
      </w:r>
      <w:r w:rsidRPr="00A855E0" w:rsidR="005831FC">
        <w:rPr>
          <w:iCs/>
        </w:rPr>
        <w:t>. 848</w:t>
      </w:r>
      <w:r w:rsidR="005831FC">
        <w:rPr>
          <w:iCs/>
        </w:rPr>
        <w:t xml:space="preserve"> </w:t>
      </w:r>
      <w:r w:rsidRPr="00A855E0">
        <w:rPr>
          <w:iCs/>
        </w:rPr>
        <w:t xml:space="preserve">of 4 August 1955, </w:t>
      </w:r>
      <w:r w:rsidR="005831FC">
        <w:rPr>
          <w:iCs/>
        </w:rPr>
        <w:t>on account of</w:t>
      </w:r>
      <w:r w:rsidRPr="00A855E0">
        <w:rPr>
          <w:iCs/>
        </w:rPr>
        <w:t xml:space="preserve"> </w:t>
      </w:r>
      <w:r w:rsidR="00B04AFE">
        <w:rPr>
          <w:iCs/>
        </w:rPr>
        <w:t xml:space="preserve">a </w:t>
      </w:r>
      <w:r w:rsidRPr="00A855E0">
        <w:rPr>
          <w:iCs/>
        </w:rPr>
        <w:t xml:space="preserve">failure to </w:t>
      </w:r>
      <w:r>
        <w:rPr>
          <w:iCs/>
        </w:rPr>
        <w:t>comply with</w:t>
      </w:r>
      <w:r w:rsidRPr="00A855E0">
        <w:rPr>
          <w:iCs/>
        </w:rPr>
        <w:t xml:space="preserve"> the </w:t>
      </w:r>
      <w:r w:rsidR="00B04AFE">
        <w:rPr>
          <w:iCs/>
        </w:rPr>
        <w:t>“</w:t>
      </w:r>
      <w:r w:rsidRPr="00A855E0">
        <w:rPr>
          <w:iCs/>
        </w:rPr>
        <w:t xml:space="preserve">reasonable </w:t>
      </w:r>
      <w:r>
        <w:rPr>
          <w:iCs/>
        </w:rPr>
        <w:t>time</w:t>
      </w:r>
      <w:r w:rsidR="00B04AFE">
        <w:rPr>
          <w:iCs/>
        </w:rPr>
        <w:t xml:space="preserve">” requirement </w:t>
      </w:r>
      <w:r>
        <w:rPr>
          <w:iCs/>
        </w:rPr>
        <w:t>referred to in Article 6</w:t>
      </w:r>
      <w:r w:rsidR="005831FC">
        <w:rPr>
          <w:iCs/>
        </w:rPr>
        <w:t xml:space="preserve"> § </w:t>
      </w:r>
      <w:r w:rsidRPr="00A855E0">
        <w:rPr>
          <w:iCs/>
        </w:rPr>
        <w:t>1 of the Convention</w:t>
      </w:r>
      <w:r w:rsidR="00C01D3E">
        <w:rPr>
          <w:iCs/>
        </w:rPr>
        <w:t>’</w:t>
      </w:r>
      <w:r w:rsidR="00B04AFE">
        <w:rPr>
          <w:iCs/>
        </w:rPr>
        <w:t>.</w:t>
      </w:r>
      <w:r w:rsidRPr="00A855E0">
        <w:rPr>
          <w:iCs/>
        </w:rPr>
        <w:t xml:space="preserve"> In other words, </w:t>
      </w:r>
      <w:r>
        <w:rPr>
          <w:iCs/>
        </w:rPr>
        <w:t>Law no</w:t>
      </w:r>
      <w:r w:rsidRPr="00A855E0">
        <w:rPr>
          <w:iCs/>
        </w:rPr>
        <w:t xml:space="preserve">. 89/2001 identifies the fact constituting the right to compensation </w:t>
      </w:r>
      <w:r w:rsidR="00223EF5">
        <w:rPr>
          <w:iCs/>
        </w:rPr>
        <w:t xml:space="preserve">by reference </w:t>
      </w:r>
      <w:r w:rsidRPr="00A855E0">
        <w:rPr>
          <w:iCs/>
        </w:rPr>
        <w:t xml:space="preserve">to a specific provision of the European Convention on Human Rights. This Convention instituted a Court (the European Court of Human Rights, with its seat in </w:t>
      </w:r>
      <w:smartTag w:uri="urn:schemas-microsoft-com:office:smarttags" w:element="place">
        <w:smartTag w:uri="urn:schemas-microsoft-com:office:smarttags" w:element="City">
          <w:r w:rsidRPr="00A855E0">
            <w:rPr>
              <w:iCs/>
            </w:rPr>
            <w:t>Strasbourg</w:t>
          </w:r>
        </w:smartTag>
      </w:smartTag>
      <w:r w:rsidRPr="00A855E0">
        <w:rPr>
          <w:iCs/>
        </w:rPr>
        <w:t xml:space="preserve">) to ensure compliance with the provisions contained therein (Article 19). Accordingly, the competence of the said </w:t>
      </w:r>
      <w:r w:rsidR="00B04AFE">
        <w:rPr>
          <w:iCs/>
        </w:rPr>
        <w:t>C</w:t>
      </w:r>
      <w:r w:rsidRPr="00A855E0">
        <w:rPr>
          <w:iCs/>
        </w:rPr>
        <w:t>ourt to determine, and therefore to interpret, the significance of the said provisions must be re</w:t>
      </w:r>
      <w:r>
        <w:rPr>
          <w:iCs/>
        </w:rPr>
        <w:t>cognised.</w:t>
      </w:r>
    </w:p>
    <w:p w:rsidRPr="00A855E0" w:rsidR="00B66328" w:rsidP="00B66328" w:rsidRDefault="00B66328">
      <w:pPr>
        <w:pStyle w:val="JuQuot"/>
        <w:rPr>
          <w:iCs/>
        </w:rPr>
      </w:pPr>
      <w:r w:rsidRPr="00A855E0">
        <w:rPr>
          <w:iCs/>
        </w:rPr>
        <w:t xml:space="preserve">As the fact constituting the right </w:t>
      </w:r>
      <w:r w:rsidR="00766930">
        <w:rPr>
          <w:iCs/>
        </w:rPr>
        <w:t>conferred</w:t>
      </w:r>
      <w:r w:rsidRPr="00A855E0">
        <w:rPr>
          <w:iCs/>
        </w:rPr>
        <w:t xml:space="preserve"> by </w:t>
      </w:r>
      <w:r>
        <w:rPr>
          <w:iCs/>
        </w:rPr>
        <w:t>Law n</w:t>
      </w:r>
      <w:r w:rsidRPr="00A855E0">
        <w:rPr>
          <w:iCs/>
        </w:rPr>
        <w:t xml:space="preserve">o. 89/2001 consists of a violation of the Convention, it is for the </w:t>
      </w:r>
      <w:r w:rsidR="00B04AFE">
        <w:rPr>
          <w:iCs/>
        </w:rPr>
        <w:t xml:space="preserve">Strasbourg </w:t>
      </w:r>
      <w:r w:rsidRPr="00A855E0">
        <w:rPr>
          <w:iCs/>
        </w:rPr>
        <w:t xml:space="preserve">Court to determine all the elements of such a legal fact, which </w:t>
      </w:r>
      <w:r>
        <w:rPr>
          <w:iCs/>
        </w:rPr>
        <w:t>thus</w:t>
      </w:r>
      <w:r w:rsidRPr="00A855E0">
        <w:rPr>
          <w:iCs/>
        </w:rPr>
        <w:t xml:space="preserve"> ends by being </w:t>
      </w:r>
      <w:r w:rsidR="00C01D3E">
        <w:rPr>
          <w:iCs/>
        </w:rPr>
        <w:t>‘</w:t>
      </w:r>
      <w:r>
        <w:rPr>
          <w:iCs/>
        </w:rPr>
        <w:t>brought into conformity</w:t>
      </w:r>
      <w:r w:rsidR="00C01D3E">
        <w:rPr>
          <w:iCs/>
        </w:rPr>
        <w:t>’</w:t>
      </w:r>
      <w:r w:rsidRPr="00A855E0">
        <w:rPr>
          <w:iCs/>
        </w:rPr>
        <w:t xml:space="preserve"> by the Court, whose case-law </w:t>
      </w:r>
      <w:r>
        <w:rPr>
          <w:iCs/>
        </w:rPr>
        <w:t>is binding on</w:t>
      </w:r>
      <w:r w:rsidRPr="00A855E0">
        <w:rPr>
          <w:iCs/>
        </w:rPr>
        <w:t xml:space="preserve"> the Italian courts in so far as the application of </w:t>
      </w:r>
      <w:r>
        <w:rPr>
          <w:iCs/>
        </w:rPr>
        <w:t>Law n</w:t>
      </w:r>
      <w:r w:rsidRPr="00A855E0">
        <w:rPr>
          <w:iCs/>
        </w:rPr>
        <w:t>o. 89/2001 is concerned.</w:t>
      </w:r>
    </w:p>
    <w:p w:rsidRPr="00A855E0" w:rsidR="00B66328" w:rsidP="00B66328" w:rsidRDefault="00B66328">
      <w:pPr>
        <w:pStyle w:val="JuQuot"/>
        <w:rPr>
          <w:iCs/>
        </w:rPr>
      </w:pPr>
      <w:r w:rsidRPr="00A855E0">
        <w:rPr>
          <w:iCs/>
        </w:rPr>
        <w:t xml:space="preserve">It is not necessary therefore to pose the general problem of the relationships between the Convention and the internal judicial system, which </w:t>
      </w:r>
      <w:r>
        <w:rPr>
          <w:iCs/>
        </w:rPr>
        <w:t xml:space="preserve">the Advocate-General </w:t>
      </w:r>
      <w:r w:rsidR="00B04AFE">
        <w:rPr>
          <w:iCs/>
        </w:rPr>
        <w:t>[</w:t>
      </w:r>
      <w:r w:rsidRPr="00ED4135">
        <w:rPr>
          <w:i/>
          <w:iCs/>
        </w:rPr>
        <w:t>Procuratore Generale</w:t>
      </w:r>
      <w:r w:rsidR="00B04AFE">
        <w:rPr>
          <w:iCs/>
        </w:rPr>
        <w:t>]</w:t>
      </w:r>
      <w:r w:rsidRPr="00A855E0">
        <w:rPr>
          <w:iCs/>
        </w:rPr>
        <w:t xml:space="preserve"> has amply discussed in court. Whatever opinion one may have about </w:t>
      </w:r>
      <w:r>
        <w:rPr>
          <w:iCs/>
        </w:rPr>
        <w:t>that controversial issue</w:t>
      </w:r>
      <w:r w:rsidRPr="00A855E0">
        <w:rPr>
          <w:iCs/>
        </w:rPr>
        <w:t xml:space="preserve"> and therefore about the place of the Convention in the context of the sources of domestic law, it is certain that the direct implementation in the Italian judicial system of a provision of the Convention, established by </w:t>
      </w:r>
      <w:r>
        <w:rPr>
          <w:iCs/>
        </w:rPr>
        <w:t>Law no.</w:t>
      </w:r>
      <w:r w:rsidR="00B04AFE">
        <w:rPr>
          <w:iCs/>
        </w:rPr>
        <w:t> </w:t>
      </w:r>
      <w:r>
        <w:rPr>
          <w:iCs/>
        </w:rPr>
        <w:t>89/2001 (that is,</w:t>
      </w:r>
      <w:r w:rsidRPr="00A855E0">
        <w:rPr>
          <w:iCs/>
        </w:rPr>
        <w:t xml:space="preserve"> by Article 6</w:t>
      </w:r>
      <w:r w:rsidR="00223EF5">
        <w:rPr>
          <w:iCs/>
        </w:rPr>
        <w:t xml:space="preserve"> § </w:t>
      </w:r>
      <w:r w:rsidRPr="00A855E0">
        <w:rPr>
          <w:iCs/>
        </w:rPr>
        <w:t xml:space="preserve">1 in the part relating to </w:t>
      </w:r>
      <w:r w:rsidR="00C01D3E">
        <w:rPr>
          <w:iCs/>
        </w:rPr>
        <w:t>‘</w:t>
      </w:r>
      <w:r w:rsidRPr="00A855E0">
        <w:rPr>
          <w:iCs/>
        </w:rPr>
        <w:t>reasonable time</w:t>
      </w:r>
      <w:r w:rsidR="00C01D3E">
        <w:rPr>
          <w:iCs/>
        </w:rPr>
        <w:t>’</w:t>
      </w:r>
      <w:r w:rsidRPr="00A855E0">
        <w:rPr>
          <w:iCs/>
        </w:rPr>
        <w:t xml:space="preserve">), </w:t>
      </w:r>
      <w:r>
        <w:rPr>
          <w:iCs/>
        </w:rPr>
        <w:t>can</w:t>
      </w:r>
      <w:r w:rsidRPr="00A855E0">
        <w:rPr>
          <w:iCs/>
        </w:rPr>
        <w:t xml:space="preserve">not diverge from the interpretation which the European Court gives </w:t>
      </w:r>
      <w:r w:rsidR="00B04AFE">
        <w:rPr>
          <w:iCs/>
        </w:rPr>
        <w:t>to</w:t>
      </w:r>
      <w:r w:rsidRPr="00A855E0">
        <w:rPr>
          <w:iCs/>
        </w:rPr>
        <w:t xml:space="preserve"> the same provision.</w:t>
      </w:r>
    </w:p>
    <w:p w:rsidR="00A31EB8" w:rsidP="00B66328" w:rsidRDefault="00B66328">
      <w:pPr>
        <w:pStyle w:val="JuQuot"/>
        <w:rPr>
          <w:iCs/>
        </w:rPr>
      </w:pPr>
      <w:r w:rsidRPr="00A855E0">
        <w:rPr>
          <w:iCs/>
        </w:rPr>
        <w:t xml:space="preserve">The opposite argument, </w:t>
      </w:r>
      <w:r>
        <w:rPr>
          <w:iCs/>
        </w:rPr>
        <w:t xml:space="preserve">which </w:t>
      </w:r>
      <w:r w:rsidR="003A18B7">
        <w:rPr>
          <w:iCs/>
        </w:rPr>
        <w:t>would permit</w:t>
      </w:r>
      <w:r w:rsidRPr="00A855E0">
        <w:rPr>
          <w:iCs/>
        </w:rPr>
        <w:t xml:space="preserve"> a substantial divergence between the application accorded to </w:t>
      </w:r>
      <w:r>
        <w:rPr>
          <w:iCs/>
        </w:rPr>
        <w:t>Law n</w:t>
      </w:r>
      <w:r w:rsidRPr="00A855E0">
        <w:rPr>
          <w:iCs/>
        </w:rPr>
        <w:t xml:space="preserve">o. 89/2001 in the national system and the interpretation given by the Strasbourg Court to the right to </w:t>
      </w:r>
      <w:r w:rsidR="00B04AFE">
        <w:rPr>
          <w:iCs/>
        </w:rPr>
        <w:t xml:space="preserve">the </w:t>
      </w:r>
      <w:r w:rsidRPr="00A855E0">
        <w:rPr>
          <w:iCs/>
        </w:rPr>
        <w:t>reasonable length of proceedings</w:t>
      </w:r>
      <w:r>
        <w:rPr>
          <w:iCs/>
        </w:rPr>
        <w:t>,</w:t>
      </w:r>
      <w:r w:rsidRPr="00A855E0">
        <w:rPr>
          <w:iCs/>
        </w:rPr>
        <w:t xml:space="preserve"> would deprive the said </w:t>
      </w:r>
      <w:r>
        <w:rPr>
          <w:iCs/>
        </w:rPr>
        <w:t>Law n</w:t>
      </w:r>
      <w:r w:rsidRPr="00A855E0">
        <w:rPr>
          <w:iCs/>
        </w:rPr>
        <w:t>o. 89/2001 of any justificat</w:t>
      </w:r>
      <w:r>
        <w:rPr>
          <w:iCs/>
        </w:rPr>
        <w:t>ion and cause the Italian S</w:t>
      </w:r>
      <w:r w:rsidRPr="00A855E0">
        <w:rPr>
          <w:iCs/>
        </w:rPr>
        <w:t>tate</w:t>
      </w:r>
      <w:r>
        <w:rPr>
          <w:iCs/>
        </w:rPr>
        <w:t xml:space="preserve"> to violate</w:t>
      </w:r>
      <w:r w:rsidRPr="00A855E0">
        <w:rPr>
          <w:iCs/>
        </w:rPr>
        <w:t xml:space="preserve"> Article 1 of the Convention</w:t>
      </w:r>
      <w:r>
        <w:rPr>
          <w:iCs/>
        </w:rPr>
        <w:t xml:space="preserve">, according to which </w:t>
      </w:r>
      <w:r w:rsidR="00C01D3E">
        <w:rPr>
          <w:iCs/>
        </w:rPr>
        <w:t>‘</w:t>
      </w:r>
      <w:r>
        <w:rPr>
          <w:iCs/>
        </w:rPr>
        <w:t>The High C</w:t>
      </w:r>
      <w:r w:rsidRPr="00A855E0">
        <w:rPr>
          <w:iCs/>
        </w:rPr>
        <w:t>ontracting Parties shall secure to everyone within their jurisdiction the rights a</w:t>
      </w:r>
      <w:r>
        <w:rPr>
          <w:iCs/>
        </w:rPr>
        <w:t>nd freedoms defined in Section I of this Convention</w:t>
      </w:r>
      <w:r w:rsidR="00C01D3E">
        <w:rPr>
          <w:iCs/>
        </w:rPr>
        <w:t>’</w:t>
      </w:r>
      <w:r w:rsidRPr="00A855E0">
        <w:rPr>
          <w:iCs/>
        </w:rPr>
        <w:t xml:space="preserve"> (includ</w:t>
      </w:r>
      <w:r>
        <w:rPr>
          <w:iCs/>
        </w:rPr>
        <w:t>ing</w:t>
      </w:r>
      <w:r w:rsidRPr="00A855E0">
        <w:rPr>
          <w:iCs/>
        </w:rPr>
        <w:t xml:space="preserve"> the said Article 6, which provides for the right to have a case decided within a reasonable length of time).</w:t>
      </w:r>
    </w:p>
    <w:p w:rsidRPr="00A855E0" w:rsidR="00B66328" w:rsidP="00B66328" w:rsidRDefault="00B66328">
      <w:pPr>
        <w:pStyle w:val="JuQuot"/>
        <w:rPr>
          <w:iCs/>
        </w:rPr>
      </w:pPr>
      <w:r w:rsidRPr="00A855E0">
        <w:rPr>
          <w:iCs/>
        </w:rPr>
        <w:t xml:space="preserve">The reason behind the </w:t>
      </w:r>
      <w:r>
        <w:rPr>
          <w:iCs/>
        </w:rPr>
        <w:t>enactment</w:t>
      </w:r>
      <w:r w:rsidRPr="00A855E0">
        <w:rPr>
          <w:iCs/>
        </w:rPr>
        <w:t xml:space="preserve"> of </w:t>
      </w:r>
      <w:r>
        <w:rPr>
          <w:iCs/>
        </w:rPr>
        <w:t>Law no.</w:t>
      </w:r>
      <w:r w:rsidRPr="00A855E0">
        <w:rPr>
          <w:iCs/>
        </w:rPr>
        <w:t xml:space="preserve"> 89/2001 was the need to provide a domestic judicial remedy against violations in respect of the duration of proceedings, so as to give effect to the subsidiary character of intervention on the part of the </w:t>
      </w:r>
      <w:r w:rsidR="00B04AFE">
        <w:rPr>
          <w:iCs/>
        </w:rPr>
        <w:t xml:space="preserve">Strasbourg </w:t>
      </w:r>
      <w:r w:rsidRPr="00A855E0">
        <w:rPr>
          <w:iCs/>
        </w:rPr>
        <w:t>Court, expressly</w:t>
      </w:r>
      <w:r>
        <w:rPr>
          <w:iCs/>
        </w:rPr>
        <w:t xml:space="preserve"> provided for</w:t>
      </w:r>
      <w:r w:rsidRPr="00A855E0">
        <w:rPr>
          <w:iCs/>
        </w:rPr>
        <w:t xml:space="preserve"> by the Convention (Article 35: </w:t>
      </w:r>
      <w:r w:rsidR="00C01D3E">
        <w:rPr>
          <w:iCs/>
        </w:rPr>
        <w:t>‘</w:t>
      </w:r>
      <w:r w:rsidR="004D380C">
        <w:rPr>
          <w:iCs/>
        </w:rPr>
        <w:t>T</w:t>
      </w:r>
      <w:r w:rsidRPr="00A855E0">
        <w:rPr>
          <w:iCs/>
        </w:rPr>
        <w:t>he Court may only deal with the matter after all domestic remedies have been exhausted</w:t>
      </w:r>
      <w:r w:rsidR="004D380C">
        <w:rPr>
          <w:iCs/>
        </w:rPr>
        <w:t xml:space="preserve"> ...</w:t>
      </w:r>
      <w:r w:rsidR="00C01D3E">
        <w:rPr>
          <w:iCs/>
        </w:rPr>
        <w:t>’</w:t>
      </w:r>
      <w:r w:rsidRPr="00A855E0">
        <w:rPr>
          <w:iCs/>
        </w:rPr>
        <w:t xml:space="preserve">). The European system for the protection of human rights is founded on the said principle of subsidiarity. From it derives the duty of the States which have ratified the Convention to guarantee to individuals the protection of the rights recognised by the Convention, above all in their own internal order and </w:t>
      </w:r>
      <w:r w:rsidRPr="004D380C">
        <w:rPr>
          <w:i/>
          <w:iCs/>
        </w:rPr>
        <w:t>vis-à-vis</w:t>
      </w:r>
      <w:r w:rsidRPr="00A855E0">
        <w:rPr>
          <w:iCs/>
        </w:rPr>
        <w:t xml:space="preserve"> the organs of the national judicial system. And this protection must be </w:t>
      </w:r>
      <w:r w:rsidR="00C01D3E">
        <w:rPr>
          <w:iCs/>
        </w:rPr>
        <w:t>‘</w:t>
      </w:r>
      <w:r w:rsidRPr="00A855E0">
        <w:rPr>
          <w:iCs/>
        </w:rPr>
        <w:t>effective</w:t>
      </w:r>
      <w:r w:rsidR="00C01D3E">
        <w:rPr>
          <w:iCs/>
        </w:rPr>
        <w:t>’</w:t>
      </w:r>
      <w:r w:rsidRPr="00A855E0">
        <w:rPr>
          <w:iCs/>
        </w:rPr>
        <w:t xml:space="preserve"> (Article 13 of the Convention), that is, of a kind to remedy the claim without the need for recourse to the </w:t>
      </w:r>
      <w:smartTag w:uri="urn:schemas-microsoft-com:office:smarttags" w:element="Street">
        <w:smartTag w:uri="urn:schemas-microsoft-com:office:smarttags" w:element="address">
          <w:r w:rsidRPr="00A855E0">
            <w:rPr>
              <w:iCs/>
            </w:rPr>
            <w:t xml:space="preserve">Strasbourg </w:t>
          </w:r>
          <w:r>
            <w:rPr>
              <w:iCs/>
            </w:rPr>
            <w:t>C</w:t>
          </w:r>
          <w:r w:rsidRPr="00A855E0">
            <w:rPr>
              <w:iCs/>
            </w:rPr>
            <w:t>ourt</w:t>
          </w:r>
        </w:smartTag>
      </w:smartTag>
      <w:r w:rsidRPr="00A855E0">
        <w:rPr>
          <w:iCs/>
        </w:rPr>
        <w:t>.</w:t>
      </w:r>
    </w:p>
    <w:p w:rsidRPr="00A855E0" w:rsidR="00B66328" w:rsidP="00B66328" w:rsidRDefault="00B66328">
      <w:pPr>
        <w:pStyle w:val="JuQuot"/>
        <w:rPr>
          <w:iCs/>
        </w:rPr>
      </w:pPr>
      <w:r w:rsidRPr="00A855E0">
        <w:rPr>
          <w:iCs/>
        </w:rPr>
        <w:t xml:space="preserve">The domestic remedy introduced by </w:t>
      </w:r>
      <w:r>
        <w:rPr>
          <w:iCs/>
        </w:rPr>
        <w:t>Law no.</w:t>
      </w:r>
      <w:r w:rsidRPr="00A855E0">
        <w:rPr>
          <w:iCs/>
        </w:rPr>
        <w:t xml:space="preserve"> 89/2001 did not previously exist in the Italian system, with the consequence that </w:t>
      </w:r>
      <w:r w:rsidR="004D380C">
        <w:rPr>
          <w:iCs/>
        </w:rPr>
        <w:t>applications</w:t>
      </w:r>
      <w:r w:rsidRPr="00A855E0">
        <w:rPr>
          <w:iCs/>
        </w:rPr>
        <w:t xml:space="preserve"> against </w:t>
      </w:r>
      <w:smartTag w:uri="urn:schemas-microsoft-com:office:smarttags" w:element="place">
        <w:smartTag w:uri="urn:schemas-microsoft-com:office:smarttags" w:element="country-region">
          <w:r w:rsidRPr="00A855E0">
            <w:rPr>
              <w:iCs/>
            </w:rPr>
            <w:t>Italy</w:t>
          </w:r>
        </w:smartTag>
      </w:smartTag>
      <w:r w:rsidRPr="00A855E0">
        <w:rPr>
          <w:iCs/>
        </w:rPr>
        <w:t xml:space="preserve"> </w:t>
      </w:r>
      <w:r>
        <w:rPr>
          <w:iCs/>
        </w:rPr>
        <w:t>in respect of</w:t>
      </w:r>
      <w:r w:rsidRPr="00A855E0">
        <w:rPr>
          <w:iCs/>
        </w:rPr>
        <w:t xml:space="preserve"> </w:t>
      </w:r>
      <w:r>
        <w:rPr>
          <w:iCs/>
        </w:rPr>
        <w:t xml:space="preserve">a </w:t>
      </w:r>
      <w:r w:rsidRPr="00A855E0">
        <w:rPr>
          <w:iCs/>
        </w:rPr>
        <w:t xml:space="preserve">violation of Article 6 of the Convention had </w:t>
      </w:r>
      <w:r w:rsidR="00C01D3E">
        <w:rPr>
          <w:iCs/>
        </w:rPr>
        <w:t>‘</w:t>
      </w:r>
      <w:r w:rsidRPr="00A855E0">
        <w:rPr>
          <w:iCs/>
        </w:rPr>
        <w:t>clogged</w:t>
      </w:r>
      <w:r w:rsidR="00C01D3E">
        <w:rPr>
          <w:iCs/>
        </w:rPr>
        <w:t>’</w:t>
      </w:r>
      <w:r w:rsidRPr="00A855E0">
        <w:rPr>
          <w:iCs/>
        </w:rPr>
        <w:t xml:space="preserve"> (the term used by rapporteur Follieri in the sitting of the Senate of </w:t>
      </w:r>
      <w:smartTag w:uri="urn:schemas-microsoft-com:office:smarttags" w:element="date">
        <w:smartTagPr>
          <w:attr w:name="Month" w:val="9"/>
          <w:attr w:name="Day" w:val="28"/>
          <w:attr w:name="Year" w:val="2000"/>
        </w:smartTagPr>
        <w:r w:rsidRPr="00A855E0">
          <w:rPr>
            <w:iCs/>
          </w:rPr>
          <w:t>28 September 2000</w:t>
        </w:r>
      </w:smartTag>
      <w:r w:rsidRPr="00A855E0">
        <w:rPr>
          <w:iCs/>
        </w:rPr>
        <w:t xml:space="preserve">) the </w:t>
      </w:r>
      <w:smartTag w:uri="urn:schemas-microsoft-com:office:smarttags" w:element="Street">
        <w:smartTag w:uri="urn:schemas-microsoft-com:office:smarttags" w:element="address">
          <w:r w:rsidRPr="00A855E0">
            <w:rPr>
              <w:iCs/>
            </w:rPr>
            <w:t>European Court</w:t>
          </w:r>
        </w:smartTag>
      </w:smartTag>
      <w:r w:rsidRPr="00A855E0">
        <w:rPr>
          <w:iCs/>
        </w:rPr>
        <w:t xml:space="preserve">. The </w:t>
      </w:r>
      <w:smartTag w:uri="urn:schemas-microsoft-com:office:smarttags" w:element="Street">
        <w:smartTag w:uri="urn:schemas-microsoft-com:office:smarttags" w:element="address">
          <w:r w:rsidRPr="00A855E0">
            <w:rPr>
              <w:iCs/>
            </w:rPr>
            <w:t xml:space="preserve">Strasbourg </w:t>
          </w:r>
          <w:r>
            <w:rPr>
              <w:iCs/>
            </w:rPr>
            <w:t>C</w:t>
          </w:r>
          <w:r w:rsidRPr="00A855E0">
            <w:rPr>
              <w:iCs/>
            </w:rPr>
            <w:t>ourt</w:t>
          </w:r>
        </w:smartTag>
      </w:smartTag>
      <w:r w:rsidRPr="00A855E0">
        <w:rPr>
          <w:iCs/>
        </w:rPr>
        <w:t xml:space="preserve"> observed, prior to </w:t>
      </w:r>
      <w:r>
        <w:rPr>
          <w:iCs/>
        </w:rPr>
        <w:t>Law no.</w:t>
      </w:r>
      <w:r w:rsidRPr="00A855E0">
        <w:rPr>
          <w:iCs/>
        </w:rPr>
        <w:t xml:space="preserve"> 89/2001, that the said failures to comply on the part of </w:t>
      </w:r>
      <w:smartTag w:uri="urn:schemas-microsoft-com:office:smarttags" w:element="place">
        <w:smartTag w:uri="urn:schemas-microsoft-com:office:smarttags" w:element="country-region">
          <w:r w:rsidRPr="00A855E0">
            <w:rPr>
              <w:iCs/>
            </w:rPr>
            <w:t>Italy</w:t>
          </w:r>
        </w:smartTag>
      </w:smartTag>
      <w:r w:rsidRPr="00A855E0">
        <w:rPr>
          <w:iCs/>
        </w:rPr>
        <w:t xml:space="preserve"> </w:t>
      </w:r>
      <w:r w:rsidR="00C01D3E">
        <w:rPr>
          <w:iCs/>
        </w:rPr>
        <w:t>‘</w:t>
      </w:r>
      <w:r w:rsidRPr="00A855E0">
        <w:rPr>
          <w:iCs/>
        </w:rPr>
        <w:t>reflect a continuing situation that has not yet been remedied and in respect of which litigants have</w:t>
      </w:r>
      <w:r>
        <w:rPr>
          <w:iCs/>
        </w:rPr>
        <w:t xml:space="preserve"> no </w:t>
      </w:r>
      <w:r w:rsidRPr="00A855E0">
        <w:rPr>
          <w:iCs/>
        </w:rPr>
        <w:t>domestic remedy. This accumulation of breaches accordingly constitutes a practice that is incompatible with the Convention</w:t>
      </w:r>
      <w:r w:rsidR="00C01D3E">
        <w:rPr>
          <w:iCs/>
        </w:rPr>
        <w:t>’</w:t>
      </w:r>
      <w:r w:rsidRPr="00A855E0">
        <w:rPr>
          <w:iCs/>
        </w:rPr>
        <w:t xml:space="preserve"> (</w:t>
      </w:r>
      <w:r w:rsidR="003A18B7">
        <w:rPr>
          <w:iCs/>
        </w:rPr>
        <w:t>see the f</w:t>
      </w:r>
      <w:r w:rsidRPr="00A855E0">
        <w:rPr>
          <w:iCs/>
        </w:rPr>
        <w:t xml:space="preserve">our judgments of the Court </w:t>
      </w:r>
      <w:r w:rsidR="003A18B7">
        <w:rPr>
          <w:iCs/>
        </w:rPr>
        <w:t>delivered on</w:t>
      </w:r>
      <w:r w:rsidRPr="00A855E0">
        <w:rPr>
          <w:iCs/>
        </w:rPr>
        <w:t xml:space="preserve"> </w:t>
      </w:r>
      <w:smartTag w:uri="urn:schemas-microsoft-com:office:smarttags" w:element="date">
        <w:smartTagPr>
          <w:attr w:name="Month" w:val="7"/>
          <w:attr w:name="Day" w:val="28"/>
          <w:attr w:name="Year" w:val="1999"/>
        </w:smartTagPr>
        <w:r w:rsidRPr="00A855E0">
          <w:rPr>
            <w:iCs/>
          </w:rPr>
          <w:t xml:space="preserve">28 July </w:t>
        </w:r>
        <w:smartTag w:uri="urn:schemas-microsoft-com:office:smarttags" w:element="metricconverter">
          <w:smartTagPr>
            <w:attr w:name="ProductID" w:val="1999 in"/>
          </w:smartTagPr>
          <w:r w:rsidRPr="00A855E0">
            <w:rPr>
              <w:iCs/>
            </w:rPr>
            <w:t>1999</w:t>
          </w:r>
        </w:smartTag>
      </w:smartTag>
      <w:r w:rsidRPr="00A855E0">
        <w:rPr>
          <w:iCs/>
        </w:rPr>
        <w:t xml:space="preserve"> </w:t>
      </w:r>
      <w:r>
        <w:rPr>
          <w:iCs/>
        </w:rPr>
        <w:t>in</w:t>
      </w:r>
      <w:r>
        <w:rPr>
          <w:iCs/>
        </w:rPr>
        <w:t xml:space="preserve"> </w:t>
      </w:r>
      <w:r w:rsidRPr="003A18B7">
        <w:rPr>
          <w:i/>
          <w:iCs/>
        </w:rPr>
        <w:t>Bottazzi</w:t>
      </w:r>
      <w:r w:rsidRPr="004D380C">
        <w:rPr>
          <w:iCs/>
        </w:rPr>
        <w:t>,</w:t>
      </w:r>
      <w:r w:rsidRPr="003A18B7">
        <w:rPr>
          <w:i/>
          <w:iCs/>
        </w:rPr>
        <w:t xml:space="preserve"> Di Mauro</w:t>
      </w:r>
      <w:r w:rsidRPr="004D380C">
        <w:rPr>
          <w:iCs/>
        </w:rPr>
        <w:t>,</w:t>
      </w:r>
      <w:r w:rsidRPr="003A18B7">
        <w:rPr>
          <w:i/>
          <w:iCs/>
        </w:rPr>
        <w:t xml:space="preserve"> Ferrari</w:t>
      </w:r>
      <w:r w:rsidRPr="00A855E0">
        <w:rPr>
          <w:iCs/>
        </w:rPr>
        <w:t xml:space="preserve"> and </w:t>
      </w:r>
      <w:r w:rsidRPr="003A18B7">
        <w:rPr>
          <w:i/>
          <w:iCs/>
        </w:rPr>
        <w:t>A.P</w:t>
      </w:r>
      <w:r>
        <w:rPr>
          <w:iCs/>
        </w:rPr>
        <w:t>.</w:t>
      </w:r>
      <w:r w:rsidRPr="00A855E0">
        <w:rPr>
          <w:iCs/>
        </w:rPr>
        <w:t>).</w:t>
      </w:r>
    </w:p>
    <w:p w:rsidRPr="00A855E0" w:rsidR="00B66328" w:rsidP="00B66328" w:rsidRDefault="00B66328">
      <w:pPr>
        <w:pStyle w:val="JuQuot"/>
        <w:rPr>
          <w:iCs/>
        </w:rPr>
      </w:pPr>
      <w:r>
        <w:rPr>
          <w:iCs/>
        </w:rPr>
        <w:t>Law no.</w:t>
      </w:r>
      <w:r w:rsidRPr="00A855E0">
        <w:rPr>
          <w:iCs/>
        </w:rPr>
        <w:t xml:space="preserve"> 89/2001 constitutes the domestic remedy </w:t>
      </w:r>
      <w:r>
        <w:rPr>
          <w:iCs/>
        </w:rPr>
        <w:t>to which</w:t>
      </w:r>
      <w:r w:rsidRPr="00A855E0">
        <w:rPr>
          <w:iCs/>
        </w:rPr>
        <w:t xml:space="preserve"> </w:t>
      </w:r>
      <w:r>
        <w:rPr>
          <w:iCs/>
        </w:rPr>
        <w:t>a</w:t>
      </w:r>
      <w:r w:rsidRPr="00A855E0">
        <w:rPr>
          <w:iCs/>
        </w:rPr>
        <w:t xml:space="preserve"> </w:t>
      </w:r>
      <w:r w:rsidR="00C01D3E">
        <w:rPr>
          <w:iCs/>
        </w:rPr>
        <w:t>‘</w:t>
      </w:r>
      <w:r w:rsidRPr="00A855E0">
        <w:rPr>
          <w:iCs/>
        </w:rPr>
        <w:t>victim of a violation</w:t>
      </w:r>
      <w:r w:rsidR="00C01D3E">
        <w:rPr>
          <w:iCs/>
        </w:rPr>
        <w:t>’</w:t>
      </w:r>
      <w:r w:rsidRPr="00A855E0">
        <w:rPr>
          <w:iCs/>
        </w:rPr>
        <w:t xml:space="preserve"> (</w:t>
      </w:r>
      <w:r>
        <w:rPr>
          <w:iCs/>
        </w:rPr>
        <w:t>as</w:t>
      </w:r>
      <w:r w:rsidRPr="00A855E0">
        <w:rPr>
          <w:iCs/>
        </w:rPr>
        <w:t xml:space="preserve"> defined by Article 34 of the Convention) of Article 6 (failure to </w:t>
      </w:r>
      <w:r>
        <w:rPr>
          <w:iCs/>
        </w:rPr>
        <w:t>comply with the</w:t>
      </w:r>
      <w:r w:rsidRPr="00A855E0">
        <w:rPr>
          <w:iCs/>
        </w:rPr>
        <w:t xml:space="preserve"> reasonable</w:t>
      </w:r>
      <w:r>
        <w:rPr>
          <w:iCs/>
        </w:rPr>
        <w:t>-</w:t>
      </w:r>
      <w:r w:rsidRPr="00A855E0">
        <w:rPr>
          <w:iCs/>
        </w:rPr>
        <w:t>time</w:t>
      </w:r>
      <w:r>
        <w:rPr>
          <w:iCs/>
        </w:rPr>
        <w:t xml:space="preserve"> requirement</w:t>
      </w:r>
      <w:r w:rsidRPr="00A855E0">
        <w:rPr>
          <w:iCs/>
        </w:rPr>
        <w:t xml:space="preserve">) must have recourse before applying to the European Court to claim the </w:t>
      </w:r>
      <w:r w:rsidR="00C01D3E">
        <w:rPr>
          <w:iCs/>
        </w:rPr>
        <w:t>‘</w:t>
      </w:r>
      <w:r w:rsidRPr="00A855E0">
        <w:rPr>
          <w:iCs/>
        </w:rPr>
        <w:t>just satisfaction</w:t>
      </w:r>
      <w:r w:rsidR="00C01D3E">
        <w:rPr>
          <w:iCs/>
        </w:rPr>
        <w:t>’</w:t>
      </w:r>
      <w:r w:rsidRPr="00A855E0">
        <w:rPr>
          <w:iCs/>
        </w:rPr>
        <w:t xml:space="preserve"> provided for in Article 41 of the Convention, which, when the violation exists, is only </w:t>
      </w:r>
      <w:r>
        <w:rPr>
          <w:iCs/>
        </w:rPr>
        <w:t>awarded</w:t>
      </w:r>
      <w:r w:rsidRPr="00A855E0">
        <w:rPr>
          <w:iCs/>
        </w:rPr>
        <w:t xml:space="preserve"> by the Court </w:t>
      </w:r>
      <w:r w:rsidR="00C01D3E">
        <w:rPr>
          <w:iCs/>
        </w:rPr>
        <w:t>‘</w:t>
      </w:r>
      <w:r w:rsidRPr="00A855E0">
        <w:rPr>
          <w:iCs/>
        </w:rPr>
        <w:t>if the internal law of the High Contracting Party concerned allows only partial reparation to be made</w:t>
      </w:r>
      <w:r w:rsidR="00C01D3E">
        <w:rPr>
          <w:iCs/>
        </w:rPr>
        <w:t>’</w:t>
      </w:r>
      <w:r w:rsidRPr="00A855E0">
        <w:rPr>
          <w:iCs/>
        </w:rPr>
        <w:t xml:space="preserve">. </w:t>
      </w:r>
      <w:r>
        <w:rPr>
          <w:iCs/>
        </w:rPr>
        <w:t>Law no.</w:t>
      </w:r>
      <w:r w:rsidRPr="00A855E0">
        <w:rPr>
          <w:iCs/>
        </w:rPr>
        <w:t xml:space="preserve"> 89/2001 has therefore allowed the European Court to declare inadmissible applications </w:t>
      </w:r>
      <w:r>
        <w:rPr>
          <w:iCs/>
        </w:rPr>
        <w:t>lodged with</w:t>
      </w:r>
      <w:r w:rsidRPr="00A855E0">
        <w:rPr>
          <w:iCs/>
        </w:rPr>
        <w:t xml:space="preserve"> it</w:t>
      </w:r>
      <w:r>
        <w:rPr>
          <w:iCs/>
        </w:rPr>
        <w:t xml:space="preserve"> </w:t>
      </w:r>
      <w:r w:rsidRPr="00A855E0">
        <w:rPr>
          <w:iCs/>
        </w:rPr>
        <w:t>(</w:t>
      </w:r>
      <w:r>
        <w:rPr>
          <w:iCs/>
        </w:rPr>
        <w:t>including</w:t>
      </w:r>
      <w:r w:rsidRPr="00A855E0">
        <w:rPr>
          <w:iCs/>
        </w:rPr>
        <w:t xml:space="preserve"> </w:t>
      </w:r>
      <w:r>
        <w:rPr>
          <w:iCs/>
        </w:rPr>
        <w:t>before the Act was passed)</w:t>
      </w:r>
      <w:r w:rsidRPr="00A855E0">
        <w:rPr>
          <w:iCs/>
        </w:rPr>
        <w:t xml:space="preserve"> and aimed at obtaining </w:t>
      </w:r>
      <w:r w:rsidR="00091A2B">
        <w:rPr>
          <w:iCs/>
        </w:rPr>
        <w:t xml:space="preserve">the </w:t>
      </w:r>
      <w:r w:rsidRPr="00A855E0">
        <w:rPr>
          <w:iCs/>
        </w:rPr>
        <w:t>just satisfaction provided for in Article 41 of the Convention for the excessive length of proceedings (</w:t>
      </w:r>
      <w:r w:rsidR="004D380C">
        <w:rPr>
          <w:iCs/>
        </w:rPr>
        <w:t xml:space="preserve">see </w:t>
      </w:r>
      <w:r w:rsidRPr="00E577AF">
        <w:rPr>
          <w:i/>
          <w:iCs/>
        </w:rPr>
        <w:t>Brusco v. Italy</w:t>
      </w:r>
      <w:r>
        <w:rPr>
          <w:iCs/>
        </w:rPr>
        <w:t>,</w:t>
      </w:r>
      <w:r w:rsidRPr="00A855E0">
        <w:rPr>
          <w:iCs/>
        </w:rPr>
        <w:t xml:space="preserve"> decision</w:t>
      </w:r>
      <w:r>
        <w:rPr>
          <w:iCs/>
        </w:rPr>
        <w:t xml:space="preserve"> of 6 September 2001</w:t>
      </w:r>
      <w:r w:rsidRPr="00A855E0">
        <w:rPr>
          <w:iCs/>
        </w:rPr>
        <w:t>).</w:t>
      </w:r>
    </w:p>
    <w:p w:rsidRPr="00A855E0" w:rsidR="00B66328" w:rsidP="00B66328" w:rsidRDefault="00B66328">
      <w:pPr>
        <w:pStyle w:val="JuQuot"/>
        <w:rPr>
          <w:iCs/>
        </w:rPr>
      </w:pPr>
      <w:r w:rsidRPr="00A855E0">
        <w:rPr>
          <w:iCs/>
        </w:rPr>
        <w:t xml:space="preserve">This mechanism for implementation of the Convention and observance of the principle of subsidiarity in respect of interventions of the European Court of Strasbourg does not operate, however, in cases in which the Court holds that the consequences of the established violation of the Convention have not been redressed by domestic law or that this has been done only </w:t>
      </w:r>
      <w:r w:rsidR="00C01D3E">
        <w:rPr>
          <w:iCs/>
        </w:rPr>
        <w:t>‘</w:t>
      </w:r>
      <w:r w:rsidRPr="00A855E0">
        <w:rPr>
          <w:iCs/>
        </w:rPr>
        <w:t>partially</w:t>
      </w:r>
      <w:r w:rsidR="00C01D3E">
        <w:rPr>
          <w:iCs/>
        </w:rPr>
        <w:t>’</w:t>
      </w:r>
      <w:r w:rsidRPr="00A855E0">
        <w:rPr>
          <w:iCs/>
        </w:rPr>
        <w:t xml:space="preserve">, because in such an event the said Article 41 provides for the intervention of the European Court to protect the </w:t>
      </w:r>
      <w:r w:rsidR="00C01D3E">
        <w:rPr>
          <w:iCs/>
        </w:rPr>
        <w:t>‘</w:t>
      </w:r>
      <w:r w:rsidRPr="00A855E0">
        <w:rPr>
          <w:iCs/>
        </w:rPr>
        <w:t>victim of the violation</w:t>
      </w:r>
      <w:r w:rsidR="00C01D3E">
        <w:rPr>
          <w:iCs/>
        </w:rPr>
        <w:t>’</w:t>
      </w:r>
      <w:r w:rsidRPr="00A855E0">
        <w:rPr>
          <w:iCs/>
        </w:rPr>
        <w:t xml:space="preserve">. In such cases an individual application to the </w:t>
      </w:r>
      <w:smartTag w:uri="urn:schemas-microsoft-com:office:smarttags" w:element="Street">
        <w:smartTag w:uri="urn:schemas-microsoft-com:office:smarttags" w:element="address">
          <w:r w:rsidRPr="00A855E0">
            <w:rPr>
              <w:iCs/>
            </w:rPr>
            <w:t>Strasbourg</w:t>
          </w:r>
          <w:r>
            <w:rPr>
              <w:iCs/>
            </w:rPr>
            <w:t xml:space="preserve"> C</w:t>
          </w:r>
          <w:r w:rsidRPr="00A855E0">
            <w:rPr>
              <w:iCs/>
            </w:rPr>
            <w:t>ourt</w:t>
          </w:r>
        </w:smartTag>
      </w:smartTag>
      <w:r w:rsidRPr="00A855E0">
        <w:rPr>
          <w:iCs/>
        </w:rPr>
        <w:t xml:space="preserve"> on the basis of Article 34 of the Convention is admissible (</w:t>
      </w:r>
      <w:r w:rsidR="00480631">
        <w:rPr>
          <w:iCs/>
        </w:rPr>
        <w:t xml:space="preserve">see </w:t>
      </w:r>
      <w:r>
        <w:rPr>
          <w:i/>
          <w:iCs/>
        </w:rPr>
        <w:t>Scordino</w:t>
      </w:r>
      <w:r w:rsidRPr="00A855E0">
        <w:rPr>
          <w:iCs/>
        </w:rPr>
        <w:t xml:space="preserve"> </w:t>
      </w:r>
      <w:r w:rsidRPr="00FE7576">
        <w:rPr>
          <w:i/>
          <w:iCs/>
        </w:rPr>
        <w:t>v. Italy</w:t>
      </w:r>
      <w:r w:rsidRPr="00480631">
        <w:rPr>
          <w:iCs/>
        </w:rPr>
        <w:t xml:space="preserve">, </w:t>
      </w:r>
      <w:r>
        <w:rPr>
          <w:iCs/>
        </w:rPr>
        <w:t xml:space="preserve">decision of </w:t>
      </w:r>
      <w:smartTag w:uri="urn:schemas-microsoft-com:office:smarttags" w:element="date">
        <w:smartTagPr>
          <w:attr w:name="Month" w:val="3"/>
          <w:attr w:name="Day" w:val="27"/>
          <w:attr w:name="Year" w:val="2003"/>
        </w:smartTagPr>
        <w:r>
          <w:rPr>
            <w:iCs/>
          </w:rPr>
          <w:t>27 March 2003</w:t>
        </w:r>
      </w:smartTag>
      <w:r w:rsidRPr="00A855E0">
        <w:rPr>
          <w:iCs/>
        </w:rPr>
        <w:t xml:space="preserve">) and the Court acts directly to protect the rights of </w:t>
      </w:r>
      <w:r>
        <w:rPr>
          <w:iCs/>
        </w:rPr>
        <w:t xml:space="preserve">the </w:t>
      </w:r>
      <w:r w:rsidRPr="00A855E0">
        <w:rPr>
          <w:iCs/>
        </w:rPr>
        <w:t xml:space="preserve">victim whom it considers not to have been </w:t>
      </w:r>
      <w:r>
        <w:rPr>
          <w:iCs/>
        </w:rPr>
        <w:t>adequately</w:t>
      </w:r>
      <w:r w:rsidRPr="00A855E0">
        <w:rPr>
          <w:iCs/>
        </w:rPr>
        <w:t xml:space="preserve"> protected by domestic law.</w:t>
      </w:r>
    </w:p>
    <w:p w:rsidRPr="00A855E0" w:rsidR="00B66328" w:rsidP="00B66328" w:rsidRDefault="00B66328">
      <w:pPr>
        <w:pStyle w:val="JuQuot"/>
        <w:rPr>
          <w:iCs/>
        </w:rPr>
      </w:pPr>
      <w:r w:rsidRPr="00A855E0">
        <w:rPr>
          <w:iCs/>
        </w:rPr>
        <w:t xml:space="preserve">The judge of the </w:t>
      </w:r>
      <w:r w:rsidRPr="00B86D84">
        <w:rPr>
          <w:iCs/>
        </w:rPr>
        <w:t>adequacy or inadequacy</w:t>
      </w:r>
      <w:r w:rsidRPr="00A855E0">
        <w:rPr>
          <w:iCs/>
        </w:rPr>
        <w:t xml:space="preserve"> of the protection that the victim has had from domestic law is, obviously, the European Court, whose duty it is to apply Article</w:t>
      </w:r>
      <w:r w:rsidR="00480631">
        <w:rPr>
          <w:iCs/>
        </w:rPr>
        <w:t> </w:t>
      </w:r>
      <w:r w:rsidRPr="00A855E0">
        <w:rPr>
          <w:iCs/>
        </w:rPr>
        <w:t xml:space="preserve">41 of the Convention to ascertain whether, in the presence of a violation of a provision of the </w:t>
      </w:r>
      <w:r w:rsidR="00480631">
        <w:rPr>
          <w:iCs/>
        </w:rPr>
        <w:t>Convention</w:t>
      </w:r>
      <w:r w:rsidRPr="00A855E0">
        <w:rPr>
          <w:iCs/>
        </w:rPr>
        <w:t xml:space="preserve">, the internal law has been able to redress </w:t>
      </w:r>
      <w:r w:rsidR="00480631">
        <w:rPr>
          <w:iCs/>
        </w:rPr>
        <w:t xml:space="preserve">fully </w:t>
      </w:r>
      <w:r w:rsidRPr="00A855E0">
        <w:rPr>
          <w:iCs/>
        </w:rPr>
        <w:t>the consequences of this violation.</w:t>
      </w:r>
    </w:p>
    <w:p w:rsidRPr="00A855E0" w:rsidR="00B66328" w:rsidP="00B66328" w:rsidRDefault="00B66328">
      <w:pPr>
        <w:pStyle w:val="JuQuot"/>
        <w:rPr>
          <w:iCs/>
        </w:rPr>
      </w:pPr>
      <w:r w:rsidRPr="00A855E0">
        <w:rPr>
          <w:iCs/>
        </w:rPr>
        <w:t xml:space="preserve">The argument whereby, in applying </w:t>
      </w:r>
      <w:r>
        <w:rPr>
          <w:iCs/>
        </w:rPr>
        <w:t>Law no.</w:t>
      </w:r>
      <w:r w:rsidRPr="00A855E0">
        <w:rPr>
          <w:iCs/>
        </w:rPr>
        <w:t xml:space="preserve"> 89/2001, the Italian court</w:t>
      </w:r>
      <w:r w:rsidR="00480631">
        <w:rPr>
          <w:iCs/>
        </w:rPr>
        <w:t>s</w:t>
      </w:r>
      <w:r w:rsidRPr="00A855E0">
        <w:rPr>
          <w:iCs/>
        </w:rPr>
        <w:t xml:space="preserve"> may follow a</w:t>
      </w:r>
      <w:r>
        <w:rPr>
          <w:iCs/>
        </w:rPr>
        <w:t xml:space="preserve"> differe</w:t>
      </w:r>
      <w:r w:rsidRPr="00A855E0">
        <w:rPr>
          <w:iCs/>
        </w:rPr>
        <w:t>n</w:t>
      </w:r>
      <w:r>
        <w:rPr>
          <w:iCs/>
        </w:rPr>
        <w:t>t</w:t>
      </w:r>
      <w:r w:rsidRPr="00A855E0">
        <w:rPr>
          <w:iCs/>
        </w:rPr>
        <w:t xml:space="preserve"> interpretation </w:t>
      </w:r>
      <w:r>
        <w:rPr>
          <w:iCs/>
        </w:rPr>
        <w:t xml:space="preserve">from </w:t>
      </w:r>
      <w:r w:rsidRPr="00A855E0">
        <w:rPr>
          <w:iCs/>
        </w:rPr>
        <w:t xml:space="preserve">that which the European Court has given </w:t>
      </w:r>
      <w:r>
        <w:rPr>
          <w:iCs/>
        </w:rPr>
        <w:t>to</w:t>
      </w:r>
      <w:r w:rsidRPr="00A855E0">
        <w:rPr>
          <w:iCs/>
        </w:rPr>
        <w:t xml:space="preserve"> the provisions of Article 6 of the </w:t>
      </w:r>
      <w:r w:rsidR="003A18B7">
        <w:rPr>
          <w:iCs/>
        </w:rPr>
        <w:t>Convention (</w:t>
      </w:r>
      <w:r w:rsidRPr="00A855E0">
        <w:rPr>
          <w:iCs/>
        </w:rPr>
        <w:t>violation of which is the fact giving entitlement to the right to compensation attri</w:t>
      </w:r>
      <w:r>
        <w:rPr>
          <w:iCs/>
        </w:rPr>
        <w:t>buted by the said national law)</w:t>
      </w:r>
      <w:r w:rsidRPr="00A855E0">
        <w:rPr>
          <w:iCs/>
        </w:rPr>
        <w:t xml:space="preserve"> </w:t>
      </w:r>
      <w:r>
        <w:rPr>
          <w:iCs/>
        </w:rPr>
        <w:t>implies</w:t>
      </w:r>
      <w:r w:rsidRPr="00A855E0">
        <w:rPr>
          <w:iCs/>
        </w:rPr>
        <w:t xml:space="preserve"> that the victim of the violation, if he or she receives reparation at national level considered </w:t>
      </w:r>
      <w:r>
        <w:rPr>
          <w:iCs/>
        </w:rPr>
        <w:t>inadequate</w:t>
      </w:r>
      <w:r w:rsidRPr="00A855E0">
        <w:rPr>
          <w:iCs/>
        </w:rPr>
        <w:t xml:space="preserve"> by the European Court, </w:t>
      </w:r>
      <w:r>
        <w:rPr>
          <w:iCs/>
        </w:rPr>
        <w:t>must</w:t>
      </w:r>
      <w:r w:rsidRPr="00A855E0">
        <w:rPr>
          <w:iCs/>
        </w:rPr>
        <w:t xml:space="preserve"> obtain the just satisfaction provided for in Article 41 of the Convention from the latter Court. This would </w:t>
      </w:r>
      <w:r>
        <w:rPr>
          <w:iCs/>
        </w:rPr>
        <w:t>defeat the purpose of t</w:t>
      </w:r>
      <w:r w:rsidRPr="00A855E0">
        <w:rPr>
          <w:iCs/>
        </w:rPr>
        <w:t xml:space="preserve">he remedy provided for in Italian law by </w:t>
      </w:r>
      <w:r>
        <w:rPr>
          <w:iCs/>
        </w:rPr>
        <w:t>Law no.</w:t>
      </w:r>
      <w:r w:rsidRPr="00A855E0">
        <w:rPr>
          <w:iCs/>
        </w:rPr>
        <w:t xml:space="preserve"> 89/2001 and entail a violation of the principle of the subsidiarity of the intervention of the </w:t>
      </w:r>
      <w:smartTag w:uri="urn:schemas-microsoft-com:office:smarttags" w:element="Street">
        <w:smartTag w:uri="urn:schemas-microsoft-com:office:smarttags" w:element="address">
          <w:r w:rsidRPr="00A855E0">
            <w:rPr>
              <w:iCs/>
            </w:rPr>
            <w:t>Strasbourg</w:t>
          </w:r>
          <w:r>
            <w:rPr>
              <w:iCs/>
            </w:rPr>
            <w:t xml:space="preserve"> C</w:t>
          </w:r>
          <w:r w:rsidRPr="00A855E0">
            <w:rPr>
              <w:iCs/>
            </w:rPr>
            <w:t>ourt</w:t>
          </w:r>
        </w:smartTag>
      </w:smartTag>
      <w:r w:rsidRPr="00A855E0">
        <w:rPr>
          <w:iCs/>
        </w:rPr>
        <w:t>.</w:t>
      </w:r>
    </w:p>
    <w:p w:rsidRPr="00A855E0" w:rsidR="00B66328" w:rsidP="00B66328" w:rsidRDefault="00B66328">
      <w:pPr>
        <w:pStyle w:val="JuQuot"/>
        <w:rPr>
          <w:iCs/>
        </w:rPr>
      </w:pPr>
      <w:r w:rsidRPr="00A855E0">
        <w:rPr>
          <w:iCs/>
        </w:rPr>
        <w:t xml:space="preserve">It </w:t>
      </w:r>
      <w:r w:rsidR="00BB43E5">
        <w:rPr>
          <w:iCs/>
        </w:rPr>
        <w:t>is</w:t>
      </w:r>
      <w:r w:rsidRPr="00A855E0">
        <w:rPr>
          <w:iCs/>
        </w:rPr>
        <w:t xml:space="preserve"> therefore </w:t>
      </w:r>
      <w:r w:rsidR="00BB43E5">
        <w:rPr>
          <w:iCs/>
        </w:rPr>
        <w:t xml:space="preserve">necessary to concur </w:t>
      </w:r>
      <w:r w:rsidRPr="00A855E0">
        <w:rPr>
          <w:iCs/>
        </w:rPr>
        <w:t xml:space="preserve">with the European Court of Human Rights, which, in the </w:t>
      </w:r>
      <w:r>
        <w:rPr>
          <w:iCs/>
        </w:rPr>
        <w:t xml:space="preserve">above-mentioned </w:t>
      </w:r>
      <w:r w:rsidRPr="00A855E0">
        <w:rPr>
          <w:iCs/>
        </w:rPr>
        <w:t xml:space="preserve">decision on the </w:t>
      </w:r>
      <w:r w:rsidRPr="00FE7576">
        <w:rPr>
          <w:i/>
          <w:iCs/>
        </w:rPr>
        <w:t>Scordino</w:t>
      </w:r>
      <w:r w:rsidRPr="00A855E0">
        <w:rPr>
          <w:iCs/>
        </w:rPr>
        <w:t xml:space="preserve"> application (</w:t>
      </w:r>
      <w:r>
        <w:rPr>
          <w:iCs/>
        </w:rPr>
        <w:t>concerning</w:t>
      </w:r>
      <w:r w:rsidRPr="00A855E0">
        <w:rPr>
          <w:iCs/>
        </w:rPr>
        <w:t xml:space="preserve"> the </w:t>
      </w:r>
      <w:r>
        <w:rPr>
          <w:iCs/>
        </w:rPr>
        <w:t>inadequacy</w:t>
      </w:r>
      <w:r w:rsidRPr="00A855E0">
        <w:rPr>
          <w:iCs/>
        </w:rPr>
        <w:t xml:space="preserve"> of the protection afforded by the Italian courts in implementing </w:t>
      </w:r>
      <w:r>
        <w:rPr>
          <w:iCs/>
        </w:rPr>
        <w:t>Law no.</w:t>
      </w:r>
      <w:r w:rsidR="002A7BAA">
        <w:rPr>
          <w:iCs/>
        </w:rPr>
        <w:t> </w:t>
      </w:r>
      <w:r w:rsidRPr="00A855E0">
        <w:rPr>
          <w:iCs/>
        </w:rPr>
        <w:t xml:space="preserve">89/2001), affirmed that </w:t>
      </w:r>
      <w:r w:rsidR="00C01D3E">
        <w:rPr>
          <w:iCs/>
        </w:rPr>
        <w:t>‘</w:t>
      </w:r>
      <w:r w:rsidRPr="00A855E0">
        <w:rPr>
          <w:iCs/>
        </w:rPr>
        <w:t xml:space="preserve">it follows from the principle of subsidiarity </w:t>
      </w:r>
      <w:r w:rsidR="00204CB7">
        <w:rPr>
          <w:iCs/>
        </w:rPr>
        <w:t>...</w:t>
      </w:r>
      <w:r w:rsidRPr="00A855E0">
        <w:rPr>
          <w:iCs/>
        </w:rPr>
        <w:t xml:space="preserve"> that the national courts must, where possible, interpret and apply domestic law in accordance with the Convention</w:t>
      </w:r>
      <w:r w:rsidR="00C01D3E">
        <w:rPr>
          <w:iCs/>
        </w:rPr>
        <w:t>’</w:t>
      </w:r>
      <w:r w:rsidRPr="00A855E0">
        <w:rPr>
          <w:iCs/>
        </w:rPr>
        <w:t>.</w:t>
      </w:r>
    </w:p>
    <w:p w:rsidRPr="00A855E0" w:rsidR="00B66328" w:rsidP="00B66328" w:rsidRDefault="00B66328">
      <w:pPr>
        <w:pStyle w:val="JuQuot"/>
        <w:rPr>
          <w:iCs/>
        </w:rPr>
      </w:pPr>
      <w:r w:rsidRPr="00A855E0">
        <w:rPr>
          <w:iCs/>
        </w:rPr>
        <w:t xml:space="preserve"> </w:t>
      </w:r>
      <w:r w:rsidR="00204CB7">
        <w:rPr>
          <w:iCs/>
        </w:rPr>
        <w:t>...</w:t>
      </w:r>
      <w:r w:rsidRPr="00A855E0">
        <w:rPr>
          <w:iCs/>
        </w:rPr>
        <w:t xml:space="preserve"> The preparatory </w:t>
      </w:r>
      <w:r>
        <w:rPr>
          <w:iCs/>
        </w:rPr>
        <w:t>documents</w:t>
      </w:r>
      <w:r w:rsidRPr="00A855E0">
        <w:rPr>
          <w:iCs/>
        </w:rPr>
        <w:t xml:space="preserve"> </w:t>
      </w:r>
      <w:r>
        <w:rPr>
          <w:iCs/>
        </w:rPr>
        <w:t>of</w:t>
      </w:r>
      <w:r w:rsidRPr="00A855E0">
        <w:rPr>
          <w:iCs/>
        </w:rPr>
        <w:t xml:space="preserve"> </w:t>
      </w:r>
      <w:r>
        <w:rPr>
          <w:iCs/>
        </w:rPr>
        <w:t>Law no.</w:t>
      </w:r>
      <w:r w:rsidRPr="00A855E0">
        <w:rPr>
          <w:iCs/>
        </w:rPr>
        <w:t xml:space="preserve"> 89/2001 are even more explicit. In the report concerning the bill of Senator Pinto (proceedings of the Senate </w:t>
      </w:r>
      <w:r>
        <w:rPr>
          <w:iCs/>
        </w:rPr>
        <w:t>n</w:t>
      </w:r>
      <w:r w:rsidRPr="00A855E0">
        <w:rPr>
          <w:iCs/>
        </w:rPr>
        <w:t>o. 3</w:t>
      </w:r>
      <w:r>
        <w:rPr>
          <w:iCs/>
        </w:rPr>
        <w:t>813 of 16 </w:t>
      </w:r>
      <w:r w:rsidRPr="00A855E0">
        <w:rPr>
          <w:iCs/>
        </w:rPr>
        <w:t xml:space="preserve">February 1999) it is affirmed that the compensatory mechanism proposed in the legislative initiative (and then adopted by the Act) secures for the applicant </w:t>
      </w:r>
      <w:r w:rsidR="00C01D3E">
        <w:rPr>
          <w:iCs/>
        </w:rPr>
        <w:t>‘</w:t>
      </w:r>
      <w:r w:rsidRPr="00A855E0">
        <w:rPr>
          <w:iCs/>
        </w:rPr>
        <w:t>a protection analogous to that which he or she would receive in the international court</w:t>
      </w:r>
      <w:r w:rsidR="00C01D3E">
        <w:rPr>
          <w:iCs/>
        </w:rPr>
        <w:t>’</w:t>
      </w:r>
      <w:r w:rsidRPr="00A855E0">
        <w:rPr>
          <w:iCs/>
        </w:rPr>
        <w:t xml:space="preserve">, as the direct reference to Article 6 of the Convention makes it possible to transfer to domestic level </w:t>
      </w:r>
      <w:r w:rsidR="00C01D3E">
        <w:rPr>
          <w:iCs/>
        </w:rPr>
        <w:t>‘</w:t>
      </w:r>
      <w:r w:rsidRPr="00A855E0">
        <w:rPr>
          <w:iCs/>
        </w:rPr>
        <w:t>the limits of applicability of the same provision existing at international level, limits which depend essentially on the State and on the development of the case-law of the Strasbourg authorities, especially that of the European Court of Human Rights, whose decisions must therefore guide</w:t>
      </w:r>
      <w:r w:rsidR="003A18B7">
        <w:rPr>
          <w:iCs/>
        </w:rPr>
        <w:t xml:space="preserve"> </w:t>
      </w:r>
      <w:r w:rsidR="00A31EB8">
        <w:rPr>
          <w:iCs/>
        </w:rPr>
        <w:t>...</w:t>
      </w:r>
      <w:r w:rsidRPr="00A855E0">
        <w:rPr>
          <w:iCs/>
        </w:rPr>
        <w:t xml:space="preserve"> the domestic court in the definition of these limits</w:t>
      </w:r>
      <w:r w:rsidR="00C01D3E">
        <w:rPr>
          <w:iCs/>
        </w:rPr>
        <w:t>’</w:t>
      </w:r>
      <w:r w:rsidRPr="00A855E0">
        <w:rPr>
          <w:iCs/>
        </w:rPr>
        <w:t>.</w:t>
      </w:r>
    </w:p>
    <w:p w:rsidR="00480631" w:rsidP="00B66328" w:rsidRDefault="00480631">
      <w:pPr>
        <w:pStyle w:val="JuQuot"/>
        <w:rPr>
          <w:iCs/>
        </w:rPr>
      </w:pPr>
      <w:r>
        <w:rPr>
          <w:iCs/>
        </w:rPr>
        <w:t>...</w:t>
      </w:r>
    </w:p>
    <w:p w:rsidRPr="00A855E0" w:rsidR="00B66328" w:rsidP="00B66328" w:rsidRDefault="008C6CE3">
      <w:pPr>
        <w:pStyle w:val="JuQuot"/>
        <w:rPr>
          <w:iCs/>
        </w:rPr>
      </w:pPr>
      <w:r>
        <w:rPr>
          <w:iCs/>
        </w:rPr>
        <w:t>6.  </w:t>
      </w:r>
      <w:r w:rsidRPr="00A855E0" w:rsidR="00B66328">
        <w:rPr>
          <w:iCs/>
        </w:rPr>
        <w:t xml:space="preserve">The considerations expounded in </w:t>
      </w:r>
      <w:r w:rsidR="00B66328">
        <w:rPr>
          <w:iCs/>
        </w:rPr>
        <w:t xml:space="preserve">sections </w:t>
      </w:r>
      <w:r w:rsidRPr="00A855E0" w:rsidR="00B66328">
        <w:rPr>
          <w:iCs/>
        </w:rPr>
        <w:t>3</w:t>
      </w:r>
      <w:r w:rsidR="00480631">
        <w:rPr>
          <w:iCs/>
        </w:rPr>
        <w:t xml:space="preserve"> to </w:t>
      </w:r>
      <w:r w:rsidRPr="00A855E0" w:rsidR="00B66328">
        <w:rPr>
          <w:iCs/>
        </w:rPr>
        <w:t>5</w:t>
      </w:r>
      <w:r w:rsidR="00B66328">
        <w:rPr>
          <w:iCs/>
        </w:rPr>
        <w:t xml:space="preserve"> of the document</w:t>
      </w:r>
      <w:r w:rsidRPr="00A855E0" w:rsidR="00B66328">
        <w:rPr>
          <w:iCs/>
        </w:rPr>
        <w:t xml:space="preserve"> refer in general to the importance of the interpretative guidance of the </w:t>
      </w:r>
      <w:smartTag w:uri="urn:schemas-microsoft-com:office:smarttags" w:element="Street">
        <w:smartTag w:uri="urn:schemas-microsoft-com:office:smarttags" w:element="address">
          <w:r w:rsidR="00B66328" w:rsidRPr="00A855E0">
            <w:rPr>
              <w:iCs/>
            </w:rPr>
            <w:t>European Court</w:t>
          </w:r>
        </w:smartTag>
      </w:smartTag>
      <w:r w:rsidRPr="00A855E0" w:rsidR="00B66328">
        <w:rPr>
          <w:iCs/>
        </w:rPr>
        <w:t xml:space="preserve"> on the implementation of </w:t>
      </w:r>
      <w:r w:rsidR="00B66328">
        <w:rPr>
          <w:iCs/>
        </w:rPr>
        <w:t>Law no.</w:t>
      </w:r>
      <w:r w:rsidRPr="00A855E0" w:rsidR="00B66328">
        <w:rPr>
          <w:iCs/>
        </w:rPr>
        <w:t xml:space="preserve"> 89/2001 with regard to repa</w:t>
      </w:r>
      <w:r w:rsidR="00B66328">
        <w:rPr>
          <w:iCs/>
        </w:rPr>
        <w:t>ration for non-pecuniary damage.</w:t>
      </w:r>
    </w:p>
    <w:p w:rsidRPr="00A855E0" w:rsidR="00B66328" w:rsidP="00B66328" w:rsidRDefault="00B66328">
      <w:pPr>
        <w:pStyle w:val="JuQuot"/>
        <w:rPr>
          <w:iCs/>
        </w:rPr>
      </w:pPr>
      <w:r w:rsidRPr="00A855E0">
        <w:rPr>
          <w:iCs/>
        </w:rPr>
        <w:t xml:space="preserve">In this particular instance, however, any possibility for the national court to exclude non-pecuniary damage (despite having </w:t>
      </w:r>
      <w:r>
        <w:rPr>
          <w:iCs/>
        </w:rPr>
        <w:t>found</w:t>
      </w:r>
      <w:r w:rsidRPr="00A855E0">
        <w:rPr>
          <w:iCs/>
        </w:rPr>
        <w:t xml:space="preserve"> a violation of Article</w:t>
      </w:r>
      <w:r w:rsidR="002A7BAA">
        <w:rPr>
          <w:iCs/>
        </w:rPr>
        <w:t xml:space="preserve"> </w:t>
      </w:r>
      <w:r w:rsidRPr="00A855E0">
        <w:rPr>
          <w:iCs/>
        </w:rPr>
        <w:t xml:space="preserve">6 of the Convention) must be considered as non-existent because </w:t>
      </w:r>
      <w:r>
        <w:rPr>
          <w:iCs/>
        </w:rPr>
        <w:t>such</w:t>
      </w:r>
      <w:r w:rsidRPr="00A855E0">
        <w:rPr>
          <w:iCs/>
        </w:rPr>
        <w:t xml:space="preserve"> is </w:t>
      </w:r>
      <w:r>
        <w:rPr>
          <w:iCs/>
        </w:rPr>
        <w:t>precluded</w:t>
      </w:r>
      <w:r w:rsidRPr="00A855E0">
        <w:rPr>
          <w:iCs/>
        </w:rPr>
        <w:t xml:space="preserve"> by the previous decision of the European Court which, with reference to the same proceedings, had already ascertained that the unjustified delay in reaching a decision had had consequences involving non-pecuniary damage for the applicant, which the Court itself redressed for a limited period. From such a decision of the </w:t>
      </w:r>
      <w:smartTag w:uri="urn:schemas-microsoft-com:office:smarttags" w:element="Street">
        <w:smartTag w:uri="urn:schemas-microsoft-com:office:smarttags" w:element="address">
          <w:r w:rsidRPr="00A855E0">
            <w:rPr>
              <w:iCs/>
            </w:rPr>
            <w:t>European Court</w:t>
          </w:r>
        </w:smartTag>
      </w:smartTag>
      <w:r w:rsidRPr="00A855E0">
        <w:rPr>
          <w:iCs/>
        </w:rPr>
        <w:t xml:space="preserve"> it follows that, once the national court has ascertained that the violation has continued in the period following that considered in the said decision, the applicant has continued to suffer non-pecuniary damage, which must be compensated for in application of </w:t>
      </w:r>
      <w:r>
        <w:rPr>
          <w:iCs/>
        </w:rPr>
        <w:t>Law no.</w:t>
      </w:r>
      <w:r w:rsidRPr="00A855E0">
        <w:rPr>
          <w:iCs/>
        </w:rPr>
        <w:t xml:space="preserve"> 89/2001.</w:t>
      </w:r>
    </w:p>
    <w:p w:rsidRPr="00A855E0" w:rsidR="00B66328" w:rsidP="00B66328" w:rsidRDefault="00B66328">
      <w:pPr>
        <w:pStyle w:val="JuQuot"/>
        <w:rPr>
          <w:iCs/>
        </w:rPr>
      </w:pPr>
      <w:r w:rsidRPr="00A855E0">
        <w:rPr>
          <w:iCs/>
        </w:rPr>
        <w:t xml:space="preserve">It cannot therefore be maintained – as the Rome Court of Appeal has done – that compensation is not due because of the small amounts at stake in the proceedings in question. Such </w:t>
      </w:r>
      <w:r w:rsidR="00480631">
        <w:rPr>
          <w:iCs/>
        </w:rPr>
        <w:t>reasoning</w:t>
      </w:r>
      <w:r w:rsidRPr="00A855E0">
        <w:rPr>
          <w:iCs/>
        </w:rPr>
        <w:t xml:space="preserve">, apart from being rendered immaterial by the fact that the European Court has already ruled that non-pecuniary damage had been sustained because of </w:t>
      </w:r>
      <w:r w:rsidR="00480631">
        <w:rPr>
          <w:iCs/>
        </w:rPr>
        <w:t xml:space="preserve">a </w:t>
      </w:r>
      <w:r w:rsidRPr="00A855E0">
        <w:rPr>
          <w:iCs/>
        </w:rPr>
        <w:t>delay in the same action, is in any case incorrect, because the amount of what is at stake in an action in which non-</w:t>
      </w:r>
      <w:r>
        <w:rPr>
          <w:iCs/>
        </w:rPr>
        <w:t>compliance with r</w:t>
      </w:r>
      <w:r w:rsidRPr="00A855E0">
        <w:rPr>
          <w:iCs/>
        </w:rPr>
        <w:t>easonable time</w:t>
      </w:r>
      <w:r>
        <w:rPr>
          <w:iCs/>
        </w:rPr>
        <w:t>-</w:t>
      </w:r>
      <w:r w:rsidRPr="00A855E0">
        <w:rPr>
          <w:iCs/>
        </w:rPr>
        <w:t xml:space="preserve">limits has been ascertained can never have the effect of excluding non-pecuniary damage, given that the anxiety and </w:t>
      </w:r>
      <w:r>
        <w:rPr>
          <w:iCs/>
        </w:rPr>
        <w:t>distress</w:t>
      </w:r>
      <w:r w:rsidRPr="00A855E0">
        <w:rPr>
          <w:iCs/>
        </w:rPr>
        <w:t xml:space="preserve"> resulting from the length of the </w:t>
      </w:r>
      <w:r>
        <w:rPr>
          <w:iCs/>
        </w:rPr>
        <w:t>proceedings</w:t>
      </w:r>
      <w:r w:rsidRPr="00A855E0">
        <w:rPr>
          <w:iCs/>
        </w:rPr>
        <w:t xml:space="preserve"> normally also occur in cases in which the amounts at stake are small; hence this aspect may have the effect of reducing the amount of compensation but not of totally excluding it.</w:t>
      </w:r>
    </w:p>
    <w:p w:rsidRPr="006E07DC" w:rsidR="00B66328" w:rsidP="00B66328" w:rsidRDefault="008C6CE3">
      <w:pPr>
        <w:pStyle w:val="JuQuot"/>
      </w:pPr>
      <w:r>
        <w:t>7</w:t>
      </w:r>
      <w:r w:rsidR="00480631">
        <w:t>.</w:t>
      </w:r>
      <w:r>
        <w:t>  </w:t>
      </w:r>
      <w:r w:rsidRPr="00A855E0" w:rsidR="00B66328">
        <w:t xml:space="preserve">In conclusion the decision appealed against </w:t>
      </w:r>
      <w:r w:rsidR="00B66328">
        <w:t>must be</w:t>
      </w:r>
      <w:r w:rsidRPr="00A855E0" w:rsidR="00B66328">
        <w:t xml:space="preserve"> quashed and the case </w:t>
      </w:r>
      <w:r w:rsidR="00B66328">
        <w:t xml:space="preserve">remitted </w:t>
      </w:r>
      <w:r w:rsidRPr="00A855E0" w:rsidR="00B66328">
        <w:t>to the Rome Court of Appeal, which</w:t>
      </w:r>
      <w:r w:rsidR="00B66328">
        <w:t>,</w:t>
      </w:r>
      <w:r w:rsidRPr="00A855E0" w:rsidR="00B66328">
        <w:t xml:space="preserve"> in a different composition, will order payment to the applicant of </w:t>
      </w:r>
      <w:r w:rsidR="00480631">
        <w:t>compensation for</w:t>
      </w:r>
      <w:r w:rsidRPr="00A855E0" w:rsidR="00B66328">
        <w:t xml:space="preserve"> non-pecuniary damage</w:t>
      </w:r>
      <w:r w:rsidR="00B66328">
        <w:t xml:space="preserve"> payable as a result of</w:t>
      </w:r>
      <w:r w:rsidRPr="00A855E0" w:rsidR="00B66328">
        <w:t xml:space="preserve"> the violation of the reasonable</w:t>
      </w:r>
      <w:r w:rsidR="00B66328">
        <w:t>-</w:t>
      </w:r>
      <w:r w:rsidRPr="00A855E0" w:rsidR="00B66328">
        <w:t xml:space="preserve">time </w:t>
      </w:r>
      <w:r w:rsidR="00B66328">
        <w:t>requirement</w:t>
      </w:r>
      <w:r w:rsidRPr="00A855E0" w:rsidR="00B66328">
        <w:t xml:space="preserve"> for the period following 16</w:t>
      </w:r>
      <w:r w:rsidR="00480631">
        <w:t> </w:t>
      </w:r>
      <w:r w:rsidRPr="00A855E0" w:rsidR="00B66328">
        <w:t>April 1996</w:t>
      </w:r>
      <w:r w:rsidR="00B66328">
        <w:t xml:space="preserve"> alone</w:t>
      </w:r>
      <w:r w:rsidRPr="00A855E0" w:rsidR="00B66328">
        <w:t>, taking as a reference point payment</w:t>
      </w:r>
      <w:r w:rsidR="00B66328">
        <w:t>s</w:t>
      </w:r>
      <w:r w:rsidRPr="00A855E0" w:rsidR="00B66328">
        <w:t xml:space="preserve"> of the same kind of damage</w:t>
      </w:r>
      <w:r w:rsidR="00B66328">
        <w:t>s</w:t>
      </w:r>
      <w:r w:rsidRPr="00A855E0" w:rsidR="00B66328">
        <w:t xml:space="preserve"> by the European Court of Human Rights, </w:t>
      </w:r>
      <w:r w:rsidR="00B66328">
        <w:t>from</w:t>
      </w:r>
      <w:r w:rsidRPr="00A855E0" w:rsidR="00B66328">
        <w:t xml:space="preserve"> which it may </w:t>
      </w:r>
      <w:r w:rsidR="00B66328">
        <w:t>diverge</w:t>
      </w:r>
      <w:r w:rsidRPr="00A855E0" w:rsidR="00B66328">
        <w:t>, but only to a reasonable extent (Court</w:t>
      </w:r>
      <w:r w:rsidRPr="00480631" w:rsidR="00480631">
        <w:t xml:space="preserve"> </w:t>
      </w:r>
      <w:r w:rsidR="00480631">
        <w:t>HR</w:t>
      </w:r>
      <w:r w:rsidRPr="00A855E0" w:rsidR="00B66328">
        <w:t xml:space="preserve">, 27 March 2003, </w:t>
      </w:r>
      <w:r w:rsidRPr="006618D2" w:rsidR="00B66328">
        <w:rPr>
          <w:i/>
        </w:rPr>
        <w:t>Scordino v. Italy</w:t>
      </w:r>
      <w:r w:rsidRPr="00A855E0" w:rsidR="00B66328">
        <w:t>).</w:t>
      </w:r>
      <w:r w:rsidR="00480631">
        <w:t>”</w:t>
      </w:r>
    </w:p>
    <w:p w:rsidR="00B66328" w:rsidP="00B66328" w:rsidRDefault="00B66328">
      <w:pPr>
        <w:pStyle w:val="JuH1"/>
      </w:pPr>
      <w:r>
        <w:t>2.  Case-law on the transfer of the right to compensation</w:t>
      </w:r>
    </w:p>
    <w:p w:rsidR="00B66328" w:rsidP="002A7BAA" w:rsidRDefault="00480631">
      <w:pPr>
        <w:pStyle w:val="JuHa0"/>
        <w:ind w:left="919" w:hanging="284"/>
      </w:pPr>
      <w:r>
        <w:t>(</w:t>
      </w:r>
      <w:r w:rsidR="00B66328">
        <w:t>a)  </w:t>
      </w:r>
      <w:r w:rsidRPr="005234D7" w:rsidR="00B66328">
        <w:t xml:space="preserve">Judgment </w:t>
      </w:r>
      <w:r w:rsidRPr="005234D7" w:rsidR="00A817DC">
        <w:t>no. 17650/02</w:t>
      </w:r>
      <w:r w:rsidR="00A817DC">
        <w:t xml:space="preserve"> </w:t>
      </w:r>
      <w:r w:rsidRPr="005234D7" w:rsidR="00B66328">
        <w:t>of the Court of Cassation</w:t>
      </w:r>
      <w:r w:rsidR="00A817DC">
        <w:t>,</w:t>
      </w:r>
      <w:r w:rsidR="00B66328">
        <w:t xml:space="preserve"> deposited with the registry on </w:t>
      </w:r>
      <w:smartTag w:uri="urn:schemas-microsoft-com:office:smarttags" w:element="date">
        <w:smartTagPr>
          <w:attr w:name="Month" w:val="10"/>
          <w:attr w:name="Day" w:val="15"/>
          <w:attr w:name="Year" w:val="2002"/>
        </w:smartTagPr>
        <w:r w:rsidR="00B66328">
          <w:t>15</w:t>
        </w:r>
        <w:r w:rsidR="002A7BAA">
          <w:t xml:space="preserve"> </w:t>
        </w:r>
        <w:r w:rsidR="00B66328">
          <w:t>October 2002</w:t>
        </w:r>
      </w:smartTag>
    </w:p>
    <w:p w:rsidRPr="007C72C3" w:rsidR="00B66328" w:rsidP="008C6CE3" w:rsidRDefault="00B66328">
      <w:pPr>
        <w:pStyle w:val="JuPara"/>
      </w:pPr>
      <w:r>
        <w:fldChar w:fldCharType="begin"/>
      </w:r>
      <w:r>
        <w:instrText xml:space="preserve"> SEQ level0 \*arabic </w:instrText>
      </w:r>
      <w:r>
        <w:fldChar w:fldCharType="separate"/>
      </w:r>
      <w:r w:rsidR="006D3397">
        <w:rPr>
          <w:noProof/>
        </w:rPr>
        <w:t>26</w:t>
      </w:r>
      <w:r>
        <w:fldChar w:fldCharType="end"/>
      </w:r>
      <w:r>
        <w:t>.  The Court of Cassation held as follows:</w:t>
      </w:r>
    </w:p>
    <w:p w:rsidRPr="00E409A4" w:rsidR="00B66328" w:rsidP="00B66328" w:rsidRDefault="00B66328">
      <w:pPr>
        <w:pStyle w:val="JuQuot"/>
        <w:ind w:firstLine="210"/>
      </w:pPr>
      <w:r>
        <w:t>“</w:t>
      </w:r>
      <w:r w:rsidRPr="00E409A4">
        <w:t xml:space="preserve">...Where the victim of </w:t>
      </w:r>
      <w:r>
        <w:t>unreasonably</w:t>
      </w:r>
      <w:r w:rsidRPr="00E409A4">
        <w:t xml:space="preserve"> length</w:t>
      </w:r>
      <w:r>
        <w:t>y</w:t>
      </w:r>
      <w:r w:rsidRPr="00E409A4">
        <w:t xml:space="preserve"> proceedings dies prior to the entry into force of Law no. 89</w:t>
      </w:r>
      <w:r w:rsidR="00A817DC">
        <w:t>/</w:t>
      </w:r>
      <w:r w:rsidRPr="00E409A4">
        <w:t>2001 [</w:t>
      </w:r>
      <w:r>
        <w:t xml:space="preserve">the </w:t>
      </w:r>
      <w:r w:rsidR="00C01D3E">
        <w:t>‘</w:t>
      </w:r>
      <w:r w:rsidRPr="00E409A4">
        <w:t>Pinto Act</w:t>
      </w:r>
      <w:r w:rsidR="00C01D3E">
        <w:t>’</w:t>
      </w:r>
      <w:r>
        <w:t>] this shall preclude</w:t>
      </w:r>
      <w:r w:rsidRPr="00E409A4">
        <w:t xml:space="preserve"> a right [to just satisfaction] </w:t>
      </w:r>
      <w:r>
        <w:t>from arising and passing to the heirs</w:t>
      </w:r>
      <w:r w:rsidRPr="00E409A4">
        <w:t xml:space="preserve">, </w:t>
      </w:r>
      <w:r>
        <w:t>in accordance with the general rule that a person who has died cannot become entitled to a right conferred by an Act that is passed after their death</w:t>
      </w:r>
      <w:r w:rsidR="00A817DC">
        <w:t xml:space="preserve"> </w:t>
      </w:r>
      <w:r>
        <w:t>...”</w:t>
      </w:r>
    </w:p>
    <w:p w:rsidR="00A31EB8" w:rsidP="002A7BAA" w:rsidRDefault="00A817DC">
      <w:pPr>
        <w:pStyle w:val="JuHa0"/>
        <w:ind w:left="919" w:hanging="284"/>
      </w:pPr>
      <w:r>
        <w:t>(</w:t>
      </w:r>
      <w:r w:rsidR="00B66328">
        <w:t>b)  </w:t>
      </w:r>
      <w:r w:rsidRPr="005234D7" w:rsidR="00B66328">
        <w:t xml:space="preserve">Judgment </w:t>
      </w:r>
      <w:r w:rsidRPr="005234D7">
        <w:t xml:space="preserve">no. 5264/03 </w:t>
      </w:r>
      <w:r w:rsidRPr="005234D7" w:rsidR="00B66328">
        <w:t>of the Court of Cassation</w:t>
      </w:r>
      <w:r>
        <w:t>,</w:t>
      </w:r>
      <w:r w:rsidR="00B66328">
        <w:t xml:space="preserve"> deposited with the registry on</w:t>
      </w:r>
      <w:r w:rsidRPr="005234D7" w:rsidR="00B66328">
        <w:t xml:space="preserve"> </w:t>
      </w:r>
      <w:smartTag w:uri="urn:schemas-microsoft-com:office:smarttags" w:element="date">
        <w:smartTagPr>
          <w:attr w:name="Month" w:val="4"/>
          <w:attr w:name="Day" w:val="4"/>
          <w:attr w:name="Year" w:val="2003"/>
        </w:smartTagPr>
        <w:r w:rsidR="00B66328" w:rsidRPr="005234D7">
          <w:t>4 April 2003</w:t>
        </w:r>
      </w:smartTag>
    </w:p>
    <w:p w:rsidR="00A31EB8" w:rsidP="008C6CE3" w:rsidRDefault="00B66328">
      <w:pPr>
        <w:pStyle w:val="JuPara"/>
      </w:pPr>
      <w:r>
        <w:fldChar w:fldCharType="begin"/>
      </w:r>
      <w:r>
        <w:instrText xml:space="preserve"> SEQ level0 \*arabic </w:instrText>
      </w:r>
      <w:r>
        <w:fldChar w:fldCharType="separate"/>
      </w:r>
      <w:r w:rsidR="006D3397">
        <w:rPr>
          <w:noProof/>
        </w:rPr>
        <w:t>27</w:t>
      </w:r>
      <w:r>
        <w:fldChar w:fldCharType="end"/>
      </w:r>
      <w:r>
        <w:t>.  </w:t>
      </w:r>
      <w:r w:rsidRPr="00C14C55">
        <w:t xml:space="preserve">The Court of Cassation </w:t>
      </w:r>
      <w:r>
        <w:t>judges noted</w:t>
      </w:r>
      <w:r w:rsidRPr="00C14C55">
        <w:t xml:space="preserve"> that the right to compensation for a violation of </w:t>
      </w:r>
      <w:r>
        <w:t>the right to a hearing within a reasonable time derived from the</w:t>
      </w:r>
      <w:r w:rsidRPr="00C14C55">
        <w:t xml:space="preserve"> Pinto</w:t>
      </w:r>
      <w:r>
        <w:t xml:space="preserve"> Act</w:t>
      </w:r>
      <w:r w:rsidRPr="00C14C55">
        <w:t xml:space="preserve">. The mechanism </w:t>
      </w:r>
      <w:r w:rsidR="00A817DC">
        <w:t>put</w:t>
      </w:r>
      <w:r w:rsidRPr="00C14C55">
        <w:t xml:space="preserve"> in place by the European standard </w:t>
      </w:r>
      <w:r>
        <w:t>did</w:t>
      </w:r>
      <w:r w:rsidRPr="00C14C55">
        <w:t xml:space="preserve"> not </w:t>
      </w:r>
      <w:r>
        <w:t>give applicants a cause of action</w:t>
      </w:r>
      <w:r w:rsidRPr="00C14C55">
        <w:t xml:space="preserve"> before the domestic courts.</w:t>
      </w:r>
      <w:r>
        <w:t xml:space="preserve"> </w:t>
      </w:r>
      <w:r w:rsidRPr="00C14C55">
        <w:t>Accordingly,</w:t>
      </w:r>
      <w:r w:rsidR="003A18B7">
        <w:t xml:space="preserve"> the right to</w:t>
      </w:r>
      <w:r w:rsidRPr="00C14C55">
        <w:t xml:space="preserve"> </w:t>
      </w:r>
      <w:r>
        <w:t>“j</w:t>
      </w:r>
      <w:r w:rsidRPr="00C14C55">
        <w:t>ust satisfaction</w:t>
      </w:r>
      <w:r>
        <w:t xml:space="preserve">” </w:t>
      </w:r>
      <w:r w:rsidRPr="00C14C55">
        <w:t xml:space="preserve">could neither be </w:t>
      </w:r>
      <w:r>
        <w:t>acquired</w:t>
      </w:r>
      <w:r w:rsidRPr="00C14C55">
        <w:t xml:space="preserve"> nor trans</w:t>
      </w:r>
      <w:r>
        <w:t>ferr</w:t>
      </w:r>
      <w:r w:rsidRPr="00C14C55">
        <w:t>ed b</w:t>
      </w:r>
      <w:r>
        <w:t>y a person who had already died by the time the</w:t>
      </w:r>
      <w:r w:rsidRPr="00C14C55">
        <w:t xml:space="preserve"> Pinto</w:t>
      </w:r>
      <w:r>
        <w:t xml:space="preserve"> Act came into force</w:t>
      </w:r>
      <w:r w:rsidRPr="00C14C55">
        <w:t>. The fact that the deceased had</w:t>
      </w:r>
      <w:r>
        <w:t>,</w:t>
      </w:r>
      <w:r w:rsidRPr="00C14C55">
        <w:t xml:space="preserve"> while alive</w:t>
      </w:r>
      <w:r>
        <w:t xml:space="preserve">, </w:t>
      </w:r>
      <w:r w:rsidRPr="00C14C55">
        <w:t xml:space="preserve">lodged </w:t>
      </w:r>
      <w:r>
        <w:t xml:space="preserve">an application with the </w:t>
      </w:r>
      <w:smartTag w:uri="urn:schemas-microsoft-com:office:smarttags" w:element="Street">
        <w:smartTag w:uri="urn:schemas-microsoft-com:office:smarttags" w:element="address">
          <w:r w:rsidRPr="00C14C55">
            <w:t xml:space="preserve">Strasbourg </w:t>
          </w:r>
          <w:r>
            <w:t>Court</w:t>
          </w:r>
        </w:smartTag>
      </w:smartTag>
      <w:r>
        <w:t xml:space="preserve"> was not decisive</w:t>
      </w:r>
      <w:r w:rsidRPr="00C14C55">
        <w:t>.</w:t>
      </w:r>
      <w:r>
        <w:t xml:space="preserve"> </w:t>
      </w:r>
      <w:r w:rsidRPr="00C14C55">
        <w:t xml:space="preserve">Section 6 of the Pinto Act did not constitute, as the applicants </w:t>
      </w:r>
      <w:r>
        <w:t xml:space="preserve">had </w:t>
      </w:r>
      <w:r w:rsidRPr="00C14C55">
        <w:t>maintain</w:t>
      </w:r>
      <w:r>
        <w:t>ed</w:t>
      </w:r>
      <w:r w:rsidRPr="00C14C55">
        <w:t>, a</w:t>
      </w:r>
      <w:r>
        <w:t xml:space="preserve"> procedural</w:t>
      </w:r>
      <w:r w:rsidRPr="00C14C55">
        <w:t xml:space="preserve"> standard</w:t>
      </w:r>
      <w:r>
        <w:t xml:space="preserve"> bringing about a transfer of powers</w:t>
      </w:r>
      <w:r w:rsidRPr="005C410F">
        <w:rPr>
          <w:i/>
        </w:rPr>
        <w:t xml:space="preserve"> </w:t>
      </w:r>
      <w:r>
        <w:t>from</w:t>
      </w:r>
      <w:r w:rsidRPr="005C410F">
        <w:t xml:space="preserve"> the </w:t>
      </w:r>
      <w:smartTag w:uri="urn:schemas-microsoft-com:office:smarttags" w:element="Street">
        <w:smartTag w:uri="urn:schemas-microsoft-com:office:smarttags" w:element="address">
          <w:r w:rsidRPr="005C410F">
            <w:t>European Court</w:t>
          </w:r>
        </w:smartTag>
      </w:smartTag>
      <w:r w:rsidRPr="005C410F">
        <w:t xml:space="preserve"> to the domestic courts.</w:t>
      </w:r>
    </w:p>
    <w:p w:rsidR="00A817DC" w:rsidP="002A7BAA" w:rsidRDefault="00A817DC">
      <w:pPr>
        <w:pStyle w:val="JuHa0"/>
        <w:keepNext w:val="0"/>
        <w:keepLines w:val="0"/>
        <w:ind w:left="919" w:hanging="284"/>
      </w:pPr>
    </w:p>
    <w:p w:rsidR="00A31EB8" w:rsidP="002A7BAA" w:rsidRDefault="00A817DC">
      <w:pPr>
        <w:pStyle w:val="JuHa0"/>
        <w:keepNext w:val="0"/>
        <w:keepLines w:val="0"/>
        <w:ind w:left="919" w:hanging="284"/>
      </w:pPr>
      <w:r>
        <w:t>(</w:t>
      </w:r>
      <w:r w:rsidR="00B66328">
        <w:t>c)  </w:t>
      </w:r>
      <w:r w:rsidRPr="00C14C55" w:rsidR="00B66328">
        <w:t xml:space="preserve">Order </w:t>
      </w:r>
      <w:r>
        <w:t>no.</w:t>
      </w:r>
      <w:r w:rsidRPr="00C14C55">
        <w:t xml:space="preserve"> 11950</w:t>
      </w:r>
      <w:r>
        <w:t xml:space="preserve">/04 </w:t>
      </w:r>
      <w:r w:rsidRPr="00C14C55" w:rsidR="00B66328">
        <w:t>of the Court of Cassation</w:t>
      </w:r>
      <w:r>
        <w:t>,</w:t>
      </w:r>
      <w:r w:rsidRPr="00C14C55" w:rsidR="00B66328">
        <w:t xml:space="preserve"> </w:t>
      </w:r>
      <w:r w:rsidR="00B66328">
        <w:t>deposited with the registry on</w:t>
      </w:r>
      <w:r w:rsidRPr="00C14C55" w:rsidR="00B66328">
        <w:t xml:space="preserve"> </w:t>
      </w:r>
      <w:smartTag w:uri="urn:schemas-microsoft-com:office:smarttags" w:element="date">
        <w:smartTagPr>
          <w:attr w:name="Month" w:val="6"/>
          <w:attr w:name="Day" w:val="26"/>
          <w:attr w:name="Year" w:val="2004"/>
        </w:smartTagPr>
        <w:r w:rsidR="00B66328" w:rsidRPr="00C14C55">
          <w:t>26</w:t>
        </w:r>
        <w:r w:rsidR="002A7BAA">
          <w:t xml:space="preserve"> </w:t>
        </w:r>
        <w:r w:rsidR="00B66328">
          <w:t>June</w:t>
        </w:r>
        <w:r w:rsidR="00B66328" w:rsidRPr="00C14C55">
          <w:t xml:space="preserve"> 2004</w:t>
        </w:r>
      </w:smartTag>
    </w:p>
    <w:p w:rsidR="00B66328" w:rsidP="008C6CE3" w:rsidRDefault="00B66328">
      <w:pPr>
        <w:pStyle w:val="JuPara"/>
      </w:pPr>
      <w:r>
        <w:fldChar w:fldCharType="begin"/>
      </w:r>
      <w:r>
        <w:instrText xml:space="preserve"> SEQ level0 \*arabic </w:instrText>
      </w:r>
      <w:r>
        <w:fldChar w:fldCharType="separate"/>
      </w:r>
      <w:r w:rsidR="006D3397">
        <w:rPr>
          <w:noProof/>
        </w:rPr>
        <w:t>28</w:t>
      </w:r>
      <w:r>
        <w:fldChar w:fldCharType="end"/>
      </w:r>
      <w:r>
        <w:t>.  </w:t>
      </w:r>
      <w:r w:rsidRPr="00E413B7">
        <w:t>In this case, which concerned the possibility or otherwise of transferring</w:t>
      </w:r>
      <w:r>
        <w:t xml:space="preserve"> to heirs</w:t>
      </w:r>
      <w:r w:rsidRPr="00E413B7">
        <w:t xml:space="preserve"> the right to compensation deriving from a breach of Article 6 § 1 on account of the length of </w:t>
      </w:r>
      <w:r>
        <w:t xml:space="preserve">the </w:t>
      </w:r>
      <w:r w:rsidRPr="00E413B7">
        <w:t xml:space="preserve">proceedings, the First </w:t>
      </w:r>
      <w:r>
        <w:t>Division</w:t>
      </w:r>
      <w:r w:rsidRPr="00E413B7">
        <w:t xml:space="preserve"> of the Court of Cassation referred the case to the full court indicating tha</w:t>
      </w:r>
      <w:r>
        <w:t>t there was a</w:t>
      </w:r>
      <w:r w:rsidRPr="00E413B7">
        <w:t xml:space="preserve"> conflict between the case-law authorities</w:t>
      </w:r>
      <w:r>
        <w:t>, that is,</w:t>
      </w:r>
      <w:r w:rsidRPr="00E413B7">
        <w:t xml:space="preserve"> </w:t>
      </w:r>
      <w:r>
        <w:t>between the re</w:t>
      </w:r>
      <w:r w:rsidRPr="00E413B7">
        <w:t xml:space="preserve">strictive </w:t>
      </w:r>
      <w:r>
        <w:t>approach taken by the</w:t>
      </w:r>
      <w:r w:rsidRPr="00E413B7">
        <w:t xml:space="preserve"> Cour</w:t>
      </w:r>
      <w:r>
        <w:t>t of C</w:t>
      </w:r>
      <w:r w:rsidRPr="00E413B7">
        <w:t xml:space="preserve">assation </w:t>
      </w:r>
      <w:r>
        <w:t>in the earlier judgments regarding heirs and the</w:t>
      </w:r>
      <w:r w:rsidRPr="00E413B7">
        <w:t xml:space="preserve"> Pinto</w:t>
      </w:r>
      <w:r>
        <w:t xml:space="preserve"> Act and the</w:t>
      </w:r>
      <w:r w:rsidRPr="00E413B7">
        <w:t xml:space="preserve"> </w:t>
      </w:r>
      <w:r>
        <w:t>four</w:t>
      </w:r>
      <w:r w:rsidRPr="00E413B7">
        <w:t xml:space="preserve"> </w:t>
      </w:r>
      <w:r>
        <w:t>judgments delivered by the Court of Cassation, sitting as a full court, on</w:t>
      </w:r>
      <w:r w:rsidRPr="00E413B7">
        <w:t xml:space="preserve"> 26 </w:t>
      </w:r>
      <w:r>
        <w:t>January</w:t>
      </w:r>
      <w:r w:rsidRPr="00E413B7">
        <w:t xml:space="preserve"> 2004 </w:t>
      </w:r>
      <w:r>
        <w:t xml:space="preserve">to the extent that a less strict </w:t>
      </w:r>
      <w:r w:rsidRPr="00E413B7">
        <w:t>interpr</w:t>
      </w:r>
      <w:r>
        <w:t>e</w:t>
      </w:r>
      <w:r w:rsidRPr="00E413B7">
        <w:t>tation</w:t>
      </w:r>
      <w:r>
        <w:t xml:space="preserve"> would lead to the conclusion that this right to compensation ha</w:t>
      </w:r>
      <w:r w:rsidR="00867608">
        <w:t>d</w:t>
      </w:r>
      <w:r>
        <w:t xml:space="preserve"> existed since Italy ratified the European Convention on 4 August 1955.</w:t>
      </w:r>
    </w:p>
    <w:p w:rsidRPr="002E6488" w:rsidR="00E650E8" w:rsidP="002A7BAA" w:rsidRDefault="00A817DC">
      <w:pPr>
        <w:pStyle w:val="JuHa0"/>
        <w:ind w:left="919" w:hanging="284"/>
        <w:rPr>
          <w:sz w:val="24"/>
          <w:szCs w:val="24"/>
        </w:rPr>
      </w:pPr>
      <w:r>
        <w:t>(</w:t>
      </w:r>
      <w:r w:rsidRPr="002E6488" w:rsidR="00E650E8">
        <w:t>d)</w:t>
      </w:r>
      <w:r w:rsidR="00867608">
        <w:t>  </w:t>
      </w:r>
      <w:r w:rsidRPr="002E6488" w:rsidR="00E650E8">
        <w:t>Extracts from judgment no.</w:t>
      </w:r>
      <w:r w:rsidR="002A7BAA">
        <w:t xml:space="preserve"> </w:t>
      </w:r>
      <w:r w:rsidRPr="002E6488" w:rsidR="00E650E8">
        <w:t>28507/05</w:t>
      </w:r>
      <w:r w:rsidRPr="002E6488" w:rsidR="009E62FF">
        <w:t xml:space="preserve"> of</w:t>
      </w:r>
      <w:r w:rsidRPr="002E6488" w:rsidR="00E650E8">
        <w:t xml:space="preserve"> </w:t>
      </w:r>
      <w:r w:rsidRPr="002E6488" w:rsidR="009E62FF">
        <w:t xml:space="preserve">the </w:t>
      </w:r>
      <w:r w:rsidRPr="002E6488" w:rsidR="00E20119">
        <w:t xml:space="preserve">plenary </w:t>
      </w:r>
      <w:r w:rsidRPr="002E6488" w:rsidR="009E62FF">
        <w:t>Court</w:t>
      </w:r>
      <w:r w:rsidRPr="002E6488" w:rsidR="00E650E8">
        <w:rPr>
          <w:sz w:val="24"/>
          <w:szCs w:val="24"/>
        </w:rPr>
        <w:t xml:space="preserve"> </w:t>
      </w:r>
      <w:r w:rsidRPr="002E6488" w:rsidR="00E650E8">
        <w:rPr>
          <w:szCs w:val="24"/>
        </w:rPr>
        <w:t>of Cassation</w:t>
      </w:r>
      <w:r>
        <w:rPr>
          <w:szCs w:val="24"/>
        </w:rPr>
        <w:t>,</w:t>
      </w:r>
      <w:r w:rsidRPr="002E6488" w:rsidR="00E650E8">
        <w:rPr>
          <w:sz w:val="24"/>
          <w:szCs w:val="24"/>
        </w:rPr>
        <w:t xml:space="preserve"> </w:t>
      </w:r>
      <w:r w:rsidRPr="002E6488" w:rsidR="00E650E8">
        <w:rPr>
          <w:szCs w:val="24"/>
        </w:rPr>
        <w:t>deposited with the registry on</w:t>
      </w:r>
      <w:r w:rsidRPr="002E6488" w:rsidR="00E650E8">
        <w:rPr>
          <w:sz w:val="24"/>
          <w:szCs w:val="24"/>
        </w:rPr>
        <w:t xml:space="preserve"> </w:t>
      </w:r>
      <w:smartTag w:uri="urn:schemas-microsoft-com:office:smarttags" w:element="date">
        <w:smartTagPr>
          <w:attr w:name="Month" w:val="12"/>
          <w:attr w:name="Day" w:val="23"/>
          <w:attr w:name="Year" w:val="2005"/>
        </w:smartTagPr>
        <w:r w:rsidR="00E650E8" w:rsidRPr="002E6488">
          <w:t>23</w:t>
        </w:r>
        <w:r w:rsidR="00E650E8" w:rsidRPr="002E6488">
          <w:rPr>
            <w:sz w:val="24"/>
            <w:szCs w:val="24"/>
          </w:rPr>
          <w:t xml:space="preserve"> </w:t>
        </w:r>
        <w:r w:rsidR="00E650E8" w:rsidRPr="002E6488">
          <w:rPr>
            <w:szCs w:val="24"/>
          </w:rPr>
          <w:t>December</w:t>
        </w:r>
        <w:r w:rsidR="00E650E8" w:rsidRPr="002E6488">
          <w:rPr>
            <w:sz w:val="24"/>
            <w:szCs w:val="24"/>
          </w:rPr>
          <w:t xml:space="preserve"> </w:t>
        </w:r>
        <w:r w:rsidR="00E650E8" w:rsidRPr="002E6488">
          <w:t>2005</w:t>
        </w:r>
      </w:smartTag>
    </w:p>
    <w:p w:rsidR="006F27B3" w:rsidP="006F27B3" w:rsidRDefault="00E650E8">
      <w:pPr>
        <w:ind w:firstLine="284"/>
        <w:jc w:val="both"/>
        <w:rPr>
          <w:szCs w:val="24"/>
        </w:rPr>
      </w:pPr>
      <w:r w:rsidRPr="002E6488">
        <w:fldChar w:fldCharType="begin"/>
      </w:r>
      <w:r w:rsidRPr="002E6488">
        <w:instrText xml:space="preserve"> SEQ level0 \*arabic </w:instrText>
      </w:r>
      <w:r w:rsidRPr="002E6488">
        <w:fldChar w:fldCharType="separate"/>
      </w:r>
      <w:r w:rsidR="006D3397">
        <w:rPr>
          <w:noProof/>
        </w:rPr>
        <w:t>29</w:t>
      </w:r>
      <w:r w:rsidRPr="002E6488">
        <w:fldChar w:fldCharType="end"/>
      </w:r>
      <w:r w:rsidR="00867608">
        <w:t>.</w:t>
      </w:r>
      <w:r w:rsidRPr="002E6488">
        <w:rPr>
          <w:b/>
          <w:sz w:val="20"/>
        </w:rPr>
        <w:t>  </w:t>
      </w:r>
      <w:r w:rsidRPr="002E6488" w:rsidR="006F27B3">
        <w:rPr>
          <w:szCs w:val="24"/>
        </w:rPr>
        <w:t>In the case giving rise to the order mentioned above referring the case to the full court (see paragraph</w:t>
      </w:r>
      <w:r w:rsidR="00867608">
        <w:rPr>
          <w:szCs w:val="24"/>
        </w:rPr>
        <w:t xml:space="preserve"> 28</w:t>
      </w:r>
      <w:r w:rsidRPr="002E6488" w:rsidR="006F27B3">
        <w:rPr>
          <w:szCs w:val="24"/>
        </w:rPr>
        <w:t>), the Court of Cassation, sitting as a full court, established the following principles, thus preventing any further conflicting decisions being given by the courts:</w:t>
      </w:r>
    </w:p>
    <w:p w:rsidRPr="002E6488" w:rsidR="006F27B3" w:rsidP="00867608" w:rsidRDefault="00867608">
      <w:pPr>
        <w:pStyle w:val="JuQuot"/>
      </w:pPr>
      <w:r>
        <w:t>“</w:t>
      </w:r>
      <w:r w:rsidRPr="002E6488" w:rsidR="00595AC4">
        <w:t>(i)</w:t>
      </w:r>
      <w:r w:rsidR="00A817DC">
        <w:t>  </w:t>
      </w:r>
      <w:r w:rsidRPr="002E6488" w:rsidR="006F27B3">
        <w:t>Law no.</w:t>
      </w:r>
      <w:r w:rsidR="002A7BAA">
        <w:t xml:space="preserve"> </w:t>
      </w:r>
      <w:r w:rsidRPr="002E6488" w:rsidR="006F27B3">
        <w:t xml:space="preserve">848 of 4 August 1955, which ratified the Convention and made it enforceable, introduced into </w:t>
      </w:r>
      <w:r>
        <w:t xml:space="preserve">the </w:t>
      </w:r>
      <w:r w:rsidRPr="002E6488" w:rsidR="006F27B3">
        <w:t xml:space="preserve">domestic legal order the fundamental rights, belonging to the category of rights conferred on the individual by public law, provided for in </w:t>
      </w:r>
      <w:r>
        <w:t>S</w:t>
      </w:r>
      <w:r w:rsidRPr="002E6488" w:rsidR="006F27B3">
        <w:t xml:space="preserve">ection </w:t>
      </w:r>
      <w:r>
        <w:t xml:space="preserve">I </w:t>
      </w:r>
      <w:r w:rsidRPr="002E6488" w:rsidR="006F27B3">
        <w:t xml:space="preserve">of the Convention and which correspond to a large extent </w:t>
      </w:r>
      <w:r>
        <w:t>to</w:t>
      </w:r>
      <w:r w:rsidRPr="002E6488" w:rsidR="006F27B3">
        <w:t xml:space="preserve"> those set forth in Article 2 of the Constitution. In that </w:t>
      </w:r>
      <w:r w:rsidRPr="002E6488" w:rsidR="006542DE">
        <w:t>respect</w:t>
      </w:r>
      <w:r w:rsidRPr="002E6488" w:rsidR="006F27B3">
        <w:t xml:space="preserve"> the Convention provisions are confirmatory and illustrative. </w:t>
      </w:r>
      <w:r w:rsidRPr="002E6488" w:rsidR="00204CB7">
        <w:t>...</w:t>
      </w:r>
    </w:p>
    <w:p w:rsidR="00A31EB8" w:rsidP="00867608" w:rsidRDefault="00595AC4">
      <w:pPr>
        <w:pStyle w:val="JuQuot"/>
      </w:pPr>
      <w:r w:rsidRPr="002E6488">
        <w:t>(ii)</w:t>
      </w:r>
      <w:r w:rsidR="00A817DC">
        <w:t>  </w:t>
      </w:r>
      <w:r w:rsidRPr="002E6488" w:rsidR="006542DE">
        <w:t>It is necessary to reiterate t</w:t>
      </w:r>
      <w:r w:rsidRPr="002E6488" w:rsidR="006F27B3">
        <w:t xml:space="preserve">he principle that the act giving rise to </w:t>
      </w:r>
      <w:r w:rsidRPr="002E6488" w:rsidR="006542DE">
        <w:t>the</w:t>
      </w:r>
      <w:r w:rsidRPr="002E6488" w:rsidR="006F27B3">
        <w:t xml:space="preserve"> right to reparation </w:t>
      </w:r>
      <w:r w:rsidRPr="002E6488" w:rsidR="00E34F71">
        <w:t>conferred</w:t>
      </w:r>
      <w:r w:rsidRPr="002E6488" w:rsidR="006F27B3">
        <w:t xml:space="preserve"> </w:t>
      </w:r>
      <w:r w:rsidRPr="002E6488" w:rsidR="003A18B7">
        <w:t>by</w:t>
      </w:r>
      <w:r w:rsidRPr="002E6488" w:rsidR="006F27B3">
        <w:t xml:space="preserve"> domestic law corresponds to a breach of the provision in Article 6 of the Convention, which is immediately applicable in domestic law.</w:t>
      </w:r>
    </w:p>
    <w:p w:rsidRPr="002E6488" w:rsidR="006F27B3" w:rsidP="00867608" w:rsidRDefault="006F27B3">
      <w:pPr>
        <w:pStyle w:val="JuQuot"/>
      </w:pPr>
      <w:r w:rsidRPr="002E6488">
        <w:t xml:space="preserve">The distinction between the right to a hearing within a reasonable time, introduced by the European Convention on Human Rights (or even pre-existing as a constitutionally protected value), and the right to equitable reparation, which was allegedly introduced only by the Pinto Act, cannot be allowed in so far as the protection provided by the domestic courts does not depart from that previously offered by the Strasbourg Court, the domestic courts being bound to comply with the case-law of the European Court. </w:t>
      </w:r>
      <w:r w:rsidRPr="002E6488" w:rsidR="00204CB7">
        <w:t>...</w:t>
      </w:r>
    </w:p>
    <w:p w:rsidR="006F27B3" w:rsidP="00867608" w:rsidRDefault="00595AC4">
      <w:pPr>
        <w:pStyle w:val="JuQuot"/>
      </w:pPr>
      <w:r w:rsidRPr="002E6488">
        <w:t>(iii)</w:t>
      </w:r>
      <w:r w:rsidR="00867608">
        <w:t>  </w:t>
      </w:r>
      <w:r w:rsidRPr="002E6488" w:rsidR="006F27B3">
        <w:t>Accordingly,</w:t>
      </w:r>
      <w:r w:rsidRPr="002E6488" w:rsidR="006542DE">
        <w:t xml:space="preserve"> the</w:t>
      </w:r>
      <w:r w:rsidRPr="002E6488" w:rsidR="006F27B3">
        <w:t xml:space="preserve"> right to equitable reparation for loss sustained as a result of the unreasonable length of proceedings prior to the entry into force of Law no. 89/2001 must be acknowledged by the domestic courts even in favour of the heirs of a party who introduced the proceedings before that date, subject only to the condition that the claim has not already been lodged with the Strasbourg Court and the Court has not ruled on admissibility. </w:t>
      </w:r>
      <w:r w:rsidRPr="002E6488" w:rsidR="00204CB7">
        <w:t>...</w:t>
      </w:r>
      <w:r w:rsidR="00867608">
        <w:t>”</w:t>
      </w:r>
    </w:p>
    <w:p w:rsidRPr="008F016A" w:rsidR="008C6CE3" w:rsidP="008C6CE3" w:rsidRDefault="008C6CE3">
      <w:pPr>
        <w:pStyle w:val="JuH1"/>
      </w:pPr>
      <w:r w:rsidRPr="00204CB7">
        <w:t>3.  </w:t>
      </w:r>
      <w:r w:rsidRPr="00A6562D">
        <w:t>Judgment</w:t>
      </w:r>
      <w:r w:rsidRPr="00867608" w:rsidR="00867608">
        <w:t xml:space="preserve"> </w:t>
      </w:r>
      <w:r w:rsidRPr="00A6562D" w:rsidR="00867608">
        <w:t>no. 18239</w:t>
      </w:r>
      <w:r w:rsidR="00867608">
        <w:t>/04</w:t>
      </w:r>
      <w:r w:rsidRPr="00A6562D">
        <w:t xml:space="preserve"> of the Court of Cassation</w:t>
      </w:r>
      <w:r w:rsidR="00C649B5">
        <w:t>,</w:t>
      </w:r>
      <w:r w:rsidRPr="00A6562D">
        <w:t xml:space="preserve"> deposited with the registry on 10 September 2004</w:t>
      </w:r>
      <w:r w:rsidR="00C649B5">
        <w:t>,</w:t>
      </w:r>
      <w:r w:rsidRPr="00A6562D">
        <w:t xml:space="preserve"> concerning the right to compensation of legal entities</w:t>
      </w:r>
    </w:p>
    <w:p w:rsidR="00B66328" w:rsidP="008C6CE3" w:rsidRDefault="00B66328">
      <w:pPr>
        <w:pStyle w:val="JuPara"/>
      </w:pPr>
      <w:r>
        <w:fldChar w:fldCharType="begin"/>
      </w:r>
      <w:r>
        <w:instrText xml:space="preserve"> SEQ level0 \*arabic </w:instrText>
      </w:r>
      <w:r>
        <w:fldChar w:fldCharType="separate"/>
      </w:r>
      <w:r w:rsidR="006D3397">
        <w:rPr>
          <w:noProof/>
        </w:rPr>
        <w:t>30</w:t>
      </w:r>
      <w:r>
        <w:fldChar w:fldCharType="end"/>
      </w:r>
      <w:r>
        <w:t>.  </w:t>
      </w:r>
      <w:r w:rsidRPr="00E6498E">
        <w:t>This judgment of the Court of Cassation concern</w:t>
      </w:r>
      <w:r>
        <w:t>ed</w:t>
      </w:r>
      <w:r w:rsidRPr="00E6498E">
        <w:t xml:space="preserve"> an appeal by the Ministry of </w:t>
      </w:r>
      <w:r>
        <w:t>J</w:t>
      </w:r>
      <w:r w:rsidRPr="00E6498E">
        <w:t xml:space="preserve">ustice </w:t>
      </w:r>
      <w:r>
        <w:t xml:space="preserve">challenging </w:t>
      </w:r>
      <w:r w:rsidR="00721F95">
        <w:t>a</w:t>
      </w:r>
      <w:r>
        <w:t xml:space="preserve"> </w:t>
      </w:r>
      <w:r w:rsidR="00721F95">
        <w:t>c</w:t>
      </w:r>
      <w:r>
        <w:t xml:space="preserve">ourt of </w:t>
      </w:r>
      <w:r w:rsidR="00721F95">
        <w:t>a</w:t>
      </w:r>
      <w:r>
        <w:t>ppeal</w:t>
      </w:r>
      <w:r w:rsidR="00C01D3E">
        <w:t>’</w:t>
      </w:r>
      <w:r>
        <w:t xml:space="preserve">s award of </w:t>
      </w:r>
      <w:r w:rsidR="00721F95">
        <w:t xml:space="preserve">compensation for </w:t>
      </w:r>
      <w:r>
        <w:t>non-pecuniary damage to a juristic person</w:t>
      </w:r>
      <w:r w:rsidRPr="00E6498E">
        <w:t xml:space="preserve">. The Court of Cassation </w:t>
      </w:r>
      <w:r>
        <w:t>referred to</w:t>
      </w:r>
      <w:r w:rsidRPr="00E6498E">
        <w:t xml:space="preserve"> the decision reached in </w:t>
      </w:r>
      <w:r w:rsidRPr="00E6498E">
        <w:rPr>
          <w:i/>
        </w:rPr>
        <w:t xml:space="preserve">Comingersoll </w:t>
      </w:r>
      <w:r w:rsidR="00721F95">
        <w:rPr>
          <w:i/>
        </w:rPr>
        <w:t xml:space="preserve">S.A. </w:t>
      </w:r>
      <w:r w:rsidRPr="00E6498E">
        <w:rPr>
          <w:i/>
        </w:rPr>
        <w:t>v. Portugal</w:t>
      </w:r>
      <w:r w:rsidRPr="00E6498E">
        <w:t xml:space="preserve"> </w:t>
      </w:r>
      <w:r w:rsidR="00721F95">
        <w:t>(</w:t>
      </w:r>
      <w:r w:rsidRPr="00E6498E">
        <w:t>[GC], no.</w:t>
      </w:r>
      <w:r w:rsidRPr="008C6CE3">
        <w:t> </w:t>
      </w:r>
      <w:r w:rsidRPr="00E6498E">
        <w:t xml:space="preserve">35382/97, </w:t>
      </w:r>
      <w:r>
        <w:t>ECHR</w:t>
      </w:r>
      <w:r w:rsidRPr="00E6498E">
        <w:t xml:space="preserve"> 2000</w:t>
      </w:r>
      <w:r w:rsidRPr="00E6498E">
        <w:noBreakHyphen/>
        <w:t>IV</w:t>
      </w:r>
      <w:r w:rsidR="00721F95">
        <w:t>)</w:t>
      </w:r>
      <w:r w:rsidRPr="00E6498E">
        <w:t xml:space="preserve"> and, after referring to the </w:t>
      </w:r>
      <w:r>
        <w:t>four</w:t>
      </w:r>
      <w:r w:rsidRPr="00E6498E">
        <w:t xml:space="preserve"> </w:t>
      </w:r>
      <w:r>
        <w:t>judgments of the full court delivered on 26 Janua</w:t>
      </w:r>
      <w:r w:rsidRPr="00E6498E">
        <w:t>r</w:t>
      </w:r>
      <w:r>
        <w:t>y</w:t>
      </w:r>
      <w:r w:rsidRPr="00E6498E">
        <w:t xml:space="preserve"> 2004, </w:t>
      </w:r>
      <w:r>
        <w:t>found that its own case-law was not in line with the European Court</w:t>
      </w:r>
      <w:r w:rsidRPr="00E6498E">
        <w:t>. It held that the</w:t>
      </w:r>
      <w:r>
        <w:t>re was no legal barrier to</w:t>
      </w:r>
      <w:r w:rsidRPr="00E6498E">
        <w:t xml:space="preserve"> award</w:t>
      </w:r>
      <w:r>
        <w:t>ing</w:t>
      </w:r>
      <w:r w:rsidRPr="00E6498E">
        <w:t xml:space="preserve"> just satisfaction to </w:t>
      </w:r>
      <w:r>
        <w:t>“</w:t>
      </w:r>
      <w:r w:rsidRPr="00E6498E">
        <w:t>juristic</w:t>
      </w:r>
      <w:r>
        <w:t>”</w:t>
      </w:r>
      <w:r w:rsidRPr="00E6498E">
        <w:t xml:space="preserve"> persons according to the criteria of the </w:t>
      </w:r>
      <w:smartTag w:uri="urn:schemas-microsoft-com:office:smarttags" w:element="Street">
        <w:smartTag w:uri="urn:schemas-microsoft-com:office:smarttags" w:element="address">
          <w:r w:rsidRPr="00E6498E">
            <w:t>Strasbourg Court</w:t>
          </w:r>
        </w:smartTag>
      </w:smartTag>
      <w:r w:rsidRPr="00E6498E">
        <w:t xml:space="preserve">. Accordingly, since the </w:t>
      </w:r>
      <w:r w:rsidR="00721F95">
        <w:t>c</w:t>
      </w:r>
      <w:r w:rsidRPr="00E6498E">
        <w:t>ourt o</w:t>
      </w:r>
      <w:r>
        <w:t xml:space="preserve">f </w:t>
      </w:r>
      <w:r w:rsidR="00721F95">
        <w:t>a</w:t>
      </w:r>
      <w:r>
        <w:t xml:space="preserve">ppeal had </w:t>
      </w:r>
      <w:r w:rsidRPr="00E6498E">
        <w:t>correct</w:t>
      </w:r>
      <w:r>
        <w:t>ly decided the case</w:t>
      </w:r>
      <w:r w:rsidR="008F5EFF">
        <w:t>,</w:t>
      </w:r>
      <w:r>
        <w:t xml:space="preserve"> the appeal was dismissed</w:t>
      </w:r>
      <w:r w:rsidRPr="00E6498E">
        <w:t>.</w:t>
      </w:r>
    </w:p>
    <w:p w:rsidRPr="008F016A" w:rsidR="008C6CE3" w:rsidP="008C6CE3" w:rsidRDefault="008C6CE3">
      <w:pPr>
        <w:pStyle w:val="JuH1"/>
      </w:pPr>
      <w:r>
        <w:t>4</w:t>
      </w:r>
      <w:r w:rsidRPr="008F016A">
        <w:t>.  </w:t>
      </w:r>
      <w:r w:rsidRPr="00E6498E">
        <w:t xml:space="preserve">Judgment </w:t>
      </w:r>
      <w:r w:rsidRPr="00E6498E" w:rsidR="00EB70CB">
        <w:t>n</w:t>
      </w:r>
      <w:r w:rsidR="00EB70CB">
        <w:t>o.</w:t>
      </w:r>
      <w:r w:rsidRPr="00E6498E" w:rsidR="00EB70CB">
        <w:t xml:space="preserve"> 8568</w:t>
      </w:r>
      <w:r w:rsidR="00EB70CB">
        <w:t xml:space="preserve">/05 </w:t>
      </w:r>
      <w:r w:rsidRPr="00E6498E">
        <w:t>of the Court of Cassation</w:t>
      </w:r>
      <w:r w:rsidR="00C649B5">
        <w:t>,</w:t>
      </w:r>
      <w:r>
        <w:t xml:space="preserve"> deposited with the registry on</w:t>
      </w:r>
      <w:r w:rsidRPr="0019083E">
        <w:t xml:space="preserve"> </w:t>
      </w:r>
      <w:r w:rsidRPr="00E6498E">
        <w:t xml:space="preserve">23 </w:t>
      </w:r>
      <w:r>
        <w:t>April</w:t>
      </w:r>
      <w:r w:rsidRPr="00E6498E">
        <w:t xml:space="preserve"> 2005</w:t>
      </w:r>
      <w:r w:rsidR="00C649B5">
        <w:t>,</w:t>
      </w:r>
      <w:r w:rsidR="00A25A26">
        <w:t xml:space="preserve"> </w:t>
      </w:r>
      <w:r>
        <w:t>concerning the presumption of non-pecuniary damage</w:t>
      </w:r>
    </w:p>
    <w:p w:rsidRPr="00726AFF" w:rsidR="00B66328" w:rsidP="00B66328" w:rsidRDefault="00B66328">
      <w:pPr>
        <w:pStyle w:val="JuParaCharChar"/>
      </w:pPr>
      <w:r>
        <w:fldChar w:fldCharType="begin"/>
      </w:r>
      <w:r>
        <w:instrText xml:space="preserve"> SEQ level0 \*arabic </w:instrText>
      </w:r>
      <w:r>
        <w:fldChar w:fldCharType="separate"/>
      </w:r>
      <w:r w:rsidR="006D3397">
        <w:rPr>
          <w:noProof/>
        </w:rPr>
        <w:t>31</w:t>
      </w:r>
      <w:r>
        <w:fldChar w:fldCharType="end"/>
      </w:r>
      <w:r>
        <w:t>.  The Court of Cassation made the following observations:</w:t>
      </w:r>
    </w:p>
    <w:p w:rsidRPr="007D2410" w:rsidR="00B66328" w:rsidP="00B66328" w:rsidRDefault="00B66328">
      <w:pPr>
        <w:pStyle w:val="JuQuot"/>
        <w:ind w:firstLine="281"/>
      </w:pPr>
      <w:r>
        <w:t>“</w:t>
      </w:r>
      <w:r w:rsidR="00204CB7">
        <w:t>...</w:t>
      </w:r>
      <w:r w:rsidRPr="007D2410">
        <w:t xml:space="preserve"> [</w:t>
      </w:r>
      <w:r w:rsidR="00B94EAF">
        <w:t>Considering that</w:t>
      </w:r>
      <w:r w:rsidRPr="007D2410">
        <w:t>] non-pecuniary damage is the normal, albeit not automatic, consequence of a breach of the right to a hearing within a reasonable time</w:t>
      </w:r>
      <w:r>
        <w:t>,</w:t>
      </w:r>
      <w:r w:rsidRPr="007D2410">
        <w:t xml:space="preserve"> </w:t>
      </w:r>
      <w:r>
        <w:t>i</w:t>
      </w:r>
      <w:r w:rsidRPr="007D2410">
        <w:t>t</w:t>
      </w:r>
      <w:r>
        <w:t xml:space="preserve"> </w:t>
      </w:r>
      <w:r w:rsidRPr="007D2410">
        <w:t>will be deemed to exist</w:t>
      </w:r>
      <w:r>
        <w:t>,</w:t>
      </w:r>
      <w:r w:rsidRPr="007D2410">
        <w:t xml:space="preserve"> without it being necessa</w:t>
      </w:r>
      <w:r>
        <w:t xml:space="preserve">ry to specifically prove it </w:t>
      </w:r>
      <w:r w:rsidRPr="007D2410">
        <w:t>(direct</w:t>
      </w:r>
      <w:r>
        <w:t>ly</w:t>
      </w:r>
      <w:r w:rsidRPr="007D2410">
        <w:t xml:space="preserve"> o</w:t>
      </w:r>
      <w:r>
        <w:t>r</w:t>
      </w:r>
      <w:r w:rsidRPr="007D2410">
        <w:t xml:space="preserve"> </w:t>
      </w:r>
      <w:r>
        <w:t>by presumption),</w:t>
      </w:r>
      <w:r w:rsidRPr="007D2410">
        <w:t xml:space="preserve"> </w:t>
      </w:r>
      <w:r>
        <w:t>on the basis of the objective fact of the breach</w:t>
      </w:r>
      <w:r w:rsidRPr="007D2410">
        <w:t xml:space="preserve">, </w:t>
      </w:r>
      <w:r>
        <w:t xml:space="preserve">on </w:t>
      </w:r>
      <w:r w:rsidRPr="007D2410">
        <w:t>condition</w:t>
      </w:r>
      <w:r>
        <w:t xml:space="preserve"> that there are no special circumstances indicating the absence of any such damage in the actual case concerned </w:t>
      </w:r>
      <w:r w:rsidRPr="007D2410">
        <w:t>(Cass. A.P.</w:t>
      </w:r>
      <w:r w:rsidR="00B94EAF">
        <w:t>,</w:t>
      </w:r>
      <w:r w:rsidRPr="007D2410">
        <w:t xml:space="preserve"> 26 </w:t>
      </w:r>
      <w:r>
        <w:t>January</w:t>
      </w:r>
      <w:r w:rsidRPr="007D2410">
        <w:t xml:space="preserve"> 2004</w:t>
      </w:r>
      <w:r w:rsidR="00B94EAF">
        <w:t>,</w:t>
      </w:r>
      <w:r w:rsidRPr="007D2410">
        <w:t xml:space="preserve"> n</w:t>
      </w:r>
      <w:r>
        <w:t>os. 1338 and</w:t>
      </w:r>
      <w:r w:rsidRPr="007D2410">
        <w:t xml:space="preserve"> 1339)</w:t>
      </w:r>
      <w:r w:rsidR="00B94EAF">
        <w:t>;</w:t>
      </w:r>
    </w:p>
    <w:p w:rsidR="00C01D3E" w:rsidP="008C6CE3" w:rsidRDefault="00B94EAF">
      <w:pPr>
        <w:pStyle w:val="JuQuotSub"/>
      </w:pPr>
      <w:r>
        <w:t>–  </w:t>
      </w:r>
      <w:r w:rsidRPr="00640DBC" w:rsidR="00B66328">
        <w:t>the assessment on an equitable basis of compensation for non-pecuniary damage is subject – on account of the specific reference i</w:t>
      </w:r>
      <w:r w:rsidR="0079234C">
        <w:t>n section 2 of Law no. 89 of 24 </w:t>
      </w:r>
      <w:r w:rsidRPr="00640DBC" w:rsidR="00B66328">
        <w:t>March 2001 to Article 6 of the European Convention on Human Rights (ratified by Law no.</w:t>
      </w:r>
      <w:r w:rsidR="002A7BAA">
        <w:t xml:space="preserve"> </w:t>
      </w:r>
      <w:r w:rsidRPr="00640DBC" w:rsidR="00B66328">
        <w:t>848 of 4 August 1955) – to compliance with the Convention, in accordance with the judicial interpretation given by the Strasbourg Court (</w:t>
      </w:r>
      <w:r w:rsidR="00B66328">
        <w:t>non-compliance with which results in a violation of the law</w:t>
      </w:r>
      <w:r w:rsidRPr="00640DBC" w:rsidR="00B66328">
        <w:t xml:space="preserve">), and must therefore, as far as possible, </w:t>
      </w:r>
      <w:r w:rsidR="00B66328">
        <w:t>be commensurate, in substantive and not merely formal terms</w:t>
      </w:r>
      <w:r w:rsidRPr="00640DBC" w:rsidR="00B66328">
        <w:t>,</w:t>
      </w:r>
      <w:r w:rsidRPr="005C22FD" w:rsidR="00B66328">
        <w:t xml:space="preserve"> </w:t>
      </w:r>
      <w:r w:rsidR="00B66328">
        <w:t>with the amounts</w:t>
      </w:r>
      <w:r w:rsidRPr="00640DBC" w:rsidR="00B66328">
        <w:t xml:space="preserve"> </w:t>
      </w:r>
      <w:r w:rsidR="00B66328">
        <w:t>paid in similar</w:t>
      </w:r>
      <w:r w:rsidRPr="00640DBC" w:rsidR="00B66328">
        <w:t xml:space="preserve"> cas</w:t>
      </w:r>
      <w:r w:rsidR="00B66328">
        <w:t>es</w:t>
      </w:r>
      <w:r w:rsidRPr="00640DBC" w:rsidR="00B66328">
        <w:t xml:space="preserve"> </w:t>
      </w:r>
      <w:r w:rsidR="00B66328">
        <w:t>by the European Court, it being possible to adduce exceptional circumstances that suggest themselves in the particular case, on</w:t>
      </w:r>
      <w:r w:rsidRPr="00640DBC" w:rsidR="00B66328">
        <w:t xml:space="preserve"> condition </w:t>
      </w:r>
      <w:r w:rsidR="00B66328">
        <w:t>that they are reasoned, not</w:t>
      </w:r>
      <w:r w:rsidRPr="00640DBC" w:rsidR="00B66328">
        <w:t xml:space="preserve"> excessive</w:t>
      </w:r>
      <w:r w:rsidR="00B66328">
        <w:t xml:space="preserve"> and not unreasonable</w:t>
      </w:r>
      <w:r w:rsidRPr="00640DBC" w:rsidR="00B66328">
        <w:t xml:space="preserve"> (Cass. A.P.</w:t>
      </w:r>
      <w:r>
        <w:t>,</w:t>
      </w:r>
      <w:r w:rsidRPr="00640DBC" w:rsidR="00B66328">
        <w:t xml:space="preserve"> 26</w:t>
      </w:r>
      <w:r>
        <w:t> </w:t>
      </w:r>
      <w:r w:rsidR="00B66328">
        <w:t>January</w:t>
      </w:r>
      <w:r w:rsidRPr="00640DBC" w:rsidR="00B66328">
        <w:t xml:space="preserve"> 2004</w:t>
      </w:r>
      <w:r>
        <w:t>,</w:t>
      </w:r>
      <w:r w:rsidRPr="00640DBC" w:rsidR="00B66328">
        <w:t xml:space="preserve"> n</w:t>
      </w:r>
      <w:r w:rsidR="00B66328">
        <w:t>o. 1340)</w:t>
      </w:r>
      <w:r>
        <w:t>;</w:t>
      </w:r>
    </w:p>
    <w:p w:rsidRPr="00640DBC" w:rsidR="00B66328" w:rsidP="008C6CE3" w:rsidRDefault="00204CB7">
      <w:pPr>
        <w:pStyle w:val="JuQuotSub"/>
      </w:pPr>
      <w:r>
        <w:t>...</w:t>
      </w:r>
    </w:p>
    <w:p w:rsidR="00B66328" w:rsidP="008C6CE3" w:rsidRDefault="00B94EAF">
      <w:pPr>
        <w:pStyle w:val="JuQuotSub"/>
      </w:pPr>
      <w:r>
        <w:t>–  </w:t>
      </w:r>
      <w:r w:rsidR="00B66328">
        <w:t>a discrepancy</w:t>
      </w:r>
      <w:r w:rsidRPr="006E07DC" w:rsidR="00B66328">
        <w:t xml:space="preserve"> in the method of calculation [between the Court</w:t>
      </w:r>
      <w:r w:rsidR="00C01D3E">
        <w:t>’</w:t>
      </w:r>
      <w:r w:rsidRPr="006E07DC" w:rsidR="00B66328">
        <w:t xml:space="preserve">s case-law and section 2 of the Pinto Act] shall not affect </w:t>
      </w:r>
      <w:r w:rsidRPr="00531352" w:rsidR="00B66328">
        <w:t xml:space="preserve">the general vocation </w:t>
      </w:r>
      <w:r w:rsidRPr="006E07DC" w:rsidR="00B66328">
        <w:t>of Law no. 89</w:t>
      </w:r>
      <w:r>
        <w:t>/</w:t>
      </w:r>
      <w:r w:rsidRPr="006E07DC" w:rsidR="00B66328">
        <w:t xml:space="preserve">2001 to </w:t>
      </w:r>
      <w:r w:rsidR="00B66328">
        <w:t>meet</w:t>
      </w:r>
      <w:r w:rsidRPr="006E07DC" w:rsidR="00B66328">
        <w:t xml:space="preserve"> the objective of </w:t>
      </w:r>
      <w:r w:rsidR="00B66328">
        <w:t xml:space="preserve">awarding </w:t>
      </w:r>
      <w:r w:rsidRPr="006E07DC" w:rsidR="00B66328">
        <w:t>proper compensation for a breach of the right to a hearing within a reasonable time (</w:t>
      </w:r>
      <w:r w:rsidR="00B66328">
        <w:t>vocation</w:t>
      </w:r>
      <w:r w:rsidRPr="006E07DC" w:rsidR="00B66328">
        <w:t xml:space="preserve"> acknowledged by the European Cour</w:t>
      </w:r>
      <w:r w:rsidR="00B66328">
        <w:t xml:space="preserve">t in, </w:t>
      </w:r>
      <w:r w:rsidRPr="00531352" w:rsidR="00B66328">
        <w:rPr>
          <w:i/>
        </w:rPr>
        <w:t>inter alia</w:t>
      </w:r>
      <w:r w:rsidRPr="006E07DC" w:rsidR="00B66328">
        <w:t>,</w:t>
      </w:r>
      <w:r w:rsidR="00B66328">
        <w:t xml:space="preserve"> a de</w:t>
      </w:r>
      <w:r w:rsidRPr="006E07DC" w:rsidR="00B66328">
        <w:t xml:space="preserve">cision </w:t>
      </w:r>
      <w:r w:rsidR="00B66328">
        <w:t>of</w:t>
      </w:r>
      <w:r w:rsidRPr="006E07DC" w:rsidR="00B66328">
        <w:t xml:space="preserve"> 27 </w:t>
      </w:r>
      <w:r w:rsidR="00B66328">
        <w:t>March</w:t>
      </w:r>
      <w:r w:rsidRPr="006E07DC" w:rsidR="00B66328">
        <w:t xml:space="preserve"> </w:t>
      </w:r>
      <w:smartTag w:uri="urn:schemas-microsoft-com:office:smarttags" w:element="metricconverter">
        <w:smartTagPr>
          <w:attr w:name="ProductID" w:val="2003 in"/>
        </w:smartTagPr>
        <w:r w:rsidR="00B66328" w:rsidRPr="006E07DC">
          <w:t xml:space="preserve">2003 </w:t>
        </w:r>
        <w:r w:rsidR="00B66328">
          <w:t>in</w:t>
        </w:r>
      </w:smartTag>
      <w:r w:rsidR="00B66328">
        <w:t xml:space="preserve"> </w:t>
      </w:r>
      <w:r w:rsidRPr="006E07DC" w:rsidR="00B66328">
        <w:rPr>
          <w:i/>
        </w:rPr>
        <w:t>Scordino</w:t>
      </w:r>
      <w:r w:rsidRPr="006E07DC" w:rsidR="00B66328">
        <w:t xml:space="preserve"> </w:t>
      </w:r>
      <w:r w:rsidRPr="006E07DC" w:rsidR="00B66328">
        <w:rPr>
          <w:i/>
        </w:rPr>
        <w:t>v. Italy</w:t>
      </w:r>
      <w:r w:rsidRPr="005C22FD" w:rsidR="00B66328">
        <w:t xml:space="preserve"> </w:t>
      </w:r>
      <w:r w:rsidR="00B66328">
        <w:t>(application no.</w:t>
      </w:r>
      <w:r>
        <w:t> </w:t>
      </w:r>
      <w:r w:rsidRPr="006E07DC" w:rsidR="00B66328">
        <w:t>36813/97)</w:t>
      </w:r>
      <w:r w:rsidR="00B66328">
        <w:t>)</w:t>
      </w:r>
      <w:r w:rsidRPr="006E07DC" w:rsidR="00B66328">
        <w:t xml:space="preserve">, </w:t>
      </w:r>
      <w:r w:rsidR="00B66328">
        <w:t>and accordingly shall not allow any doubt as to the</w:t>
      </w:r>
      <w:r w:rsidRPr="006E07DC" w:rsidR="00B66328">
        <w:t xml:space="preserve"> compatibilit</w:t>
      </w:r>
      <w:r w:rsidR="00B66328">
        <w:t>y of that domestic standard with the international commitments</w:t>
      </w:r>
      <w:r w:rsidRPr="006E07DC" w:rsidR="00B66328">
        <w:t xml:space="preserve"> </w:t>
      </w:r>
      <w:r w:rsidR="00B66328">
        <w:t>entered into by the Italian Republic when ratifying the European</w:t>
      </w:r>
      <w:r w:rsidRPr="006E07DC" w:rsidR="00B66328">
        <w:t xml:space="preserve"> Convention </w:t>
      </w:r>
      <w:r w:rsidR="00B66328">
        <w:t>and the formal recognition, also at</w:t>
      </w:r>
      <w:r w:rsidRPr="006E07DC" w:rsidR="00B66328">
        <w:t xml:space="preserve"> constitution</w:t>
      </w:r>
      <w:r w:rsidR="00B66328">
        <w:t xml:space="preserve">al level, of the principle </w:t>
      </w:r>
      <w:r w:rsidR="0079234C">
        <w:t>stated in</w:t>
      </w:r>
      <w:r w:rsidR="00B66328">
        <w:t xml:space="preserve"> A</w:t>
      </w:r>
      <w:r w:rsidRPr="006E07DC" w:rsidR="00B66328">
        <w:t xml:space="preserve">rticle 6 § 1 </w:t>
      </w:r>
      <w:r w:rsidR="00B66328">
        <w:t>of that Convention</w:t>
      </w:r>
      <w:r>
        <w:t xml:space="preserve"> </w:t>
      </w:r>
      <w:r w:rsidR="00204CB7">
        <w:t>...</w:t>
      </w:r>
      <w:r w:rsidR="00B66328">
        <w:t>”</w:t>
      </w:r>
    </w:p>
    <w:p w:rsidRPr="00A6562D" w:rsidR="00B66328" w:rsidP="00B66328" w:rsidRDefault="00B66328">
      <w:pPr>
        <w:pStyle w:val="JuHIRoman"/>
        <w:keepNext w:val="0"/>
        <w:keepLines w:val="0"/>
      </w:pPr>
      <w:r w:rsidRPr="00A6562D">
        <w:t>III. </w:t>
      </w:r>
      <w:r w:rsidR="00560154">
        <w:t> </w:t>
      </w:r>
      <w:r w:rsidRPr="00A6562D">
        <w:t>OTHER RELEVANT PROVISIONS</w:t>
      </w:r>
    </w:p>
    <w:p w:rsidRPr="00A6562D" w:rsidR="00B66328" w:rsidP="002A7BAA" w:rsidRDefault="008C6CE3">
      <w:pPr>
        <w:pStyle w:val="JuHA"/>
        <w:ind w:left="629" w:hanging="397"/>
      </w:pPr>
      <w:r>
        <w:t>A.  </w:t>
      </w:r>
      <w:r w:rsidRPr="00A6562D" w:rsidR="00B66328">
        <w:t xml:space="preserve">Third annual report on the excessive length of judicial proceedings in </w:t>
      </w:r>
      <w:smartTag w:uri="urn:schemas-microsoft-com:office:smarttags" w:element="place">
        <w:smartTag w:uri="urn:schemas-microsoft-com:office:smarttags" w:element="country-region">
          <w:smartTag w:uri="urn:schemas-microsoft-com:office:smarttags" w:element="PersonName">
            <w:r w:rsidR="00B66328" w:rsidRPr="00A6562D">
              <w:t>Italy</w:t>
            </w:r>
          </w:smartTag>
        </w:smartTag>
      </w:smartTag>
      <w:r w:rsidRPr="00A6562D" w:rsidR="00B66328">
        <w:t xml:space="preserve"> for 2003 (administrative, civil and criminal justice)</w:t>
      </w:r>
    </w:p>
    <w:p w:rsidRPr="00827AB5" w:rsidR="00B66328" w:rsidP="008C6CE3" w:rsidRDefault="00B66328">
      <w:pPr>
        <w:pStyle w:val="JuPara"/>
      </w:pPr>
      <w:r>
        <w:fldChar w:fldCharType="begin"/>
      </w:r>
      <w:r>
        <w:instrText xml:space="preserve"> SEQ level0 \*arabic </w:instrText>
      </w:r>
      <w:r>
        <w:fldChar w:fldCharType="separate"/>
      </w:r>
      <w:r w:rsidR="006D3397">
        <w:rPr>
          <w:noProof/>
        </w:rPr>
        <w:t>32</w:t>
      </w:r>
      <w:r>
        <w:fldChar w:fldCharType="end"/>
      </w:r>
      <w:r>
        <w:t>.  In the report CM/Inf/DH(2004)23</w:t>
      </w:r>
      <w:r w:rsidR="00F02369">
        <w:t>,</w:t>
      </w:r>
      <w:r>
        <w:t xml:space="preserve"> revised on 24 September 2004, the Ministers</w:t>
      </w:r>
      <w:r w:rsidR="00C01D3E">
        <w:t>’</w:t>
      </w:r>
      <w:r>
        <w:t xml:space="preserve"> </w:t>
      </w:r>
      <w:r w:rsidR="00B94EAF">
        <w:t>D</w:t>
      </w:r>
      <w:r>
        <w:t>eputies made the following indications regarding an assessment of the Pinto remedy:</w:t>
      </w:r>
    </w:p>
    <w:p w:rsidR="00C01D3E" w:rsidP="00B66328" w:rsidRDefault="00B66328">
      <w:pPr>
        <w:pStyle w:val="JuQuot"/>
      </w:pPr>
      <w:r>
        <w:t>“11.  </w:t>
      </w:r>
      <w:r w:rsidRPr="00931620">
        <w:t>As regards the domestic remedy introduced in 200</w:t>
      </w:r>
      <w:smartTag w:uri="urn:schemas-microsoft-com:office:smarttags" w:element="PersonName">
        <w:r w:rsidRPr="00931620">
          <w:t>1</w:t>
        </w:r>
      </w:smartTag>
      <w:r w:rsidR="00A7291E">
        <w:t xml:space="preserve"> by the </w:t>
      </w:r>
      <w:r w:rsidR="00C01D3E">
        <w:t>‘</w:t>
      </w:r>
      <w:r w:rsidRPr="00931620">
        <w:t>Pinto Act</w:t>
      </w:r>
      <w:r w:rsidR="00C01D3E">
        <w:t>’</w:t>
      </w:r>
      <w:r w:rsidRPr="00931620">
        <w:t>, a number of shortcomings remain, particularly in connection with the effectiveness of the remedy and its application in conformity with the Convention: in particular, the law does not provide yet for the acceleration of pending proceedings</w:t>
      </w:r>
      <w:r>
        <w:t>.</w:t>
      </w:r>
    </w:p>
    <w:p w:rsidR="00B66328" w:rsidP="00B66328" w:rsidRDefault="00204CB7">
      <w:pPr>
        <w:pStyle w:val="JuQuot"/>
      </w:pPr>
      <w:r>
        <w:t>...</w:t>
      </w:r>
    </w:p>
    <w:p w:rsidR="00C01D3E" w:rsidP="00B66328" w:rsidRDefault="00B66328">
      <w:pPr>
        <w:pStyle w:val="JuQuot"/>
      </w:pPr>
      <w:r>
        <w:t>109.  </w:t>
      </w:r>
      <w:r w:rsidRPr="00931620">
        <w:t>In the framework of its examination of the 1</w:t>
      </w:r>
      <w:r w:rsidRPr="00BA63BC">
        <w:rPr>
          <w:rFonts w:ascii="Times New (W1)" w:hAnsi="Times New (W1)"/>
        </w:rPr>
        <w:t xml:space="preserve">st </w:t>
      </w:r>
      <w:r w:rsidRPr="00931620">
        <w:t>annual report, the Committee of Ministers expressed concern at the fact that this legislation did not foresee the speeding up of the proceedings and that its application posed a risk of aggravating the backlog of the appeal courts.</w:t>
      </w:r>
    </w:p>
    <w:p w:rsidR="00B66328" w:rsidP="00B66328" w:rsidRDefault="00204CB7">
      <w:pPr>
        <w:pStyle w:val="JuQuot"/>
      </w:pPr>
      <w:r>
        <w:t>...</w:t>
      </w:r>
    </w:p>
    <w:p w:rsidR="00C01D3E" w:rsidP="00B66328" w:rsidRDefault="00B66328">
      <w:pPr>
        <w:pStyle w:val="JuQuot"/>
      </w:pPr>
      <w:r>
        <w:t>112.  </w:t>
      </w:r>
      <w:r w:rsidRPr="00931620">
        <w:t>It should be pointed out that in the framework of its examination of the 2nd annual report, the Committee of Ministers had noted with concern that the Convention had</w:t>
      </w:r>
      <w:r>
        <w:t xml:space="preserve"> no </w:t>
      </w:r>
      <w:r w:rsidRPr="00931620">
        <w:t>direct effect and had consequently invited the Italian authorities to intensify their efforts at national level as well as their contacts with the different bodies of the Council of Europe competent in this field.</w:t>
      </w:r>
    </w:p>
    <w:p w:rsidR="00B66328" w:rsidP="00B66328" w:rsidRDefault="00204CB7">
      <w:pPr>
        <w:pStyle w:val="JuQuot"/>
      </w:pPr>
      <w:r>
        <w:t>...</w:t>
      </w:r>
      <w:r w:rsidR="00B66328">
        <w:t>”</w:t>
      </w:r>
    </w:p>
    <w:p w:rsidRPr="008F016A" w:rsidR="008C6CE3" w:rsidP="00BA63BC" w:rsidRDefault="008C6CE3">
      <w:pPr>
        <w:pStyle w:val="JuHA"/>
      </w:pPr>
      <w:r w:rsidRPr="00BA63BC">
        <w:t>B.</w:t>
      </w:r>
      <w:r w:rsidRPr="008F016A">
        <w:t>  </w:t>
      </w:r>
      <w:r w:rsidRPr="00F24D55">
        <w:rPr>
          <w:rStyle w:val="JuHAChar"/>
        </w:rPr>
        <w:t>Interim Resolution ResDH(2005)114 concerning the judgments of the European Court of Human Rights and decisions by the Committee of Ministers in 2</w:t>
      </w:r>
      <w:r w:rsidR="00BA63BC">
        <w:rPr>
          <w:rStyle w:val="JuHAChar"/>
        </w:rPr>
        <w:t>,</w:t>
      </w:r>
      <w:r w:rsidRPr="00F24D55">
        <w:rPr>
          <w:rStyle w:val="JuHAChar"/>
        </w:rPr>
        <w:t>183 cases against Italy relating to the excessive length of judicial proceedings</w:t>
      </w:r>
    </w:p>
    <w:p w:rsidR="00B66328" w:rsidP="00B66328" w:rsidRDefault="00B66328">
      <w:pPr>
        <w:pStyle w:val="JuPara"/>
      </w:pPr>
      <w:r w:rsidRPr="00F24D55">
        <w:rPr>
          <w:bCs/>
        </w:rPr>
        <w:fldChar w:fldCharType="begin"/>
      </w:r>
      <w:r w:rsidRPr="00F24D55">
        <w:rPr>
          <w:bCs/>
        </w:rPr>
        <w:instrText xml:space="preserve"> SEQ level0 \*arabic </w:instrText>
      </w:r>
      <w:r w:rsidRPr="00F24D55">
        <w:rPr>
          <w:bCs/>
        </w:rPr>
        <w:fldChar w:fldCharType="separate"/>
      </w:r>
      <w:r w:rsidR="006D3397">
        <w:rPr>
          <w:bCs/>
          <w:noProof/>
        </w:rPr>
        <w:t>33</w:t>
      </w:r>
      <w:r w:rsidRPr="00F24D55">
        <w:rPr>
          <w:bCs/>
        </w:rPr>
        <w:fldChar w:fldCharType="end"/>
      </w:r>
      <w:r w:rsidRPr="00F24D55">
        <w:rPr>
          <w:bCs/>
        </w:rPr>
        <w:t xml:space="preserve">.  In this interim resolution the </w:t>
      </w:r>
      <w:r w:rsidRPr="00F24D55">
        <w:t>Ministers</w:t>
      </w:r>
      <w:r w:rsidR="00C01D3E">
        <w:t>’</w:t>
      </w:r>
      <w:r w:rsidRPr="00F24D55">
        <w:t xml:space="preserve"> </w:t>
      </w:r>
      <w:r w:rsidR="00BA63BC">
        <w:t>D</w:t>
      </w:r>
      <w:r>
        <w:t>eputies</w:t>
      </w:r>
      <w:r w:rsidRPr="00F24D55">
        <w:t xml:space="preserve"> indicated as</w:t>
      </w:r>
      <w:r>
        <w:t xml:space="preserve"> follows:</w:t>
      </w:r>
    </w:p>
    <w:p w:rsidR="0079234C" w:rsidP="0079234C" w:rsidRDefault="0079234C">
      <w:pPr>
        <w:pStyle w:val="JuQuot"/>
      </w:pPr>
      <w:r>
        <w:t>“The Committee of Ministers</w:t>
      </w:r>
      <w:r w:rsidR="00BA63BC">
        <w:t xml:space="preserve"> ...</w:t>
      </w:r>
    </w:p>
    <w:p w:rsidR="0079234C" w:rsidP="0079234C" w:rsidRDefault="0079234C">
      <w:pPr>
        <w:pStyle w:val="JuQuot"/>
      </w:pPr>
      <w:r>
        <w:t xml:space="preserve">Noting </w:t>
      </w:r>
      <w:r w:rsidR="00A31EB8">
        <w:t>...</w:t>
      </w:r>
    </w:p>
    <w:p w:rsidR="00BA63BC" w:rsidP="0079234C" w:rsidRDefault="00BA63BC">
      <w:pPr>
        <w:pStyle w:val="JuQuot"/>
      </w:pPr>
      <w:r>
        <w:t>...</w:t>
      </w:r>
    </w:p>
    <w:p w:rsidRPr="00AA1550" w:rsidR="00B66328" w:rsidP="00B66328" w:rsidRDefault="00BA63BC">
      <w:pPr>
        <w:pStyle w:val="JuQuot"/>
      </w:pPr>
      <w:r>
        <w:t>–  </w:t>
      </w:r>
      <w:r w:rsidRPr="00AA1550" w:rsidR="00B66328">
        <w:t xml:space="preserve">the setting-up of a domestic remedy providing compensation in cases of excessive length of proceedings, adopted in 2001 (the </w:t>
      </w:r>
      <w:r w:rsidR="00C01D3E">
        <w:t>‘</w:t>
      </w:r>
      <w:r w:rsidRPr="00AA1550" w:rsidR="00B66328">
        <w:t>Pinto</w:t>
      </w:r>
      <w:r w:rsidR="00C01D3E">
        <w:t>’</w:t>
      </w:r>
      <w:r w:rsidRPr="00AA1550" w:rsidR="00B66328">
        <w:t xml:space="preserve"> law), as well as the recent development of the case-law of the Court of </w:t>
      </w:r>
      <w:r>
        <w:t>C</w:t>
      </w:r>
      <w:r w:rsidRPr="00AA1550" w:rsidR="00B66328">
        <w:t>assation, increasing the direct effect of the case-law of the European Court in the Italian legal system, while noting that this remedy still does not enable for acceleration of proceedings so as to grant effective redress to all victims;</w:t>
      </w:r>
    </w:p>
    <w:p w:rsidRPr="00AA1550" w:rsidR="00B66328" w:rsidP="00B66328" w:rsidRDefault="00B66328">
      <w:pPr>
        <w:pStyle w:val="JuQuot"/>
      </w:pPr>
      <w:r w:rsidRPr="00AA1550">
        <w:t xml:space="preserve">Stressing that the setting-up of domestic remedies does not dispense </w:t>
      </w:r>
      <w:r w:rsidR="00BA63BC">
        <w:t>S</w:t>
      </w:r>
      <w:r w:rsidRPr="00AA1550">
        <w:t>tates from their general obligation to solve the structural problems underlying violations;</w:t>
      </w:r>
    </w:p>
    <w:p w:rsidR="00C01D3E" w:rsidP="00B66328" w:rsidRDefault="00B66328">
      <w:pPr>
        <w:pStyle w:val="JuQuot"/>
      </w:pPr>
      <w:r w:rsidRPr="00AA1550">
        <w:t xml:space="preserve">Finding that despite the efforts undertaken, numerous elements still indicate that the solution to the problem will not be found in the near future (as evidenced in particular by the statistical data, the new cases before both domestic courts and the European Court, the information contained in the annual reports submitted by the government to the Committee and in the reports of the Prosecutor General at the Court of </w:t>
      </w:r>
      <w:r w:rsidR="00BA63BC">
        <w:t>C</w:t>
      </w:r>
      <w:r w:rsidRPr="00AA1550">
        <w:t>assation);</w:t>
      </w:r>
    </w:p>
    <w:p w:rsidRPr="00AA1550" w:rsidR="00B66328" w:rsidP="00B66328" w:rsidRDefault="00204CB7">
      <w:pPr>
        <w:pStyle w:val="JuQuot"/>
      </w:pPr>
      <w:r>
        <w:t>...</w:t>
      </w:r>
    </w:p>
    <w:p w:rsidR="00C01D3E" w:rsidP="00B66328" w:rsidRDefault="00B66328">
      <w:pPr>
        <w:pStyle w:val="JuQuot"/>
      </w:pPr>
      <w:r w:rsidRPr="00AA1550">
        <w:t>Stressing the importance the Convention attaches to the right to fair administration of justice in a democratic society and recalling that the problem of the excessive length of judicial proceedings, by reason of its persistence and extent, constitutes a real danger for the respect of the rule of law in Italy;</w:t>
      </w:r>
    </w:p>
    <w:p w:rsidR="00A31EB8" w:rsidP="00B66328" w:rsidRDefault="00204CB7">
      <w:pPr>
        <w:pStyle w:val="JuQuot"/>
      </w:pPr>
      <w:r>
        <w:t>...</w:t>
      </w:r>
    </w:p>
    <w:p w:rsidR="00BA63BC" w:rsidP="00B66328" w:rsidRDefault="00B66328">
      <w:pPr>
        <w:pStyle w:val="JuQuot"/>
      </w:pPr>
      <w:r w:rsidRPr="00AA1550">
        <w:t>URGES the Italian authorities to enhance their political commitment and make it their effective priority to meet Italy</w:t>
      </w:r>
      <w:r w:rsidR="00C01D3E">
        <w:t>’</w:t>
      </w:r>
      <w:r w:rsidRPr="00AA1550">
        <w:t>s obligation under the Convention and the Court</w:t>
      </w:r>
      <w:r w:rsidR="00C01D3E">
        <w:t>’</w:t>
      </w:r>
      <w:r w:rsidRPr="00AA1550">
        <w:t>s judgments, to secure the right to a fair trial within a reasonable time to all persons under Italy</w:t>
      </w:r>
      <w:r w:rsidR="00C01D3E">
        <w:t>’</w:t>
      </w:r>
      <w:r w:rsidRPr="00AA1550">
        <w:t>s jurisdiction</w:t>
      </w:r>
      <w:r w:rsidR="00BA63BC">
        <w:t>;</w:t>
      </w:r>
    </w:p>
    <w:p w:rsidRPr="00C20E2D" w:rsidR="00B66328" w:rsidP="00B66328" w:rsidRDefault="00204CB7">
      <w:pPr>
        <w:pStyle w:val="JuQuot"/>
      </w:pPr>
      <w:r>
        <w:t>...</w:t>
      </w:r>
      <w:r w:rsidR="00B66328">
        <w:t>”</w:t>
      </w:r>
    </w:p>
    <w:p w:rsidR="00B66328" w:rsidP="00B66328" w:rsidRDefault="008C6CE3">
      <w:pPr>
        <w:pStyle w:val="JuHA"/>
      </w:pPr>
      <w:r>
        <w:t>C.  </w:t>
      </w:r>
      <w:r w:rsidR="00B66328">
        <w:t xml:space="preserve">The European Commission for the </w:t>
      </w:r>
      <w:r w:rsidR="00D24C39">
        <w:t>E</w:t>
      </w:r>
      <w:r w:rsidR="00B66328">
        <w:t xml:space="preserve">fficiency of </w:t>
      </w:r>
      <w:r w:rsidR="00D24C39">
        <w:t>J</w:t>
      </w:r>
      <w:r w:rsidR="00B66328">
        <w:t>ustice (CEPEJ)</w:t>
      </w:r>
    </w:p>
    <w:p w:rsidR="00B66328" w:rsidP="008C6CE3" w:rsidRDefault="00B66328">
      <w:pPr>
        <w:pStyle w:val="JuPara"/>
        <w:rPr>
          <w:b/>
        </w:rPr>
      </w:pPr>
      <w:r>
        <w:fldChar w:fldCharType="begin"/>
      </w:r>
      <w:r>
        <w:instrText xml:space="preserve"> SEQ level0 \*arabic </w:instrText>
      </w:r>
      <w:r>
        <w:fldChar w:fldCharType="separate"/>
      </w:r>
      <w:r w:rsidR="006D3397">
        <w:rPr>
          <w:noProof/>
        </w:rPr>
        <w:t>34</w:t>
      </w:r>
      <w:r>
        <w:fldChar w:fldCharType="end"/>
      </w:r>
      <w:r>
        <w:t>.  </w:t>
      </w:r>
      <w:r w:rsidRPr="00B035A0">
        <w:t xml:space="preserve">The European Commission for the </w:t>
      </w:r>
      <w:r w:rsidR="00D24C39">
        <w:t>E</w:t>
      </w:r>
      <w:r w:rsidRPr="00B035A0">
        <w:t xml:space="preserve">fficiency of </w:t>
      </w:r>
      <w:r w:rsidR="00D24C39">
        <w:t>J</w:t>
      </w:r>
      <w:r w:rsidRPr="00B035A0">
        <w:t xml:space="preserve">ustice </w:t>
      </w:r>
      <w:r>
        <w:t>was set up at the Council of Europe by Resolution Res(2002)12 with the aim of (a) improving the efficiency and the functioning of the justice of member States with a view to ensuring that everyone within their jurisdiction can enforce their legal rights effectively, thereby generating increased confidence of the citizens in the justice system and (b) enabl</w:t>
      </w:r>
      <w:r w:rsidR="00680841">
        <w:t>ing</w:t>
      </w:r>
      <w:r>
        <w:t xml:space="preserve"> a better implementation of the international legal instruments of the Council of Europe concerning efficiency and fairness of justice.</w:t>
      </w:r>
    </w:p>
    <w:p w:rsidRPr="004A768E" w:rsidR="00B66328" w:rsidP="008C6CE3" w:rsidRDefault="00B66328">
      <w:pPr>
        <w:pStyle w:val="JuPara"/>
      </w:pPr>
      <w:r w:rsidRPr="008A7952">
        <w:fldChar w:fldCharType="begin"/>
      </w:r>
      <w:r w:rsidRPr="008A7952">
        <w:instrText xml:space="preserve"> SEQ level0 \*arabic </w:instrText>
      </w:r>
      <w:r w:rsidRPr="008A7952">
        <w:fldChar w:fldCharType="separate"/>
      </w:r>
      <w:r w:rsidR="006D3397">
        <w:rPr>
          <w:noProof/>
        </w:rPr>
        <w:t>35</w:t>
      </w:r>
      <w:r w:rsidRPr="008A7952">
        <w:fldChar w:fldCharType="end"/>
      </w:r>
      <w:r w:rsidRPr="008A7952">
        <w:t>.  </w:t>
      </w:r>
      <w:r>
        <w:t xml:space="preserve">In its framework programme (CEPEJ (2004) 19 Rev </w:t>
      </w:r>
      <w:r w:rsidR="000E3C68">
        <w:t>2 §</w:t>
      </w:r>
      <w:r w:rsidR="00A7291E">
        <w:t xml:space="preserve"> 6</w:t>
      </w:r>
      <w:r>
        <w:t>)</w:t>
      </w:r>
      <w:r w:rsidR="00D24C39">
        <w:t>,</w:t>
      </w:r>
      <w:r w:rsidR="00A7291E">
        <w:t xml:space="preserve"> the CEPEJ noted that </w:t>
      </w:r>
      <w:r>
        <w:t>the mechanisms which are limited to compensation are too weak and do not adequately incite the States to modify their operational process</w:t>
      </w:r>
      <w:r w:rsidR="007D41C8">
        <w:t>,</w:t>
      </w:r>
      <w:r>
        <w:t xml:space="preserve"> and provide </w:t>
      </w:r>
      <w:r w:rsidR="00496B01">
        <w:t>compensation</w:t>
      </w:r>
      <w:r>
        <w:t xml:space="preserve"> </w:t>
      </w:r>
      <w:r w:rsidR="00496B01">
        <w:t xml:space="preserve">only </w:t>
      </w:r>
      <w:r w:rsidRPr="00BF6DD7">
        <w:rPr>
          <w:i/>
        </w:rPr>
        <w:t>a posteriori</w:t>
      </w:r>
      <w:r>
        <w:t xml:space="preserve"> in the event of a proven violation instead of trying to find a sol</w:t>
      </w:r>
      <w:r w:rsidR="00A7291E">
        <w:t>ution for the problem of delays</w:t>
      </w:r>
      <w:r w:rsidR="00D24C39">
        <w:t>.</w:t>
      </w:r>
    </w:p>
    <w:p w:rsidRPr="008213D8" w:rsidR="00B66328" w:rsidP="0070452E" w:rsidRDefault="00B66328">
      <w:pPr>
        <w:pStyle w:val="JuHHead"/>
      </w:pPr>
      <w:r w:rsidRPr="008213D8">
        <w:t>THE LAW</w:t>
      </w:r>
    </w:p>
    <w:p w:rsidRPr="008213D8" w:rsidR="00B66328" w:rsidP="0070452E" w:rsidRDefault="00B66328">
      <w:pPr>
        <w:pStyle w:val="JuHIRoman"/>
      </w:pPr>
      <w:r w:rsidRPr="008213D8">
        <w:t>I.  THE GOVERNMENT</w:t>
      </w:r>
      <w:r w:rsidR="00C01D3E">
        <w:t>’</w:t>
      </w:r>
      <w:r>
        <w:t>S PRELIMINARY OBJECTIONS</w:t>
      </w:r>
    </w:p>
    <w:p w:rsidRPr="00A12D2A" w:rsidR="00B66328" w:rsidP="0070452E" w:rsidRDefault="008C6CE3">
      <w:pPr>
        <w:pStyle w:val="JuHA"/>
      </w:pPr>
      <w:r>
        <w:t>A.  </w:t>
      </w:r>
      <w:r w:rsidRPr="00A12D2A" w:rsidR="00B66328">
        <w:t>The non-exhaustion of domestic remedies</w:t>
      </w:r>
    </w:p>
    <w:p w:rsidR="00B66328" w:rsidP="0070452E" w:rsidRDefault="00B66328">
      <w:pPr>
        <w:pStyle w:val="JuH1"/>
      </w:pPr>
      <w:r>
        <w:t>1. </w:t>
      </w:r>
      <w:r w:rsidR="008C6CE3">
        <w:t> </w:t>
      </w:r>
      <w:r w:rsidRPr="0056630E">
        <w:t>The Government</w:t>
      </w:r>
    </w:p>
    <w:p w:rsidR="00B66328" w:rsidP="008C6CE3" w:rsidRDefault="00B66328">
      <w:pPr>
        <w:pStyle w:val="JuPara"/>
      </w:pPr>
      <w:r>
        <w:fldChar w:fldCharType="begin"/>
      </w:r>
      <w:r>
        <w:instrText xml:space="preserve"> SEQ level0 \*arabic </w:instrText>
      </w:r>
      <w:r>
        <w:fldChar w:fldCharType="separate"/>
      </w:r>
      <w:r w:rsidR="006D3397">
        <w:rPr>
          <w:noProof/>
        </w:rPr>
        <w:t>36</w:t>
      </w:r>
      <w:r>
        <w:fldChar w:fldCharType="end"/>
      </w:r>
      <w:r>
        <w:t>.  The</w:t>
      </w:r>
      <w:r w:rsidRPr="00C93576">
        <w:t xml:space="preserve"> Government asked the Court to declare the application inadmissible for non-exhaustion of domestic remedies and </w:t>
      </w:r>
      <w:r>
        <w:t>accordingly</w:t>
      </w:r>
      <w:r w:rsidRPr="00C93576">
        <w:t xml:space="preserve"> to reconsider the Chamber</w:t>
      </w:r>
      <w:r w:rsidR="00C01D3E">
        <w:t>’</w:t>
      </w:r>
      <w:r w:rsidRPr="00C93576">
        <w:t xml:space="preserve">s decision that an appeal </w:t>
      </w:r>
      <w:r>
        <w:t>to the Court of Cassation on</w:t>
      </w:r>
      <w:r w:rsidRPr="00C93576">
        <w:t xml:space="preserve"> points of law was not a remedy </w:t>
      </w:r>
      <w:r>
        <w:t>that had to be ex</w:t>
      </w:r>
      <w:r w:rsidR="006D3397">
        <w:t>ercised</w:t>
      </w:r>
      <w:r w:rsidRPr="00C93576">
        <w:t xml:space="preserve">. </w:t>
      </w:r>
      <w:r w:rsidRPr="0061011B">
        <w:t>In the Government</w:t>
      </w:r>
      <w:r w:rsidR="00C01D3E">
        <w:t>’</w:t>
      </w:r>
      <w:r w:rsidRPr="0061011B">
        <w:t xml:space="preserve">s submission, the Court </w:t>
      </w:r>
      <w:r>
        <w:t>had erred</w:t>
      </w:r>
      <w:r w:rsidRPr="0061011B">
        <w:t xml:space="preserve"> in its decision </w:t>
      </w:r>
      <w:r w:rsidR="0062559E">
        <w:t xml:space="preserve">in </w:t>
      </w:r>
      <w:r w:rsidRPr="00B66328">
        <w:rPr>
          <w:i/>
          <w:lang w:eastAsia="en-US"/>
        </w:rPr>
        <w:t>Scordino v</w:t>
      </w:r>
      <w:r w:rsidRPr="00B66328">
        <w:rPr>
          <w:i/>
          <w:iCs/>
          <w:lang w:eastAsia="en-US"/>
        </w:rPr>
        <w:t xml:space="preserve">. </w:t>
      </w:r>
      <w:r w:rsidRPr="00B66328">
        <w:rPr>
          <w:i/>
          <w:lang w:eastAsia="en-US"/>
        </w:rPr>
        <w:t xml:space="preserve">Italy </w:t>
      </w:r>
      <w:r w:rsidR="0062559E">
        <w:rPr>
          <w:lang w:eastAsia="en-US"/>
        </w:rPr>
        <w:t>(</w:t>
      </w:r>
      <w:r w:rsidR="0093227F">
        <w:rPr>
          <w:lang w:eastAsia="en-US"/>
        </w:rPr>
        <w:t>(</w:t>
      </w:r>
      <w:r w:rsidRPr="00B66328">
        <w:rPr>
          <w:lang w:eastAsia="en-US"/>
        </w:rPr>
        <w:t>dec.), no. 36813/97, ECHR 2003</w:t>
      </w:r>
      <w:r w:rsidRPr="00B66328">
        <w:rPr>
          <w:lang w:eastAsia="en-US"/>
        </w:rPr>
        <w:noBreakHyphen/>
        <w:t xml:space="preserve">IV) in finding </w:t>
      </w:r>
      <w:r w:rsidRPr="0061011B">
        <w:t>that</w:t>
      </w:r>
      <w:r>
        <w:t>,</w:t>
      </w:r>
      <w:r w:rsidRPr="0061011B">
        <w:t xml:space="preserve"> </w:t>
      </w:r>
      <w:r>
        <w:t>as the Court of Ca</w:t>
      </w:r>
      <w:r w:rsidRPr="0061011B">
        <w:t xml:space="preserve">ssation </w:t>
      </w:r>
      <w:r w:rsidRPr="00BF6DD7">
        <w:t>had always held t</w:t>
      </w:r>
      <w:r>
        <w:t>hat complaints about the amount</w:t>
      </w:r>
      <w:r w:rsidRPr="00BF6DD7">
        <w:t xml:space="preserve"> of compensation </w:t>
      </w:r>
      <w:r>
        <w:t xml:space="preserve">related to questions of fact, which fell within the exclusive jurisdiction of the lower courts, </w:t>
      </w:r>
      <w:r w:rsidRPr="0061011B">
        <w:t xml:space="preserve">an appeal on points of law was not a remedy </w:t>
      </w:r>
      <w:r>
        <w:t>that</w:t>
      </w:r>
      <w:r w:rsidRPr="0061011B">
        <w:t xml:space="preserve"> had to be ex</w:t>
      </w:r>
      <w:r w:rsidR="006D3397">
        <w:t>ercised.</w:t>
      </w:r>
      <w:r w:rsidRPr="0061011B">
        <w:t xml:space="preserve"> </w:t>
      </w:r>
      <w:r w:rsidRPr="00F41BD6">
        <w:t>Admittedly, the Court of Cassation, w</w:t>
      </w:r>
      <w:r>
        <w:t>hich examined</w:t>
      </w:r>
      <w:r w:rsidRPr="00F41BD6">
        <w:t xml:space="preserve"> points of law, </w:t>
      </w:r>
      <w:r>
        <w:t>could not</w:t>
      </w:r>
      <w:r w:rsidRPr="00F41BD6">
        <w:t xml:space="preserve"> superimpose its own assessment of </w:t>
      </w:r>
      <w:r>
        <w:t>questions relating to the merits or the assessment of the facts and evidence on those of the lower courts</w:t>
      </w:r>
      <w:r w:rsidRPr="00F41BD6">
        <w:t xml:space="preserve">. It did, however, have </w:t>
      </w:r>
      <w:r w:rsidR="0062559E">
        <w:t xml:space="preserve">the </w:t>
      </w:r>
      <w:r w:rsidRPr="00F41BD6">
        <w:t xml:space="preserve">power to find that a decision of the lower courts </w:t>
      </w:r>
      <w:r>
        <w:t>was</w:t>
      </w:r>
      <w:r w:rsidRPr="00F41BD6">
        <w:t xml:space="preserve"> </w:t>
      </w:r>
      <w:r>
        <w:t>i</w:t>
      </w:r>
      <w:r w:rsidRPr="00F41BD6">
        <w:t>nconsistent with the correct interpretation of the law or contain</w:t>
      </w:r>
      <w:r>
        <w:t>ed</w:t>
      </w:r>
      <w:r w:rsidRPr="00F41BD6">
        <w:t xml:space="preserve"> grounds that </w:t>
      </w:r>
      <w:r>
        <w:t>were</w:t>
      </w:r>
      <w:r w:rsidRPr="00F41BD6">
        <w:t xml:space="preserve"> illogical or contradictory. In such a case it </w:t>
      </w:r>
      <w:r>
        <w:t>could</w:t>
      </w:r>
      <w:r w:rsidRPr="00F41BD6">
        <w:t xml:space="preserve"> set out the applicable legal principle or mark out the broad lines of the correct interpretation and remit the case to the lower court for a fresh assessment of the evidence on</w:t>
      </w:r>
      <w:r>
        <w:t xml:space="preserve"> the basis of those directions.</w:t>
      </w:r>
      <w:r w:rsidRPr="000A709B">
        <w:t xml:space="preserve"> </w:t>
      </w:r>
      <w:r w:rsidRPr="00D33A5C">
        <w:t xml:space="preserve">That </w:t>
      </w:r>
      <w:r>
        <w:t>submission</w:t>
      </w:r>
      <w:r w:rsidRPr="00D33A5C">
        <w:t xml:space="preserve"> had, moreover, been confirmed by the four judgments </w:t>
      </w:r>
      <w:r>
        <w:t xml:space="preserve">(nos. 1338, 1339, 1340 and 1341) </w:t>
      </w:r>
      <w:r w:rsidRPr="00D33A5C">
        <w:t xml:space="preserve">delivered by the </w:t>
      </w:r>
      <w:r>
        <w:t xml:space="preserve">plenary </w:t>
      </w:r>
      <w:r w:rsidRPr="00D33A5C">
        <w:t xml:space="preserve">Court </w:t>
      </w:r>
      <w:r>
        <w:t xml:space="preserve">of Cassation on </w:t>
      </w:r>
      <w:smartTag w:uri="urn:schemas-microsoft-com:office:smarttags" w:element="date">
        <w:smartTagPr>
          <w:attr w:name="Month" w:val="1"/>
          <w:attr w:name="Day" w:val="26"/>
          <w:attr w:name="Year" w:val="2004"/>
        </w:smartTagPr>
        <w:r>
          <w:t>26</w:t>
        </w:r>
        <w:r w:rsidR="002A7BAA">
          <w:t xml:space="preserve"> </w:t>
        </w:r>
        <w:r>
          <w:t>January</w:t>
        </w:r>
        <w:r w:rsidR="002A7BAA">
          <w:t xml:space="preserve"> </w:t>
        </w:r>
        <w:r w:rsidRPr="00D33A5C">
          <w:t>2004</w:t>
        </w:r>
      </w:smartTag>
      <w:r>
        <w:t xml:space="preserve"> (see paragraphs 24 and 25 above)</w:t>
      </w:r>
      <w:r w:rsidRPr="00D33A5C">
        <w:t>.</w:t>
      </w:r>
    </w:p>
    <w:p w:rsidR="00A31EB8" w:rsidP="00B66328" w:rsidRDefault="00B66328">
      <w:pPr>
        <w:pStyle w:val="JuH1"/>
        <w:keepNext w:val="0"/>
        <w:keepLines w:val="0"/>
      </w:pPr>
      <w:r>
        <w:t>2</w:t>
      </w:r>
      <w:r w:rsidR="008C6CE3">
        <w:t>.  </w:t>
      </w:r>
      <w:r w:rsidRPr="009E6933">
        <w:t>The applicant</w:t>
      </w:r>
    </w:p>
    <w:p w:rsidRPr="008B7393" w:rsidR="00B66328" w:rsidP="008C6CE3" w:rsidRDefault="00B66328">
      <w:pPr>
        <w:pStyle w:val="JuPara"/>
      </w:pPr>
      <w:r>
        <w:fldChar w:fldCharType="begin"/>
      </w:r>
      <w:r>
        <w:instrText xml:space="preserve"> SEQ level0 \*arabic </w:instrText>
      </w:r>
      <w:r>
        <w:fldChar w:fldCharType="separate"/>
      </w:r>
      <w:r w:rsidR="006D3397">
        <w:rPr>
          <w:noProof/>
        </w:rPr>
        <w:t>37</w:t>
      </w:r>
      <w:r>
        <w:fldChar w:fldCharType="end"/>
      </w:r>
      <w:r>
        <w:t>.  </w:t>
      </w:r>
      <w:r w:rsidRPr="00914B8D">
        <w:t>The applicant submi</w:t>
      </w:r>
      <w:r>
        <w:t>t</w:t>
      </w:r>
      <w:r w:rsidRPr="00914B8D">
        <w:t>t</w:t>
      </w:r>
      <w:r>
        <w:t>ed</w:t>
      </w:r>
      <w:r w:rsidRPr="00914B8D">
        <w:t xml:space="preserve"> that the Government </w:t>
      </w:r>
      <w:r>
        <w:t>were</w:t>
      </w:r>
      <w:r w:rsidRPr="00914B8D">
        <w:t xml:space="preserve"> </w:t>
      </w:r>
      <w:r>
        <w:t>e</w:t>
      </w:r>
      <w:r w:rsidRPr="00914B8D">
        <w:t xml:space="preserve">stopped from raising that question because they </w:t>
      </w:r>
      <w:r>
        <w:t xml:space="preserve">had </w:t>
      </w:r>
      <w:r w:rsidRPr="00914B8D">
        <w:t xml:space="preserve">never validly raised it before the Chamber. </w:t>
      </w:r>
      <w:r w:rsidRPr="00544AF1">
        <w:t>In any event the Government</w:t>
      </w:r>
      <w:r>
        <w:t xml:space="preserve"> </w:t>
      </w:r>
      <w:r w:rsidR="0062559E">
        <w:t xml:space="preserve">were </w:t>
      </w:r>
      <w:r w:rsidRPr="00544AF1">
        <w:t>merely put</w:t>
      </w:r>
      <w:r w:rsidR="0062559E">
        <w:t>ting</w:t>
      </w:r>
      <w:r w:rsidRPr="00544AF1">
        <w:t xml:space="preserve"> forward arguments that had already been rejected by the Cha</w:t>
      </w:r>
      <w:r>
        <w:t>mber in the admissibility de</w:t>
      </w:r>
      <w:r w:rsidRPr="00544AF1">
        <w:t xml:space="preserve">cision </w:t>
      </w:r>
      <w:r>
        <w:t>and in its judgment on the merits of the case</w:t>
      </w:r>
      <w:r w:rsidRPr="00544AF1">
        <w:t xml:space="preserve">. </w:t>
      </w:r>
      <w:r w:rsidRPr="00215259">
        <w:t xml:space="preserve">He observed that up until the </w:t>
      </w:r>
      <w:r w:rsidRPr="005048C9">
        <w:t>Court of Cassation</w:t>
      </w:r>
      <w:r w:rsidR="00C01D3E">
        <w:t>’</w:t>
      </w:r>
      <w:r>
        <w:t>s departure from</w:t>
      </w:r>
      <w:r w:rsidRPr="005048C9">
        <w:t xml:space="preserve"> precedent</w:t>
      </w:r>
      <w:r w:rsidRPr="00215259">
        <w:t xml:space="preserve">, which had </w:t>
      </w:r>
      <w:r>
        <w:t>not been until</w:t>
      </w:r>
      <w:r w:rsidRPr="00215259">
        <w:t xml:space="preserve"> after the decision in </w:t>
      </w:r>
      <w:r w:rsidRPr="00215259">
        <w:rPr>
          <w:i/>
        </w:rPr>
        <w:t>Scordino</w:t>
      </w:r>
      <w:r w:rsidRPr="00215259">
        <w:t xml:space="preserve"> (cited above), the Italian courts had not felt bound by the Court</w:t>
      </w:r>
      <w:r w:rsidR="00C01D3E">
        <w:t>’</w:t>
      </w:r>
      <w:r w:rsidRPr="00215259">
        <w:t>s case-law</w:t>
      </w:r>
      <w:r>
        <w:t xml:space="preserve"> referred to</w:t>
      </w:r>
      <w:r w:rsidRPr="00215259">
        <w:t xml:space="preserve"> by lawyer</w:t>
      </w:r>
      <w:r>
        <w:t xml:space="preserve">s </w:t>
      </w:r>
      <w:r w:rsidRPr="00215259">
        <w:t>i</w:t>
      </w:r>
      <w:r>
        <w:t>n appeals</w:t>
      </w:r>
      <w:r w:rsidR="0062559E">
        <w:t>,</w:t>
      </w:r>
      <w:r>
        <w:t xml:space="preserve"> and that he was </w:t>
      </w:r>
      <w:r w:rsidR="0062559E">
        <w:t xml:space="preserve">not </w:t>
      </w:r>
      <w:r>
        <w:t>aware of any judgment of the Court of C</w:t>
      </w:r>
      <w:r w:rsidRPr="00215259">
        <w:t xml:space="preserve">assation </w:t>
      </w:r>
      <w:r>
        <w:t>prior to that departure from precedent in which it had entertained an appeal based solely on the fact that the amount</w:t>
      </w:r>
      <w:r w:rsidRPr="00215259">
        <w:t xml:space="preserve"> </w:t>
      </w:r>
      <w:r>
        <w:t>awarded bore no relation to the amounts awarded by the European Court</w:t>
      </w:r>
      <w:r w:rsidRPr="00215259">
        <w:t xml:space="preserve">. </w:t>
      </w:r>
      <w:r w:rsidRPr="008B7393">
        <w:t>He also pointed out that</w:t>
      </w:r>
      <w:r>
        <w:t>,</w:t>
      </w:r>
      <w:r w:rsidRPr="008B7393">
        <w:t xml:space="preserve"> as far as his case was concerned</w:t>
      </w:r>
      <w:r>
        <w:t>,</w:t>
      </w:r>
      <w:r w:rsidRPr="008B7393">
        <w:t xml:space="preserve"> the Court of Appeal</w:t>
      </w:r>
      <w:r w:rsidR="00C01D3E">
        <w:t>’</w:t>
      </w:r>
      <w:r w:rsidRPr="008B7393">
        <w:t>s de</w:t>
      </w:r>
      <w:r>
        <w:t>cision</w:t>
      </w:r>
      <w:r w:rsidRPr="008B7393">
        <w:t xml:space="preserve"> had </w:t>
      </w:r>
      <w:r w:rsidRPr="00431743">
        <w:t>become final</w:t>
      </w:r>
      <w:r w:rsidRPr="008B7393">
        <w:t xml:space="preserve"> long before the Court of Cassation</w:t>
      </w:r>
      <w:r w:rsidR="00C01D3E">
        <w:t>’</w:t>
      </w:r>
      <w:r>
        <w:t>s</w:t>
      </w:r>
      <w:r w:rsidRPr="008B7393">
        <w:t xml:space="preserve"> </w:t>
      </w:r>
      <w:r>
        <w:t>departure from precedent, and therefore asked the Court to reject the Government</w:t>
      </w:r>
      <w:r w:rsidR="00C01D3E">
        <w:t>’</w:t>
      </w:r>
      <w:r>
        <w:t>s objection</w:t>
      </w:r>
      <w:r w:rsidR="005A0F55">
        <w:t xml:space="preserve"> and confirm the judgment of 10 </w:t>
      </w:r>
      <w:r>
        <w:t xml:space="preserve">November 2004 (see </w:t>
      </w:r>
      <w:r w:rsidR="00471D30">
        <w:t>paragraphs</w:t>
      </w:r>
      <w:r w:rsidR="005A0F55">
        <w:t> </w:t>
      </w:r>
      <w:r>
        <w:t>14-</w:t>
      </w:r>
      <w:r w:rsidRPr="008B7393">
        <w:t xml:space="preserve">16 </w:t>
      </w:r>
      <w:r>
        <w:t>of the Chamber judgment</w:t>
      </w:r>
      <w:r w:rsidRPr="008B7393">
        <w:t>).</w:t>
      </w:r>
    </w:p>
    <w:p w:rsidR="00B66328" w:rsidP="008C6CE3" w:rsidRDefault="008C6CE3">
      <w:pPr>
        <w:pStyle w:val="JuH1"/>
      </w:pPr>
      <w:r>
        <w:t>3.  </w:t>
      </w:r>
      <w:r w:rsidRPr="009E6933" w:rsidR="00B66328">
        <w:t>The Court</w:t>
      </w:r>
      <w:r w:rsidR="00C01D3E">
        <w:t>’</w:t>
      </w:r>
      <w:r w:rsidRPr="009E6933" w:rsidR="00B66328">
        <w:t>s assessment</w:t>
      </w:r>
    </w:p>
    <w:p w:rsidR="00B66328" w:rsidP="008C6CE3" w:rsidRDefault="00B66328">
      <w:pPr>
        <w:pStyle w:val="JuPara"/>
      </w:pPr>
      <w:r>
        <w:fldChar w:fldCharType="begin"/>
      </w:r>
      <w:r>
        <w:instrText xml:space="preserve"> SEQ level0 \*arabic </w:instrText>
      </w:r>
      <w:r>
        <w:fldChar w:fldCharType="separate"/>
      </w:r>
      <w:r w:rsidR="006D3397">
        <w:rPr>
          <w:noProof/>
        </w:rPr>
        <w:t>38</w:t>
      </w:r>
      <w:r>
        <w:fldChar w:fldCharType="end"/>
      </w:r>
      <w:r>
        <w:t>.  Under</w:t>
      </w:r>
      <w:r w:rsidRPr="00D03312">
        <w:t xml:space="preserve"> Article 1</w:t>
      </w:r>
      <w:r w:rsidR="0062559E">
        <w:t xml:space="preserve"> of the Convention</w:t>
      </w:r>
      <w:r>
        <w:t>,</w:t>
      </w:r>
      <w:r w:rsidRPr="00D03312">
        <w:t xml:space="preserve"> which provides</w:t>
      </w:r>
      <w:r>
        <w:t>:</w:t>
      </w:r>
      <w:r w:rsidRPr="00D03312">
        <w:t xml:space="preserve"> “The High Contracting Parties shall secure to everyone within their jurisdiction the rights and freedoms defined in Section I of this Convention”, the primary responsibility for implementing and enforcing the rights and freedoms</w:t>
      </w:r>
      <w:r w:rsidRPr="00096F97">
        <w:t xml:space="preserve"> </w:t>
      </w:r>
      <w:r w:rsidRPr="00D03312">
        <w:t>guaranteed</w:t>
      </w:r>
      <w:r>
        <w:t xml:space="preserve"> by the Convention</w:t>
      </w:r>
      <w:r w:rsidRPr="00D03312">
        <w:t xml:space="preserve"> is </w:t>
      </w:r>
      <w:r>
        <w:t>laid on the national authorities</w:t>
      </w:r>
      <w:r w:rsidRPr="00D03312">
        <w:t>. The machinery of complaint to the Court is thus subsidiary to national systems safeguarding human rights. This subsidiary character is articulated in Articles 1</w:t>
      </w:r>
      <w:r>
        <w:t>3 and 35 § 1 of the Convention.</w:t>
      </w:r>
    </w:p>
    <w:p w:rsidRPr="00504D24" w:rsidR="00B66328" w:rsidP="008C6CE3" w:rsidRDefault="00B66328">
      <w:pPr>
        <w:pStyle w:val="JuPara"/>
        <w:rPr>
          <w:lang w:eastAsia="en-US"/>
        </w:rPr>
      </w:pPr>
      <w:r>
        <w:fldChar w:fldCharType="begin"/>
      </w:r>
      <w:r>
        <w:instrText xml:space="preserve"> SEQ level0 \*arabic </w:instrText>
      </w:r>
      <w:r>
        <w:fldChar w:fldCharType="separate"/>
      </w:r>
      <w:r w:rsidR="006D3397">
        <w:rPr>
          <w:noProof/>
        </w:rPr>
        <w:t>39</w:t>
      </w:r>
      <w:r>
        <w:fldChar w:fldCharType="end"/>
      </w:r>
      <w:r>
        <w:t>.  </w:t>
      </w:r>
      <w:r w:rsidRPr="00B75D02">
        <w:t>The purpose of Article 35</w:t>
      </w:r>
      <w:r>
        <w:t xml:space="preserve"> </w:t>
      </w:r>
      <w:r w:rsidRPr="00B75D02">
        <w:t>§ 1</w:t>
      </w:r>
      <w:r>
        <w:t>,</w:t>
      </w:r>
      <w:r w:rsidRPr="00504D24">
        <w:t xml:space="preserve"> which sets out the rule on exhaustion of domestic remedies</w:t>
      </w:r>
      <w:r>
        <w:t>,</w:t>
      </w:r>
      <w:r w:rsidRPr="00B75D02">
        <w:t xml:space="preserve"> is to afford the Contracting States the opportunity of preventing or putting right the violations alleged against them before those allegations are submitted to the Cou</w:t>
      </w:r>
      <w:r>
        <w:t>rt</w:t>
      </w:r>
      <w:r w:rsidRPr="00B75D02">
        <w:t xml:space="preserve"> (see, among other authorities, </w:t>
      </w:r>
      <w:r w:rsidRPr="00B75D02">
        <w:rPr>
          <w:i/>
        </w:rPr>
        <w:t>Selmouni v. France</w:t>
      </w:r>
      <w:r w:rsidRPr="00B75D02">
        <w:t xml:space="preserve"> [GC], n</w:t>
      </w:r>
      <w:r w:rsidRPr="00783B53">
        <w:t>o</w:t>
      </w:r>
      <w:r>
        <w:t>.</w:t>
      </w:r>
      <w:r w:rsidR="002A7BAA">
        <w:t xml:space="preserve"> </w:t>
      </w:r>
      <w:r w:rsidRPr="00B75D02">
        <w:t xml:space="preserve">25803/94, § 74, </w:t>
      </w:r>
      <w:r>
        <w:t>ECHR</w:t>
      </w:r>
      <w:r w:rsidRPr="00B75D02">
        <w:t xml:space="preserve"> 1999-V). </w:t>
      </w:r>
      <w:r w:rsidR="005A0F55">
        <w:t xml:space="preserve">The rule in Article 35 § </w:t>
      </w:r>
      <w:r w:rsidRPr="00504D24">
        <w:t>1 is based on the assumption, reflected in Article 13 (with which it has close affinity), that there is an effective domestic remedy available in respect of the alleged breach of an indivi</w:t>
      </w:r>
      <w:r>
        <w:t>dual</w:t>
      </w:r>
      <w:r w:rsidR="00C01D3E">
        <w:t>’</w:t>
      </w:r>
      <w:r>
        <w:t xml:space="preserve">s Convention rights </w:t>
      </w:r>
      <w:r w:rsidRPr="00504D24">
        <w:rPr>
          <w:lang w:eastAsia="en-US"/>
        </w:rPr>
        <w:t>(see</w:t>
      </w:r>
      <w:r>
        <w:rPr>
          <w:i/>
          <w:lang w:eastAsia="en-US"/>
        </w:rPr>
        <w:t xml:space="preserve"> Kudła v</w:t>
      </w:r>
      <w:r w:rsidRPr="00504D24">
        <w:rPr>
          <w:i/>
          <w:lang w:eastAsia="en-US"/>
        </w:rPr>
        <w:t xml:space="preserve">. </w:t>
      </w:r>
      <w:r>
        <w:rPr>
          <w:i/>
          <w:lang w:eastAsia="en-US"/>
        </w:rPr>
        <w:t>Poland</w:t>
      </w:r>
      <w:r w:rsidRPr="00504D24">
        <w:rPr>
          <w:i/>
          <w:lang w:eastAsia="en-US"/>
        </w:rPr>
        <w:t xml:space="preserve"> </w:t>
      </w:r>
      <w:r w:rsidRPr="00504D24">
        <w:rPr>
          <w:lang w:eastAsia="en-US"/>
        </w:rPr>
        <w:t>[GC], n</w:t>
      </w:r>
      <w:r>
        <w:rPr>
          <w:lang w:eastAsia="en-US"/>
        </w:rPr>
        <w:t>o.</w:t>
      </w:r>
      <w:r w:rsidRPr="00504D24">
        <w:rPr>
          <w:lang w:eastAsia="en-US"/>
        </w:rPr>
        <w:t xml:space="preserve"> 30210/96, § 152, </w:t>
      </w:r>
      <w:r>
        <w:rPr>
          <w:lang w:eastAsia="en-US"/>
        </w:rPr>
        <w:t>ECHR</w:t>
      </w:r>
      <w:r w:rsidRPr="00504D24">
        <w:rPr>
          <w:lang w:eastAsia="en-US"/>
        </w:rPr>
        <w:t xml:space="preserve"> 2000</w:t>
      </w:r>
      <w:r w:rsidRPr="00504D24">
        <w:rPr>
          <w:lang w:eastAsia="en-US"/>
        </w:rPr>
        <w:noBreakHyphen/>
        <w:t>XI)</w:t>
      </w:r>
      <w:r w:rsidRPr="00504D24">
        <w:t>.</w:t>
      </w:r>
    </w:p>
    <w:p w:rsidR="00A31EB8" w:rsidP="008C6CE3" w:rsidRDefault="00B66328">
      <w:pPr>
        <w:pStyle w:val="JuPara"/>
      </w:pPr>
      <w:r>
        <w:fldChar w:fldCharType="begin"/>
      </w:r>
      <w:r>
        <w:instrText xml:space="preserve"> SEQ level0 \*arabic </w:instrText>
      </w:r>
      <w:r>
        <w:fldChar w:fldCharType="separate"/>
      </w:r>
      <w:r w:rsidR="006D3397">
        <w:rPr>
          <w:noProof/>
        </w:rPr>
        <w:t>40</w:t>
      </w:r>
      <w:r>
        <w:fldChar w:fldCharType="end"/>
      </w:r>
      <w:r>
        <w:t>.  </w:t>
      </w:r>
      <w:r w:rsidRPr="00783455">
        <w:t>Nevertheless, the only remedies</w:t>
      </w:r>
      <w:r w:rsidR="0062559E">
        <w:t xml:space="preserve"> which Article </w:t>
      </w:r>
      <w:r>
        <w:t>35</w:t>
      </w:r>
      <w:r w:rsidRPr="00783455">
        <w:t xml:space="preserve"> of the Convention requires to be exhausted are those that relate to the breaches alleged and at the same time are available and sufficient. The existence of such remedies must be sufficiently certain not only in theory but also in practice, failing which they will lack the requisite accessibility and effectiveness (</w:t>
      </w:r>
      <w:r>
        <w:t xml:space="preserve">see, </w:t>
      </w:r>
      <w:r w:rsidRPr="008039B0">
        <w:rPr>
          <w:i/>
        </w:rPr>
        <w:t>inter alia</w:t>
      </w:r>
      <w:r>
        <w:t>,</w:t>
      </w:r>
      <w:r w:rsidRPr="00783455">
        <w:t xml:space="preserve"> </w:t>
      </w:r>
      <w:r>
        <w:rPr>
          <w:i/>
          <w:lang w:eastAsia="en-US"/>
        </w:rPr>
        <w:t>Vernillo v.</w:t>
      </w:r>
      <w:r w:rsidRPr="00783455">
        <w:rPr>
          <w:i/>
          <w:lang w:eastAsia="en-US"/>
        </w:rPr>
        <w:t xml:space="preserve"> France</w:t>
      </w:r>
      <w:r w:rsidRPr="00783455">
        <w:rPr>
          <w:lang w:eastAsia="en-US"/>
        </w:rPr>
        <w:t xml:space="preserve">, 20 </w:t>
      </w:r>
      <w:r>
        <w:rPr>
          <w:lang w:eastAsia="en-US"/>
        </w:rPr>
        <w:t>February</w:t>
      </w:r>
      <w:r w:rsidRPr="00783455">
        <w:rPr>
          <w:lang w:eastAsia="en-US"/>
        </w:rPr>
        <w:t xml:space="preserve"> 1991, </w:t>
      </w:r>
      <w:r w:rsidR="0062559E">
        <w:t xml:space="preserve">§ 27, </w:t>
      </w:r>
      <w:r>
        <w:rPr>
          <w:lang w:eastAsia="en-US"/>
        </w:rPr>
        <w:t>Series A no. 198</w:t>
      </w:r>
      <w:r w:rsidRPr="00783455">
        <w:t xml:space="preserve">; </w:t>
      </w:r>
      <w:r w:rsidRPr="00783455">
        <w:rPr>
          <w:i/>
          <w:lang w:eastAsia="en-US"/>
        </w:rPr>
        <w:t xml:space="preserve">Dalia </w:t>
      </w:r>
      <w:r>
        <w:rPr>
          <w:i/>
          <w:lang w:eastAsia="en-US"/>
        </w:rPr>
        <w:t>v. France</w:t>
      </w:r>
      <w:r w:rsidRPr="00783455">
        <w:rPr>
          <w:lang w:eastAsia="en-US"/>
        </w:rPr>
        <w:t xml:space="preserve">, </w:t>
      </w:r>
      <w:r>
        <w:rPr>
          <w:lang w:eastAsia="en-US"/>
        </w:rPr>
        <w:t>19</w:t>
      </w:r>
      <w:r w:rsidR="002A7BAA">
        <w:rPr>
          <w:lang w:eastAsia="en-US"/>
        </w:rPr>
        <w:t xml:space="preserve"> </w:t>
      </w:r>
      <w:r>
        <w:rPr>
          <w:lang w:eastAsia="en-US"/>
        </w:rPr>
        <w:t>February</w:t>
      </w:r>
      <w:r w:rsidRPr="00783455">
        <w:rPr>
          <w:lang w:eastAsia="en-US"/>
        </w:rPr>
        <w:t xml:space="preserve"> 1998, </w:t>
      </w:r>
      <w:r w:rsidRPr="00783455" w:rsidR="0062559E">
        <w:t>§</w:t>
      </w:r>
      <w:r w:rsidR="0062559E">
        <w:t xml:space="preserve"> </w:t>
      </w:r>
      <w:r w:rsidRPr="00783455" w:rsidR="0062559E">
        <w:t>38</w:t>
      </w:r>
      <w:r w:rsidR="0062559E">
        <w:t xml:space="preserve">, </w:t>
      </w:r>
      <w:r>
        <w:rPr>
          <w:i/>
          <w:lang w:eastAsia="en-US"/>
        </w:rPr>
        <w:t>Reports of Judgments and Decisions</w:t>
      </w:r>
      <w:r w:rsidRPr="00783455">
        <w:rPr>
          <w:lang w:eastAsia="en-US"/>
        </w:rPr>
        <w:t xml:space="preserve"> 1998</w:t>
      </w:r>
      <w:r w:rsidRPr="00783455">
        <w:rPr>
          <w:lang w:eastAsia="en-US"/>
        </w:rPr>
        <w:noBreakHyphen/>
        <w:t>I</w:t>
      </w:r>
      <w:r w:rsidRPr="00783455">
        <w:t>;</w:t>
      </w:r>
      <w:r w:rsidRPr="00783455">
        <w:rPr>
          <w:i/>
        </w:rPr>
        <w:t xml:space="preserve"> </w:t>
      </w:r>
      <w:r w:rsidRPr="008039B0">
        <w:t>and</w:t>
      </w:r>
      <w:r>
        <w:rPr>
          <w:i/>
        </w:rPr>
        <w:t xml:space="preserve"> </w:t>
      </w:r>
      <w:r w:rsidRPr="00B66328">
        <w:rPr>
          <w:i/>
          <w:lang w:eastAsia="en-US"/>
        </w:rPr>
        <w:t>M</w:t>
      </w:r>
      <w:r w:rsidRPr="00783455">
        <w:rPr>
          <w:i/>
          <w:lang w:eastAsia="en-US"/>
        </w:rPr>
        <w:t xml:space="preserve">ifsud </w:t>
      </w:r>
      <w:r>
        <w:rPr>
          <w:i/>
          <w:lang w:eastAsia="en-US"/>
        </w:rPr>
        <w:t>v. France</w:t>
      </w:r>
      <w:r w:rsidRPr="00783455">
        <w:rPr>
          <w:lang w:eastAsia="en-US"/>
        </w:rPr>
        <w:t xml:space="preserve"> (</w:t>
      </w:r>
      <w:r>
        <w:rPr>
          <w:lang w:eastAsia="en-US"/>
        </w:rPr>
        <w:t>dec.</w:t>
      </w:r>
      <w:r w:rsidRPr="00783455">
        <w:rPr>
          <w:lang w:eastAsia="en-US"/>
        </w:rPr>
        <w:t>) [GC], n</w:t>
      </w:r>
      <w:r>
        <w:rPr>
          <w:lang w:eastAsia="en-US"/>
        </w:rPr>
        <w:t xml:space="preserve">o. </w:t>
      </w:r>
      <w:r w:rsidRPr="00783455">
        <w:rPr>
          <w:lang w:eastAsia="en-US"/>
        </w:rPr>
        <w:t xml:space="preserve">57220/00, </w:t>
      </w:r>
      <w:r>
        <w:rPr>
          <w:lang w:eastAsia="en-US"/>
        </w:rPr>
        <w:t>ECHR</w:t>
      </w:r>
      <w:r w:rsidRPr="00783455">
        <w:rPr>
          <w:lang w:eastAsia="en-US"/>
        </w:rPr>
        <w:t xml:space="preserve"> 2002</w:t>
      </w:r>
      <w:r w:rsidRPr="00783455">
        <w:rPr>
          <w:lang w:eastAsia="en-US"/>
        </w:rPr>
        <w:noBreakHyphen/>
        <w:t>VIII)</w:t>
      </w:r>
      <w:r w:rsidRPr="00783455">
        <w:t>.</w:t>
      </w:r>
    </w:p>
    <w:p w:rsidRPr="004076CC" w:rsidR="00B66328" w:rsidP="00B66328" w:rsidRDefault="00B66328">
      <w:pPr>
        <w:pStyle w:val="JuPara"/>
      </w:pPr>
      <w:r>
        <w:fldChar w:fldCharType="begin"/>
      </w:r>
      <w:r w:rsidRPr="0091758E">
        <w:instrText xml:space="preserve"> SEQ level0 \*arabic </w:instrText>
      </w:r>
      <w:r>
        <w:fldChar w:fldCharType="separate"/>
      </w:r>
      <w:r w:rsidR="006D3397">
        <w:rPr>
          <w:noProof/>
        </w:rPr>
        <w:t>41</w:t>
      </w:r>
      <w:r>
        <w:fldChar w:fldCharType="end"/>
      </w:r>
      <w:r w:rsidRPr="0091758E">
        <w:t>.  </w:t>
      </w:r>
      <w:r w:rsidRPr="0091758E" w:rsidR="00D26B46">
        <w:t xml:space="preserve">By enacting the Pinto Act, </w:t>
      </w:r>
      <w:smartTag w:uri="urn:schemas-microsoft-com:office:smarttags" w:element="place">
        <w:smartTag w:uri="urn:schemas-microsoft-com:office:smarttags" w:element="country-region">
          <w:r w:rsidR="00D26B46" w:rsidRPr="0091758E">
            <w:rPr>
              <w:snapToGrid w:val="0"/>
              <w:lang w:eastAsia="en-US"/>
            </w:rPr>
            <w:t>Italy</w:t>
          </w:r>
        </w:smartTag>
      </w:smartTag>
      <w:r w:rsidRPr="0091758E" w:rsidR="00D26B46">
        <w:rPr>
          <w:snapToGrid w:val="0"/>
          <w:lang w:eastAsia="en-US"/>
        </w:rPr>
        <w:t xml:space="preserve"> introduced a purely compensatory remedy for cases in which there had been a breach of the reasonable-time principle</w:t>
      </w:r>
      <w:r w:rsidRPr="0091758E" w:rsidDel="001846B3" w:rsidR="00D26B46">
        <w:t xml:space="preserve"> </w:t>
      </w:r>
      <w:r w:rsidRPr="0091758E" w:rsidR="00D26B46">
        <w:t>(see paragraph 2</w:t>
      </w:r>
      <w:r w:rsidR="00757517">
        <w:t>3</w:t>
      </w:r>
      <w:r w:rsidR="00D26B46">
        <w:t xml:space="preserve"> above</w:t>
      </w:r>
      <w:r w:rsidRPr="0091758E" w:rsidR="00D26B46">
        <w:t xml:space="preserve">). </w:t>
      </w:r>
      <w:r w:rsidRPr="0091758E" w:rsidR="00D26B46">
        <w:rPr>
          <w:snapToGrid w:val="0"/>
          <w:lang w:eastAsia="en-US"/>
        </w:rPr>
        <w:t>The Court has already held that the rem</w:t>
      </w:r>
      <w:r w:rsidR="00D26B46">
        <w:rPr>
          <w:snapToGrid w:val="0"/>
          <w:lang w:eastAsia="en-US"/>
        </w:rPr>
        <w:t>edy before the courts of appeal</w:t>
      </w:r>
      <w:r w:rsidRPr="0091758E" w:rsidR="00D26B46">
        <w:rPr>
          <w:snapToGrid w:val="0"/>
          <w:lang w:eastAsia="en-US"/>
        </w:rPr>
        <w:t xml:space="preserve"> introduced by the P</w:t>
      </w:r>
      <w:r w:rsidR="00D26B46">
        <w:rPr>
          <w:snapToGrid w:val="0"/>
          <w:lang w:eastAsia="en-US"/>
        </w:rPr>
        <w:t>into Act</w:t>
      </w:r>
      <w:r w:rsidRPr="0091758E" w:rsidR="00D26B46">
        <w:rPr>
          <w:snapToGrid w:val="0"/>
          <w:lang w:eastAsia="en-US"/>
        </w:rPr>
        <w:t xml:space="preserve"> was accessible and that there was no reason to question its effectiveness</w:t>
      </w:r>
      <w:r w:rsidRPr="0091758E" w:rsidR="00D26B46">
        <w:t xml:space="preserve"> (see </w:t>
      </w:r>
      <w:r w:rsidRPr="0091758E" w:rsidR="00D26B46">
        <w:rPr>
          <w:i/>
        </w:rPr>
        <w:t>Brusco v. Italy</w:t>
      </w:r>
      <w:r w:rsidRPr="0091758E" w:rsidR="00D26B46">
        <w:t xml:space="preserve"> (dec.), no.</w:t>
      </w:r>
      <w:r w:rsidR="002A7BAA">
        <w:t xml:space="preserve"> </w:t>
      </w:r>
      <w:r w:rsidRPr="0091758E" w:rsidR="00D26B46">
        <w:t xml:space="preserve">69789/01, ECHR 2001-IX). </w:t>
      </w:r>
      <w:r w:rsidRPr="00B910CA" w:rsidR="00D26B46">
        <w:rPr>
          <w:snapToGrid w:val="0"/>
          <w:lang w:eastAsia="en-US"/>
        </w:rPr>
        <w:t xml:space="preserve">Moreover, having regard to the nature of the Pinto Act and the context in which it was passed, the Court went on to find that there were grounds for departing from the general principle that the exhaustion requirement should be assessed with reference to the time at which the application was lodged. </w:t>
      </w:r>
      <w:r w:rsidRPr="000976E6" w:rsidR="00D26B46">
        <w:rPr>
          <w:snapToGrid w:val="0"/>
          <w:lang w:eastAsia="en-US"/>
        </w:rPr>
        <w:t xml:space="preserve">That was </w:t>
      </w:r>
      <w:r w:rsidR="00D26B46">
        <w:rPr>
          <w:snapToGrid w:val="0"/>
          <w:lang w:eastAsia="en-US"/>
        </w:rPr>
        <w:t>the case</w:t>
      </w:r>
      <w:r w:rsidRPr="000976E6" w:rsidR="00D26B46">
        <w:t xml:space="preserve"> not only in respect of applications lodged after the date on which the Act came into force, but also of those which were already on the Court</w:t>
      </w:r>
      <w:r w:rsidR="00C01D3E">
        <w:t>’</w:t>
      </w:r>
      <w:r w:rsidRPr="000976E6" w:rsidR="00D26B46">
        <w:t xml:space="preserve">s list of cases by that date. It </w:t>
      </w:r>
      <w:r w:rsidR="0062559E">
        <w:t>took</w:t>
      </w:r>
      <w:r w:rsidRPr="000976E6" w:rsidR="00D26B46">
        <w:t xml:space="preserve"> into consideration</w:t>
      </w:r>
      <w:r w:rsidR="00D26B46">
        <w:t>, among other things,</w:t>
      </w:r>
      <w:r w:rsidRPr="000976E6" w:rsidR="00D26B46">
        <w:t xml:space="preserve"> the transitional provision provided for in section 6 of the Pinto Act (see paragraph </w:t>
      </w:r>
      <w:r w:rsidR="00D26B46">
        <w:t>23</w:t>
      </w:r>
      <w:r w:rsidRPr="000976E6" w:rsidR="00D26B46">
        <w:t xml:space="preserve"> above), which afforded Italian litigants a genuine opportunity to obtain redress for their grievances at national level for all applications currently pending before the Court that had not yet been declared admissible </w:t>
      </w:r>
      <w:r w:rsidRPr="000976E6" w:rsidR="00D26B46">
        <w:rPr>
          <w:snapToGrid w:val="0"/>
          <w:lang w:eastAsia="en-US"/>
        </w:rPr>
        <w:t>(ibid</w:t>
      </w:r>
      <w:r w:rsidRPr="000976E6" w:rsidR="00D26B46">
        <w:rPr>
          <w:i/>
          <w:snapToGrid w:val="0"/>
          <w:lang w:eastAsia="en-US"/>
        </w:rPr>
        <w:t>.</w:t>
      </w:r>
      <w:r w:rsidRPr="000976E6" w:rsidR="00D26B46">
        <w:rPr>
          <w:snapToGrid w:val="0"/>
          <w:lang w:eastAsia="en-US"/>
        </w:rPr>
        <w:t>)</w:t>
      </w:r>
      <w:r w:rsidR="00D26B46">
        <w:rPr>
          <w:snapToGrid w:val="0"/>
          <w:lang w:eastAsia="en-US"/>
        </w:rPr>
        <w:t>.</w:t>
      </w:r>
    </w:p>
    <w:p w:rsidR="00B66328" w:rsidP="008C6CE3" w:rsidRDefault="00B66328">
      <w:pPr>
        <w:pStyle w:val="JuPara"/>
      </w:pPr>
      <w:r>
        <w:fldChar w:fldCharType="begin"/>
      </w:r>
      <w:r>
        <w:instrText xml:space="preserve"> SEQ level0 \*arabic </w:instrText>
      </w:r>
      <w:r>
        <w:fldChar w:fldCharType="separate"/>
      </w:r>
      <w:r w:rsidR="006D3397">
        <w:rPr>
          <w:noProof/>
        </w:rPr>
        <w:t>42</w:t>
      </w:r>
      <w:r>
        <w:fldChar w:fldCharType="end"/>
      </w:r>
      <w:r>
        <w:t xml:space="preserve">.  In the </w:t>
      </w:r>
      <w:r w:rsidRPr="00775C87">
        <w:rPr>
          <w:i/>
        </w:rPr>
        <w:t>Scordino</w:t>
      </w:r>
      <w:r>
        <w:t xml:space="preserve"> </w:t>
      </w:r>
      <w:r w:rsidR="0062559E">
        <w:t>decision</w:t>
      </w:r>
      <w:r>
        <w:t xml:space="preserve"> (cited above)</w:t>
      </w:r>
      <w:r w:rsidR="0062559E">
        <w:t>,</w:t>
      </w:r>
      <w:r w:rsidRPr="0095360B">
        <w:t xml:space="preserve"> </w:t>
      </w:r>
      <w:r w:rsidRPr="002905F4">
        <w:t xml:space="preserve">the </w:t>
      </w:r>
      <w:r>
        <w:t xml:space="preserve">Court </w:t>
      </w:r>
      <w:r w:rsidRPr="002905F4">
        <w:t>held that</w:t>
      </w:r>
      <w:r w:rsidR="00A7291E">
        <w:t>,</w:t>
      </w:r>
      <w:r w:rsidRPr="002905F4">
        <w:t xml:space="preserve"> where applicant</w:t>
      </w:r>
      <w:r>
        <w:t>s</w:t>
      </w:r>
      <w:r w:rsidRPr="002905F4">
        <w:t xml:space="preserve"> complained only of the amount of compensation and the discrepancy between that </w:t>
      </w:r>
      <w:r w:rsidR="00172B10">
        <w:t xml:space="preserve">amount </w:t>
      </w:r>
      <w:r w:rsidRPr="002905F4">
        <w:t xml:space="preserve">and the amount which would have been awarded under Article 41 of the Convention in just satisfaction, </w:t>
      </w:r>
      <w:r>
        <w:t>they were n</w:t>
      </w:r>
      <w:r w:rsidRPr="002905F4">
        <w:t>ot required</w:t>
      </w:r>
      <w:r>
        <w:t xml:space="preserve"> –</w:t>
      </w:r>
      <w:r w:rsidRPr="002905F4">
        <w:t xml:space="preserve"> for the purpose of exhausting domestic remedies</w:t>
      </w:r>
      <w:r>
        <w:t xml:space="preserve"> –</w:t>
      </w:r>
      <w:r w:rsidRPr="002905F4">
        <w:t xml:space="preserve"> to appeal to the Court of Cassation against the Court of Appeal</w:t>
      </w:r>
      <w:r w:rsidR="00C01D3E">
        <w:t>’</w:t>
      </w:r>
      <w:r w:rsidRPr="002905F4">
        <w:t>s decision</w:t>
      </w:r>
      <w:r>
        <w:t xml:space="preserve">. The Court based that conclusion on a study of </w:t>
      </w:r>
      <w:r w:rsidR="00172B10">
        <w:t xml:space="preserve">some </w:t>
      </w:r>
      <w:r>
        <w:t>one hundred Court of Cassation judgments</w:t>
      </w:r>
      <w:r w:rsidR="00172B10">
        <w:t>. In none of those judgments had that court</w:t>
      </w:r>
      <w:r>
        <w:t xml:space="preserve"> entertain</w:t>
      </w:r>
      <w:r w:rsidR="00172B10">
        <w:t>ed</w:t>
      </w:r>
      <w:r>
        <w:t xml:space="preserve"> a complaint to the effect that the amount awarded by the Court of Appeal was insufficient in relation to the </w:t>
      </w:r>
      <w:r w:rsidR="00172B10">
        <w:t>loss</w:t>
      </w:r>
      <w:r>
        <w:t xml:space="preserve"> alleged or inadequate in the light of the </w:t>
      </w:r>
      <w:smartTag w:uri="urn:schemas-microsoft-com:office:smarttags" w:element="place">
        <w:smartTag w:uri="urn:schemas-microsoft-com:office:smarttags" w:element="City">
          <w:r>
            <w:t>Strasbourg</w:t>
          </w:r>
        </w:smartTag>
      </w:smartTag>
      <w:r>
        <w:t xml:space="preserve"> case-law.</w:t>
      </w:r>
    </w:p>
    <w:p w:rsidR="00B66328" w:rsidP="008C6CE3" w:rsidRDefault="00B66328">
      <w:pPr>
        <w:pStyle w:val="JuPara"/>
      </w:pPr>
      <w:r>
        <w:fldChar w:fldCharType="begin"/>
      </w:r>
      <w:r>
        <w:instrText xml:space="preserve"> SEQ level0 \*arabic </w:instrText>
      </w:r>
      <w:r>
        <w:fldChar w:fldCharType="separate"/>
      </w:r>
      <w:r w:rsidR="006D3397">
        <w:rPr>
          <w:noProof/>
        </w:rPr>
        <w:t>43</w:t>
      </w:r>
      <w:r>
        <w:fldChar w:fldCharType="end"/>
      </w:r>
      <w:r>
        <w:t xml:space="preserve">.  The Court notes that on </w:t>
      </w:r>
      <w:smartTag w:uri="urn:schemas-microsoft-com:office:smarttags" w:element="date">
        <w:smartTagPr>
          <w:attr w:name="Month" w:val="1"/>
          <w:attr w:name="Day" w:val="26"/>
          <w:attr w:name="Year" w:val="2004"/>
        </w:smartTagPr>
        <w:r>
          <w:t>26 January 2004</w:t>
        </w:r>
      </w:smartTag>
      <w:r>
        <w:t xml:space="preserve"> the Court of Cassation, sitting as a full court, quashed four decisions in cases </w:t>
      </w:r>
      <w:r w:rsidR="00E2393B">
        <w:t>in which</w:t>
      </w:r>
      <w:r>
        <w:t xml:space="preserve"> the existence or amount of non-pecuniary damage </w:t>
      </w:r>
      <w:r w:rsidR="00E2393B">
        <w:t xml:space="preserve">had been disputed. In so doing, it </w:t>
      </w:r>
      <w:r>
        <w:t>established the principle that “</w:t>
      </w:r>
      <w:r w:rsidRPr="00465F82">
        <w:t xml:space="preserve">the </w:t>
      </w:r>
      <w:r>
        <w:t>court of appeal</w:t>
      </w:r>
      <w:r w:rsidR="00C01D3E">
        <w:t>’</w:t>
      </w:r>
      <w:r>
        <w:t>s determination</w:t>
      </w:r>
      <w:r w:rsidRPr="00465F82">
        <w:t xml:space="preserve"> of</w:t>
      </w:r>
      <w:r>
        <w:t xml:space="preserve"> non-pecuniary damage in accordance with section 2 of Law no. 89/2001, although inherently based on equitable principles, must be </w:t>
      </w:r>
      <w:r w:rsidR="005308FF">
        <w:t>made</w:t>
      </w:r>
      <w:r>
        <w:t xml:space="preserve"> in a legally defined framework since reference has to be made to the amounts awarded, in similar cases, by the </w:t>
      </w:r>
      <w:smartTag w:uri="urn:schemas-microsoft-com:office:smarttags" w:element="Street">
        <w:smartTag w:uri="urn:schemas-microsoft-com:office:smarttags" w:element="address">
          <w:r>
            <w:t>Strasbourg Court</w:t>
          </w:r>
        </w:smartTag>
      </w:smartTag>
      <w:r>
        <w:t>. Some divergence is permissible, within reason” (see paragraph 24 above).</w:t>
      </w:r>
    </w:p>
    <w:p w:rsidR="00B66328" w:rsidP="008C6CE3" w:rsidRDefault="00B66328">
      <w:pPr>
        <w:pStyle w:val="JuPara"/>
      </w:pPr>
      <w:r>
        <w:fldChar w:fldCharType="begin"/>
      </w:r>
      <w:r>
        <w:instrText xml:space="preserve"> SEQ level0 \*arabic </w:instrText>
      </w:r>
      <w:r>
        <w:fldChar w:fldCharType="separate"/>
      </w:r>
      <w:r w:rsidR="006D3397">
        <w:rPr>
          <w:noProof/>
        </w:rPr>
        <w:t>44</w:t>
      </w:r>
      <w:r>
        <w:fldChar w:fldCharType="end"/>
      </w:r>
      <w:r>
        <w:t>.  The Court takes note of th</w:t>
      </w:r>
      <w:r w:rsidR="00E2393B">
        <w:t>at</w:t>
      </w:r>
      <w:r>
        <w:t xml:space="preserve"> departure from precedent and welcomes the Court of Cassation</w:t>
      </w:r>
      <w:r w:rsidR="00C01D3E">
        <w:t>’</w:t>
      </w:r>
      <w:r>
        <w:t xml:space="preserve">s efforts to </w:t>
      </w:r>
      <w:r w:rsidR="00E2393B">
        <w:t>bring its decisions into line with</w:t>
      </w:r>
      <w:r>
        <w:t xml:space="preserve"> European case-law. </w:t>
      </w:r>
      <w:r w:rsidRPr="00FF46E8">
        <w:t>It reiterates</w:t>
      </w:r>
      <w:r w:rsidR="00A779D6">
        <w:t>, furthermore,</w:t>
      </w:r>
      <w:r w:rsidRPr="00FF46E8">
        <w:t xml:space="preserve"> </w:t>
      </w:r>
      <w:r w:rsidR="005308FF">
        <w:t>that it has</w:t>
      </w:r>
      <w:r w:rsidRPr="00FF46E8">
        <w:t xml:space="preserve"> deemed</w:t>
      </w:r>
      <w:r>
        <w:t xml:space="preserve"> it </w:t>
      </w:r>
      <w:r w:rsidRPr="00FF46E8">
        <w:t>reasonable</w:t>
      </w:r>
      <w:r w:rsidDel="005603F5">
        <w:t xml:space="preserve"> </w:t>
      </w:r>
      <w:r>
        <w:t>to assume that the departure from precedent, in particular judgment no. 1340 of the Court of Cassation, must hav</w:t>
      </w:r>
      <w:r w:rsidR="005308FF">
        <w:t xml:space="preserve">e been public knowledge from 26 </w:t>
      </w:r>
      <w:r>
        <w:t>July 2004.</w:t>
      </w:r>
      <w:r w:rsidRPr="005603F5">
        <w:t xml:space="preserve"> </w:t>
      </w:r>
      <w:r w:rsidRPr="006F5FFA">
        <w:t xml:space="preserve">It has </w:t>
      </w:r>
      <w:r>
        <w:t>therefore held that,</w:t>
      </w:r>
      <w:r w:rsidRPr="006F5FFA">
        <w:t xml:space="preserve"> from that date onwards</w:t>
      </w:r>
      <w:r>
        <w:t>,</w:t>
      </w:r>
      <w:r w:rsidRPr="006F5FFA">
        <w:t xml:space="preserve"> applicants should be required to </w:t>
      </w:r>
      <w:r>
        <w:t>avail themselves of that remedy for the purposes of A</w:t>
      </w:r>
      <w:r w:rsidRPr="006F5FFA">
        <w:rPr>
          <w:snapToGrid w:val="0"/>
        </w:rPr>
        <w:t>rticle 35</w:t>
      </w:r>
      <w:r w:rsidR="002A7BAA">
        <w:rPr>
          <w:snapToGrid w:val="0"/>
        </w:rPr>
        <w:t xml:space="preserve"> </w:t>
      </w:r>
      <w:r w:rsidRPr="006F5FFA">
        <w:rPr>
          <w:snapToGrid w:val="0"/>
        </w:rPr>
        <w:t>§</w:t>
      </w:r>
      <w:r w:rsidR="002A7BAA">
        <w:rPr>
          <w:snapToGrid w:val="0"/>
        </w:rPr>
        <w:t xml:space="preserve"> </w:t>
      </w:r>
      <w:r w:rsidRPr="006F5FFA">
        <w:rPr>
          <w:snapToGrid w:val="0"/>
        </w:rPr>
        <w:t xml:space="preserve">1 </w:t>
      </w:r>
      <w:r w:rsidR="005308FF">
        <w:rPr>
          <w:snapToGrid w:val="0"/>
        </w:rPr>
        <w:t>of the</w:t>
      </w:r>
      <w:r w:rsidRPr="006F5FFA">
        <w:rPr>
          <w:snapToGrid w:val="0"/>
        </w:rPr>
        <w:t xml:space="preserve"> Convention</w:t>
      </w:r>
      <w:r>
        <w:t xml:space="preserve"> (see </w:t>
      </w:r>
      <w:r w:rsidRPr="000E388D">
        <w:rPr>
          <w:i/>
          <w:snapToGrid w:val="0"/>
        </w:rPr>
        <w:t xml:space="preserve">Di Sante </w:t>
      </w:r>
      <w:r>
        <w:rPr>
          <w:i/>
          <w:snapToGrid w:val="0"/>
        </w:rPr>
        <w:t>v.</w:t>
      </w:r>
      <w:r w:rsidR="002A7BAA">
        <w:rPr>
          <w:i/>
          <w:snapToGrid w:val="0"/>
        </w:rPr>
        <w:t xml:space="preserve"> </w:t>
      </w:r>
      <w:r>
        <w:rPr>
          <w:i/>
          <w:snapToGrid w:val="0"/>
        </w:rPr>
        <w:t xml:space="preserve">Italy </w:t>
      </w:r>
      <w:r w:rsidRPr="000E388D">
        <w:rPr>
          <w:i/>
          <w:snapToGrid w:val="0"/>
        </w:rPr>
        <w:t>(</w:t>
      </w:r>
      <w:r>
        <w:rPr>
          <w:snapToGrid w:val="0"/>
        </w:rPr>
        <w:t>dec.</w:t>
      </w:r>
      <w:r w:rsidRPr="000E388D">
        <w:rPr>
          <w:snapToGrid w:val="0"/>
        </w:rPr>
        <w:t>), n</w:t>
      </w:r>
      <w:r>
        <w:rPr>
          <w:snapToGrid w:val="0"/>
        </w:rPr>
        <w:t xml:space="preserve">o. </w:t>
      </w:r>
      <w:r w:rsidRPr="000E388D">
        <w:t xml:space="preserve">56079/00, 24 </w:t>
      </w:r>
      <w:r>
        <w:t>June</w:t>
      </w:r>
      <w:r w:rsidRPr="000E388D">
        <w:t xml:space="preserve"> 2004</w:t>
      </w:r>
      <w:r>
        <w:t xml:space="preserve">, and, </w:t>
      </w:r>
      <w:r w:rsidRPr="00286F4A">
        <w:rPr>
          <w:i/>
        </w:rPr>
        <w:t>mutatis mutandis</w:t>
      </w:r>
      <w:r>
        <w:t xml:space="preserve">, </w:t>
      </w:r>
      <w:r w:rsidRPr="00104DC4">
        <w:rPr>
          <w:i/>
        </w:rPr>
        <w:t xml:space="preserve">Broca and Texier-Micault v. </w:t>
      </w:r>
      <w:smartTag w:uri="urn:schemas-microsoft-com:office:smarttags" w:element="country-region">
        <w:smartTag w:uri="urn:schemas-microsoft-com:office:smarttags" w:element="place">
          <w:r w:rsidRPr="00104DC4">
            <w:rPr>
              <w:i/>
            </w:rPr>
            <w:t>France</w:t>
          </w:r>
        </w:smartTag>
      </w:smartTag>
      <w:r w:rsidRPr="00104DC4">
        <w:t xml:space="preserve">, nos. 27928/02 and 31694/02, § </w:t>
      </w:r>
      <w:r>
        <w:t>20, 21</w:t>
      </w:r>
      <w:r w:rsidR="002A7BAA">
        <w:t xml:space="preserve"> </w:t>
      </w:r>
      <w:r w:rsidRPr="00104DC4">
        <w:t>October 2003</w:t>
      </w:r>
      <w:r>
        <w:t>).</w:t>
      </w:r>
    </w:p>
    <w:p w:rsidR="00B66328" w:rsidP="008C6CE3" w:rsidRDefault="00B66328">
      <w:pPr>
        <w:pStyle w:val="JuPara"/>
      </w:pPr>
      <w:r>
        <w:fldChar w:fldCharType="begin"/>
      </w:r>
      <w:r>
        <w:instrText xml:space="preserve"> SEQ level0 \*arabic </w:instrText>
      </w:r>
      <w:r>
        <w:fldChar w:fldCharType="separate"/>
      </w:r>
      <w:r w:rsidR="006D3397">
        <w:rPr>
          <w:noProof/>
        </w:rPr>
        <w:t>45</w:t>
      </w:r>
      <w:r>
        <w:fldChar w:fldCharType="end"/>
      </w:r>
      <w:r>
        <w:t xml:space="preserve">.  In the instant case the Grand Chamber, like the Chamber, </w:t>
      </w:r>
      <w:r w:rsidRPr="00B815A4">
        <w:t>notes that the time</w:t>
      </w:r>
      <w:r>
        <w:t>-limit for ap</w:t>
      </w:r>
      <w:r w:rsidRPr="00B815A4">
        <w:t>peal</w:t>
      </w:r>
      <w:r>
        <w:t>ing</w:t>
      </w:r>
      <w:r w:rsidRPr="00B815A4">
        <w:t xml:space="preserve"> to the Court of Cassation had expired before </w:t>
      </w:r>
      <w:smartTag w:uri="urn:schemas-microsoft-com:office:smarttags" w:element="date">
        <w:smartTagPr>
          <w:attr w:name="Month" w:val="7"/>
          <w:attr w:name="Day" w:val="26"/>
          <w:attr w:name="Year" w:val="2004"/>
        </w:smartTagPr>
        <w:r w:rsidRPr="00B815A4">
          <w:t>26 July 2004</w:t>
        </w:r>
      </w:smartTag>
      <w:r w:rsidRPr="00B815A4">
        <w:t xml:space="preserve"> and considers that, in the</w:t>
      </w:r>
      <w:r>
        <w:t>se</w:t>
      </w:r>
      <w:r w:rsidRPr="00B815A4">
        <w:t xml:space="preserve"> </w:t>
      </w:r>
      <w:r>
        <w:t>circumstances</w:t>
      </w:r>
      <w:r w:rsidRPr="00B815A4">
        <w:t xml:space="preserve">, </w:t>
      </w:r>
      <w:r>
        <w:t>the applicant</w:t>
      </w:r>
      <w:r w:rsidR="00E2393B">
        <w:t xml:space="preserve"> was </w:t>
      </w:r>
      <w:r>
        <w:t>dispensed from the o</w:t>
      </w:r>
      <w:r w:rsidRPr="00B815A4">
        <w:t xml:space="preserve">bligation </w:t>
      </w:r>
      <w:r>
        <w:t xml:space="preserve">to exhaust domestic remedies. Consequently, without prejudging the question whether the Government can be regarded as estopped from raising this objection, the Court considers that it must be </w:t>
      </w:r>
      <w:r w:rsidR="00A42C02">
        <w:t>dismissed</w:t>
      </w:r>
      <w:r>
        <w:t>.</w:t>
      </w:r>
    </w:p>
    <w:p w:rsidRPr="008F016A" w:rsidR="008C6CE3" w:rsidP="008C6CE3" w:rsidRDefault="008C6CE3">
      <w:pPr>
        <w:pStyle w:val="JuHA"/>
      </w:pPr>
      <w:r w:rsidRPr="008F016A">
        <w:t>B.  </w:t>
      </w:r>
      <w:r w:rsidRPr="00321515">
        <w:t>Assessment of “victim” status</w:t>
      </w:r>
    </w:p>
    <w:p w:rsidRPr="003C3749" w:rsidR="00B66328" w:rsidP="00B66328" w:rsidRDefault="00B66328">
      <w:pPr>
        <w:pStyle w:val="JuH1"/>
        <w:keepNext w:val="0"/>
        <w:keepLines w:val="0"/>
      </w:pPr>
      <w:r w:rsidRPr="003C3749">
        <w:t>1.  </w:t>
      </w:r>
      <w:r w:rsidR="00BA52E1">
        <w:t>The Chamber</w:t>
      </w:r>
      <w:r>
        <w:t xml:space="preserve"> decision</w:t>
      </w:r>
    </w:p>
    <w:p w:rsidRPr="003C3749" w:rsidR="00B66328" w:rsidP="008C6CE3" w:rsidRDefault="00B66328">
      <w:pPr>
        <w:pStyle w:val="JuPara"/>
      </w:pPr>
      <w:r>
        <w:fldChar w:fldCharType="begin"/>
      </w:r>
      <w:r>
        <w:instrText xml:space="preserve"> SEQ level0 \*arabic </w:instrText>
      </w:r>
      <w:r>
        <w:fldChar w:fldCharType="separate"/>
      </w:r>
      <w:r w:rsidR="006D3397">
        <w:rPr>
          <w:noProof/>
        </w:rPr>
        <w:t>46</w:t>
      </w:r>
      <w:r>
        <w:fldChar w:fldCharType="end"/>
      </w:r>
      <w:r>
        <w:t xml:space="preserve">.  In its admissibility </w:t>
      </w:r>
      <w:r w:rsidR="00E2393B">
        <w:t xml:space="preserve">decision </w:t>
      </w:r>
      <w:r>
        <w:t>of 20 November 2003</w:t>
      </w:r>
      <w:r w:rsidR="005308FF">
        <w:t>,</w:t>
      </w:r>
      <w:r>
        <w:t xml:space="preserve"> the Chamber followed </w:t>
      </w:r>
      <w:r w:rsidR="00E2393B">
        <w:t>the</w:t>
      </w:r>
      <w:r>
        <w:t xml:space="preserve"> decision in </w:t>
      </w:r>
      <w:r w:rsidRPr="00964A63">
        <w:rPr>
          <w:i/>
        </w:rPr>
        <w:t>Scordino</w:t>
      </w:r>
      <w:r>
        <w:t xml:space="preserve"> (cited above) according to which </w:t>
      </w:r>
      <w:r w:rsidR="00C01177">
        <w:t>an</w:t>
      </w:r>
      <w:r>
        <w:t xml:space="preserve"> applicant could </w:t>
      </w:r>
      <w:r w:rsidR="00A779D6">
        <w:t>still</w:t>
      </w:r>
      <w:r>
        <w:t xml:space="preserve"> claim to be a “victim” within the meaning of Article 34 of the Convention where the amount awarded by the Court of Appeal was not considered by the Chamber as sufficient to repair the alleged loss and violation. In the present case, as the amount awarded to the applicant was not sufficient to amount to adequate redress</w:t>
      </w:r>
      <w:r w:rsidR="00A7291E">
        <w:t>,</w:t>
      </w:r>
      <w:r>
        <w:t xml:space="preserve"> the Chamber held that he could still claim to be a victim.</w:t>
      </w:r>
    </w:p>
    <w:p w:rsidR="00B66328" w:rsidP="00B66328" w:rsidRDefault="00B66328">
      <w:pPr>
        <w:pStyle w:val="JuH1"/>
      </w:pPr>
      <w:r w:rsidRPr="00FA262D">
        <w:t>2.  </w:t>
      </w:r>
      <w:r w:rsidRPr="00FA262D" w:rsidR="004B63A7">
        <w:t>S</w:t>
      </w:r>
      <w:r w:rsidRPr="00FA262D">
        <w:t>ubmissions</w:t>
      </w:r>
      <w:r w:rsidRPr="00FA262D" w:rsidR="004B63A7">
        <w:t xml:space="preserve"> </w:t>
      </w:r>
      <w:r w:rsidR="00A7291E">
        <w:t>of</w:t>
      </w:r>
      <w:r w:rsidRPr="00FA262D" w:rsidR="004B63A7">
        <w:t xml:space="preserve"> those appearing before the Court</w:t>
      </w:r>
    </w:p>
    <w:p w:rsidR="00B66328" w:rsidP="00B66328" w:rsidRDefault="005308FF">
      <w:pPr>
        <w:pStyle w:val="JuHa0"/>
      </w:pPr>
      <w:r>
        <w:t>(</w:t>
      </w:r>
      <w:r w:rsidR="00B66328">
        <w:t>a)  The Government</w:t>
      </w:r>
    </w:p>
    <w:p w:rsidR="00B66328" w:rsidP="008C6CE3" w:rsidRDefault="00B66328">
      <w:pPr>
        <w:pStyle w:val="JuPara"/>
      </w:pPr>
      <w:r>
        <w:rPr>
          <w:bCs/>
        </w:rPr>
        <w:fldChar w:fldCharType="begin"/>
      </w:r>
      <w:r>
        <w:rPr>
          <w:bCs/>
        </w:rPr>
        <w:instrText xml:space="preserve"> SEQ level0 \*arabic </w:instrText>
      </w:r>
      <w:r>
        <w:rPr>
          <w:bCs/>
        </w:rPr>
        <w:fldChar w:fldCharType="separate"/>
      </w:r>
      <w:r w:rsidR="006D3397">
        <w:rPr>
          <w:bCs/>
          <w:noProof/>
        </w:rPr>
        <w:t>47</w:t>
      </w:r>
      <w:r>
        <w:rPr>
          <w:bCs/>
        </w:rPr>
        <w:fldChar w:fldCharType="end"/>
      </w:r>
      <w:r>
        <w:rPr>
          <w:bCs/>
        </w:rPr>
        <w:t>.  T</w:t>
      </w:r>
      <w:r>
        <w:t xml:space="preserve">he Government submitted that the applicant </w:t>
      </w:r>
      <w:r w:rsidR="002F2B62">
        <w:t>was</w:t>
      </w:r>
      <w:r w:rsidR="00471D30">
        <w:t xml:space="preserve"> no longer</w:t>
      </w:r>
      <w:r w:rsidR="002E6488">
        <w:t xml:space="preserve"> </w:t>
      </w:r>
      <w:r>
        <w:t>a “victim” of a violation of Article 6 § 1 because he had obtained from the Court of Appeal a finding of a violation and an amount which should be regarded as adequate having regard to his conduct – the death of the claimant had resulted in an interruption of the proceedings and it was only at a late stage that the applicant had declared his intention to continue them – and to the length and complexity of the case, which had necessitated a second expert opinion.</w:t>
      </w:r>
    </w:p>
    <w:p w:rsidRPr="000829C7" w:rsidR="00B66328" w:rsidP="008C6CE3" w:rsidRDefault="00B66328">
      <w:pPr>
        <w:pStyle w:val="JuPara"/>
      </w:pPr>
      <w:r>
        <w:fldChar w:fldCharType="begin"/>
      </w:r>
      <w:r>
        <w:instrText xml:space="preserve"> SEQ level0 \*arabic </w:instrText>
      </w:r>
      <w:r>
        <w:fldChar w:fldCharType="separate"/>
      </w:r>
      <w:r w:rsidR="006D3397">
        <w:rPr>
          <w:noProof/>
        </w:rPr>
        <w:t>48</w:t>
      </w:r>
      <w:r>
        <w:fldChar w:fldCharType="end"/>
      </w:r>
      <w:r>
        <w:t xml:space="preserve">.  The Government took the opportunity to ask the </w:t>
      </w:r>
      <w:r w:rsidRPr="000E45DE">
        <w:t>Court to clarify the various aspects of the reasoning</w:t>
      </w:r>
      <w:r>
        <w:t xml:space="preserve"> that lead to its decisions, both in respect of the parts relating to a violation and regarding just satisfaction.</w:t>
      </w:r>
      <w:r w:rsidRPr="000E45DE">
        <w:t xml:space="preserve"> </w:t>
      </w:r>
      <w:r>
        <w:t>They submitted that the Court should follow the approach used by the domestic courts and explain in each case how many years had to be regarded as “natural” for each stage of proceedings, how many might be acceptable having regard to the complexity of the case, how many delays were attributable to each party, the importance of the stakes in the proceedings, the outcome of the proceedings and how the just satisfaction to be awarded was calculated on the basis of those factors</w:t>
      </w:r>
      <w:r w:rsidRPr="000E45DE">
        <w:t xml:space="preserve">. </w:t>
      </w:r>
      <w:r>
        <w:t xml:space="preserve">They criticised the Chamber for failing to give a detailed </w:t>
      </w:r>
      <w:r w:rsidRPr="00FA262D">
        <w:t xml:space="preserve">examination in its judgment of </w:t>
      </w:r>
      <w:smartTag w:uri="urn:schemas-microsoft-com:office:smarttags" w:element="date">
        <w:smartTagPr>
          <w:attr w:name="Month" w:val="11"/>
          <w:attr w:name="Day" w:val="10"/>
          <w:attr w:name="Year" w:val="2004"/>
        </w:smartTagPr>
        <w:r w:rsidRPr="00FA262D">
          <w:t>10 November 2004</w:t>
        </w:r>
      </w:smartTag>
      <w:r>
        <w:t xml:space="preserve"> of the reasoning of the domestic court. </w:t>
      </w:r>
      <w:r w:rsidRPr="000829C7">
        <w:t xml:space="preserve">The Chamber </w:t>
      </w:r>
      <w:r>
        <w:t xml:space="preserve">had </w:t>
      </w:r>
      <w:r w:rsidRPr="000829C7">
        <w:t xml:space="preserve">merely asserted that the amount </w:t>
      </w:r>
      <w:r>
        <w:t>awarded</w:t>
      </w:r>
      <w:r w:rsidRPr="000829C7">
        <w:t xml:space="preserve"> w</w:t>
      </w:r>
      <w:r>
        <w:t>as insufficient without s</w:t>
      </w:r>
      <w:r w:rsidRPr="000829C7">
        <w:t>p</w:t>
      </w:r>
      <w:r>
        <w:t>ecifying the similarities or</w:t>
      </w:r>
      <w:r w:rsidRPr="000829C7">
        <w:t xml:space="preserve"> diff</w:t>
      </w:r>
      <w:r>
        <w:t>e</w:t>
      </w:r>
      <w:r w:rsidRPr="000829C7">
        <w:t>rences</w:t>
      </w:r>
      <w:r>
        <w:t xml:space="preserve"> between the previous cases referred to by way of comparison and the proceedings in question.</w:t>
      </w:r>
    </w:p>
    <w:p w:rsidR="00B66328" w:rsidP="008C6CE3" w:rsidRDefault="00B66328">
      <w:pPr>
        <w:pStyle w:val="JuPara"/>
      </w:pPr>
      <w:r>
        <w:fldChar w:fldCharType="begin"/>
      </w:r>
      <w:r>
        <w:instrText xml:space="preserve"> SEQ level0 \*arabic </w:instrText>
      </w:r>
      <w:r>
        <w:fldChar w:fldCharType="separate"/>
      </w:r>
      <w:r w:rsidR="006D3397">
        <w:rPr>
          <w:noProof/>
        </w:rPr>
        <w:t>49</w:t>
      </w:r>
      <w:r>
        <w:fldChar w:fldCharType="end"/>
      </w:r>
      <w:r>
        <w:t>.  </w:t>
      </w:r>
      <w:r w:rsidRPr="000E45DE">
        <w:t>I</w:t>
      </w:r>
      <w:r>
        <w:t>n the Government</w:t>
      </w:r>
      <w:r w:rsidR="00C01D3E">
        <w:t>’</w:t>
      </w:r>
      <w:r>
        <w:t>s submission, the Cour</w:t>
      </w:r>
      <w:r w:rsidRPr="000E45DE">
        <w:t xml:space="preserve">t </w:t>
      </w:r>
      <w:r>
        <w:t>had to</w:t>
      </w:r>
      <w:r w:rsidRPr="000E45DE">
        <w:t xml:space="preserve"> strike a fair balance between the requirement of clarity and respect for principles such as the States</w:t>
      </w:r>
      <w:r w:rsidR="00C01D3E">
        <w:t>’</w:t>
      </w:r>
      <w:r w:rsidRPr="000E45DE">
        <w:t xml:space="preserve"> margin of appreciation and the subsidiarity principle. The attempt to strike that balance </w:t>
      </w:r>
      <w:r>
        <w:t>had to</w:t>
      </w:r>
      <w:r w:rsidRPr="000E45DE">
        <w:t xml:space="preserve"> be governed by the general rule that any factor to be taken into account which </w:t>
      </w:r>
      <w:r>
        <w:t>was</w:t>
      </w:r>
      <w:r w:rsidRPr="000E45DE">
        <w:t xml:space="preserve"> stated loosely or vaguely in the Strasbourg case-law </w:t>
      </w:r>
      <w:r>
        <w:t>had to</w:t>
      </w:r>
      <w:r w:rsidRPr="000E45DE">
        <w:t xml:space="preserve"> be considered with the greatest respect for the corresponding margin of appreciation to be enjoyed by each State without fear of being subsequently disavowed by the European Court owing to a different perception of a fact or its importance. The Government consider</w:t>
      </w:r>
      <w:r>
        <w:t>ed</w:t>
      </w:r>
      <w:r w:rsidRPr="000E45DE">
        <w:t xml:space="preserve"> that the acknowledgment of the existence </w:t>
      </w:r>
      <w:r>
        <w:t xml:space="preserve">of </w:t>
      </w:r>
      <w:r w:rsidRPr="000E45DE">
        <w:t xml:space="preserve">damage and </w:t>
      </w:r>
      <w:r>
        <w:t xml:space="preserve">the </w:t>
      </w:r>
      <w:r w:rsidRPr="000E45DE">
        <w:t xml:space="preserve">determination of </w:t>
      </w:r>
      <w:r>
        <w:t>quantum were</w:t>
      </w:r>
      <w:r w:rsidRPr="000E45DE">
        <w:t xml:space="preserve"> part of the assessment of evidence which </w:t>
      </w:r>
      <w:r>
        <w:t>fell</w:t>
      </w:r>
      <w:r w:rsidRPr="000E45DE">
        <w:t xml:space="preserve"> within the jurisdiction of the domestic courts and </w:t>
      </w:r>
      <w:r>
        <w:t>was</w:t>
      </w:r>
      <w:r w:rsidRPr="000E45DE">
        <w:t xml:space="preserve"> in theory outs</w:t>
      </w:r>
      <w:r>
        <w:t>ide the competence of the supra</w:t>
      </w:r>
      <w:r w:rsidRPr="000E45DE">
        <w:t xml:space="preserve">national court. Although the Court </w:t>
      </w:r>
      <w:r>
        <w:t>did</w:t>
      </w:r>
      <w:r w:rsidRPr="000E45DE">
        <w:t xml:space="preserve"> admittedly have the power to review decisions submitted to it with a view to ensuring that the reasoning </w:t>
      </w:r>
      <w:r>
        <w:t>was</w:t>
      </w:r>
      <w:r w:rsidRPr="000E45DE">
        <w:t xml:space="preserve"> neither manifestly unreasonable nor arbitrary and </w:t>
      </w:r>
      <w:r>
        <w:t>was</w:t>
      </w:r>
      <w:r w:rsidRPr="000E45DE">
        <w:t xml:space="preserve"> consonant with logic and the lessons derived from experience actually encountered in the social context, it </w:t>
      </w:r>
      <w:r>
        <w:t>could not</w:t>
      </w:r>
      <w:r w:rsidRPr="000E45DE">
        <w:t xml:space="preserve">, however, impose its own criteria or substitute its own beliefs for that of the domestic courts in assessing </w:t>
      </w:r>
      <w:r>
        <w:t xml:space="preserve">the </w:t>
      </w:r>
      <w:r w:rsidRPr="000E45DE">
        <w:t>evidence.</w:t>
      </w:r>
    </w:p>
    <w:p w:rsidR="00B66328" w:rsidP="008C6CE3" w:rsidRDefault="00B66328">
      <w:pPr>
        <w:pStyle w:val="JuPara"/>
      </w:pPr>
      <w:r>
        <w:fldChar w:fldCharType="begin"/>
      </w:r>
      <w:r>
        <w:instrText xml:space="preserve"> SEQ level0 \*arabic </w:instrText>
      </w:r>
      <w:r>
        <w:fldChar w:fldCharType="separate"/>
      </w:r>
      <w:r w:rsidR="006D3397">
        <w:rPr>
          <w:noProof/>
        </w:rPr>
        <w:t>50</w:t>
      </w:r>
      <w:r>
        <w:fldChar w:fldCharType="end"/>
      </w:r>
      <w:r>
        <w:t>.  The Government</w:t>
      </w:r>
      <w:r w:rsidRPr="00B713AA">
        <w:t xml:space="preserve"> </w:t>
      </w:r>
      <w:r>
        <w:t xml:space="preserve">felt it important to </w:t>
      </w:r>
      <w:r w:rsidRPr="000E45DE">
        <w:t>explain the criteria used in Italian law and point</w:t>
      </w:r>
      <w:r>
        <w:t>ed</w:t>
      </w:r>
      <w:r w:rsidRPr="000E45DE">
        <w:t xml:space="preserve"> out that the finding of a </w:t>
      </w:r>
      <w:r w:rsidRPr="000E45DE">
        <w:rPr>
          <w:szCs w:val="24"/>
        </w:rPr>
        <w:t xml:space="preserve">violation </w:t>
      </w:r>
      <w:r>
        <w:rPr>
          <w:szCs w:val="24"/>
        </w:rPr>
        <w:t>was</w:t>
      </w:r>
      <w:r w:rsidRPr="000E45DE">
        <w:rPr>
          <w:szCs w:val="24"/>
        </w:rPr>
        <w:t xml:space="preserve"> independent </w:t>
      </w:r>
      <w:r w:rsidR="005308FF">
        <w:rPr>
          <w:szCs w:val="24"/>
        </w:rPr>
        <w:t>from</w:t>
      </w:r>
      <w:r w:rsidRPr="000E45DE">
        <w:rPr>
          <w:szCs w:val="24"/>
        </w:rPr>
        <w:t xml:space="preserve"> the existence of non-pecuniary </w:t>
      </w:r>
      <w:r>
        <w:rPr>
          <w:szCs w:val="24"/>
        </w:rPr>
        <w:t>damage</w:t>
      </w:r>
      <w:r w:rsidRPr="000E45DE">
        <w:rPr>
          <w:szCs w:val="24"/>
        </w:rPr>
        <w:t>.</w:t>
      </w:r>
      <w:r w:rsidRPr="000E45DE">
        <w:t xml:space="preserve"> The Court of Cassation ha</w:t>
      </w:r>
      <w:r>
        <w:t>d</w:t>
      </w:r>
      <w:r w:rsidRPr="000E45DE">
        <w:t xml:space="preserve"> </w:t>
      </w:r>
      <w:r>
        <w:t>asserted,</w:t>
      </w:r>
      <w:r w:rsidRPr="000E45DE">
        <w:t xml:space="preserve"> though</w:t>
      </w:r>
      <w:r>
        <w:t>,</w:t>
      </w:r>
      <w:r w:rsidRPr="000E45DE">
        <w:t xml:space="preserve"> that non-pecuniary damage </w:t>
      </w:r>
      <w:r>
        <w:t>was</w:t>
      </w:r>
      <w:r w:rsidRPr="000E45DE">
        <w:t xml:space="preserve"> a normal consequence of a breach </w:t>
      </w:r>
      <w:r w:rsidR="00471D30">
        <w:t xml:space="preserve">of the </w:t>
      </w:r>
      <w:r>
        <w:t>reasonable-time</w:t>
      </w:r>
      <w:r w:rsidRPr="000E45DE">
        <w:t xml:space="preserve"> requirement that </w:t>
      </w:r>
      <w:r>
        <w:t>from then on did</w:t>
      </w:r>
      <w:r w:rsidRPr="000E45DE">
        <w:t xml:space="preserve"> not have to be proved by the applicant. </w:t>
      </w:r>
      <w:r>
        <w:t>According to the Court of Cassation, i</w:t>
      </w:r>
      <w:r w:rsidRPr="000E45DE">
        <w:t xml:space="preserve">t </w:t>
      </w:r>
      <w:r>
        <w:t>was</w:t>
      </w:r>
      <w:r w:rsidRPr="000E45DE">
        <w:t xml:space="preserve"> up to the State to</w:t>
      </w:r>
      <w:r w:rsidR="00471D30">
        <w:t xml:space="preserve"> prove the contrary, that is,</w:t>
      </w:r>
      <w:r w:rsidRPr="000E45DE">
        <w:t xml:space="preserve"> provide proof that in a particular case an inordinately long wait for a judgment </w:t>
      </w:r>
      <w:r>
        <w:t>had</w:t>
      </w:r>
      <w:r w:rsidRPr="000E45DE">
        <w:t xml:space="preserve"> not occasion</w:t>
      </w:r>
      <w:r>
        <w:t>ed</w:t>
      </w:r>
      <w:r w:rsidRPr="000E45DE">
        <w:t xml:space="preserve"> the applicant any anxiety or </w:t>
      </w:r>
      <w:r>
        <w:t>distress but had been advantageous or that the applicant</w:t>
      </w:r>
      <w:r w:rsidRPr="000E45DE">
        <w:t xml:space="preserve"> </w:t>
      </w:r>
      <w:r>
        <w:t>had been</w:t>
      </w:r>
      <w:r w:rsidRPr="000E45DE">
        <w:t xml:space="preserve"> aware of having instituted or contested proceedings on the basis of </w:t>
      </w:r>
      <w:r>
        <w:t>erroneous</w:t>
      </w:r>
      <w:r w:rsidRPr="000E45DE">
        <w:t xml:space="preserve"> arguments (Court of Cassation</w:t>
      </w:r>
      <w:r w:rsidR="005308FF">
        <w:t>,</w:t>
      </w:r>
      <w:r w:rsidRPr="000E45DE">
        <w:t xml:space="preserve"> 29</w:t>
      </w:r>
      <w:r w:rsidR="005308FF">
        <w:t xml:space="preserve"> March</w:t>
      </w:r>
      <w:r w:rsidRPr="000E45DE">
        <w:t>-11</w:t>
      </w:r>
      <w:r w:rsidR="005308FF">
        <w:t xml:space="preserve"> May </w:t>
      </w:r>
      <w:r w:rsidRPr="000E45DE">
        <w:t>2004</w:t>
      </w:r>
      <w:r w:rsidR="005308FF">
        <w:t>,</w:t>
      </w:r>
      <w:r w:rsidRPr="000E45DE">
        <w:t xml:space="preserve"> no.</w:t>
      </w:r>
      <w:r w:rsidR="005308FF">
        <w:t xml:space="preserve"> </w:t>
      </w:r>
      <w:r w:rsidRPr="000E45DE">
        <w:t>8896)</w:t>
      </w:r>
      <w:r>
        <w:t>, for example</w:t>
      </w:r>
      <w:r w:rsidR="00A7291E">
        <w:t>,</w:t>
      </w:r>
      <w:r w:rsidRPr="000E45DE">
        <w:t xml:space="preserve"> where </w:t>
      </w:r>
      <w:r>
        <w:t>they had been</w:t>
      </w:r>
      <w:r w:rsidRPr="000E45DE">
        <w:t xml:space="preserve"> well aware from the outset that </w:t>
      </w:r>
      <w:r>
        <w:t>t</w:t>
      </w:r>
      <w:r w:rsidRPr="000E45DE">
        <w:t>he</w:t>
      </w:r>
      <w:r>
        <w:t>y</w:t>
      </w:r>
      <w:r w:rsidRPr="000E45DE">
        <w:t xml:space="preserve"> had no chance of winning. Furthermore, under Article 41</w:t>
      </w:r>
      <w:r w:rsidR="00F84BBF">
        <w:t>,</w:t>
      </w:r>
      <w:r w:rsidRPr="000E45DE">
        <w:t xml:space="preserve"> the Court award</w:t>
      </w:r>
      <w:r>
        <w:t>ed</w:t>
      </w:r>
      <w:r w:rsidRPr="000E45DE">
        <w:t xml:space="preserve"> just satisfaction </w:t>
      </w:r>
      <w:r w:rsidRPr="000E45DE">
        <w:rPr>
          <w:bCs/>
        </w:rPr>
        <w:t xml:space="preserve">if </w:t>
      </w:r>
      <w:r>
        <w:rPr>
          <w:bCs/>
        </w:rPr>
        <w:t>such</w:t>
      </w:r>
      <w:r w:rsidRPr="000E45DE">
        <w:rPr>
          <w:bCs/>
        </w:rPr>
        <w:t xml:space="preserve"> </w:t>
      </w:r>
      <w:r>
        <w:rPr>
          <w:bCs/>
        </w:rPr>
        <w:t>was</w:t>
      </w:r>
      <w:r w:rsidRPr="000E45DE">
        <w:rPr>
          <w:bCs/>
        </w:rPr>
        <w:t xml:space="preserve"> appropriate, so a finding of a violation </w:t>
      </w:r>
      <w:r>
        <w:rPr>
          <w:bCs/>
        </w:rPr>
        <w:t>could</w:t>
      </w:r>
      <w:r w:rsidRPr="000E45DE">
        <w:rPr>
          <w:bCs/>
        </w:rPr>
        <w:t xml:space="preserve"> suffice.</w:t>
      </w:r>
      <w:r w:rsidRPr="000E45DE">
        <w:t xml:space="preserve"> Accordingly, the Court should not be the only institution able to vary the </w:t>
      </w:r>
      <w:r>
        <w:t>amounts it awarded</w:t>
      </w:r>
      <w:r w:rsidR="00F84BBF">
        <w:t>, even</w:t>
      </w:r>
      <w:r w:rsidRPr="000E45DE">
        <w:t xml:space="preserve"> to the point of awarding nothing. </w:t>
      </w:r>
      <w:r>
        <w:rPr>
          <w:szCs w:val="24"/>
        </w:rPr>
        <w:t>They reiterated that</w:t>
      </w:r>
      <w:r w:rsidRPr="00D56945">
        <w:rPr>
          <w:szCs w:val="24"/>
        </w:rPr>
        <w:t xml:space="preserve">, </w:t>
      </w:r>
      <w:r>
        <w:t>under Italian law, it</w:t>
      </w:r>
      <w:r w:rsidR="00471D30">
        <w:t xml:space="preserve"> was only the years beyond the reasonable</w:t>
      </w:r>
      <w:r>
        <w:t xml:space="preserve"> time that had to be taken into account when assessing the damage.</w:t>
      </w:r>
    </w:p>
    <w:p w:rsidR="00B66328" w:rsidP="008C6CE3" w:rsidRDefault="00B66328">
      <w:pPr>
        <w:pStyle w:val="JuPara"/>
      </w:pPr>
      <w:r>
        <w:fldChar w:fldCharType="begin"/>
      </w:r>
      <w:r>
        <w:instrText xml:space="preserve"> SEQ level0 \*arabic </w:instrText>
      </w:r>
      <w:r>
        <w:fldChar w:fldCharType="separate"/>
      </w:r>
      <w:r w:rsidR="006D3397">
        <w:rPr>
          <w:noProof/>
        </w:rPr>
        <w:t>51</w:t>
      </w:r>
      <w:r>
        <w:fldChar w:fldCharType="end"/>
      </w:r>
      <w:r>
        <w:t xml:space="preserve">.  At the hearing the Government indicated that as far as the procedural costs were concerned the applicant had obtained an order from the court for their reimbursement. With regard to the delay in paying the compensation, the Government pointed out that the present case had been communicated only in respect of the length of the civil proceedings and not regarding access to a tribunal on account of the delay in paying the amount awarded by the Court of Appeal. Lastly, referring also to the information provided at the hearing in </w:t>
      </w:r>
      <w:r w:rsidRPr="00265E39">
        <w:rPr>
          <w:i/>
        </w:rPr>
        <w:t>Scordino</w:t>
      </w:r>
      <w:r>
        <w:t xml:space="preserve"> the same day, the Government explained that as the amount earmarked in the budget in respect of Pinto cases had been insufficient in 2002 and 2003 it had been increased in 2004 and 2005.</w:t>
      </w:r>
    </w:p>
    <w:p w:rsidR="00B66328" w:rsidP="00B66328" w:rsidRDefault="00B66328">
      <w:pPr>
        <w:pStyle w:val="JuParaCharChar"/>
      </w:pPr>
      <w:r>
        <w:t>For all the foregoing reasons, the Government argued that the applicant should no longer be regarded as a “victim” of a violation of Article 6 § 1 of the Convention.</w:t>
      </w:r>
    </w:p>
    <w:p w:rsidR="00B66328" w:rsidP="008C6CE3" w:rsidRDefault="00F84BBF">
      <w:pPr>
        <w:pStyle w:val="JuHa0"/>
        <w:tabs>
          <w:tab w:val="clear" w:pos="975"/>
        </w:tabs>
        <w:ind w:left="635" w:firstLine="0"/>
      </w:pPr>
      <w:r>
        <w:t>(</w:t>
      </w:r>
      <w:r w:rsidR="008C6CE3">
        <w:t>b)  </w:t>
      </w:r>
      <w:r w:rsidR="00B66328">
        <w:t>The applicant</w:t>
      </w:r>
    </w:p>
    <w:p w:rsidR="00A31EB8" w:rsidP="008C6CE3" w:rsidRDefault="00B66328">
      <w:pPr>
        <w:pStyle w:val="JuPara"/>
      </w:pPr>
      <w:r>
        <w:fldChar w:fldCharType="begin"/>
      </w:r>
      <w:r>
        <w:instrText xml:space="preserve"> SEQ level0 \*arabic </w:instrText>
      </w:r>
      <w:r>
        <w:fldChar w:fldCharType="separate"/>
      </w:r>
      <w:r w:rsidR="006D3397">
        <w:rPr>
          <w:noProof/>
        </w:rPr>
        <w:t>52</w:t>
      </w:r>
      <w:r>
        <w:fldChar w:fldCharType="end"/>
      </w:r>
      <w:r>
        <w:t xml:space="preserve">.  The applicant, for his part, considered that he was still a “victim” of the violation in that the amount that had been awarded </w:t>
      </w:r>
      <w:r w:rsidR="00F84BBF">
        <w:t xml:space="preserve">to </w:t>
      </w:r>
      <w:r>
        <w:t>him by the Court of Appeal was not only derisory but had not even been paid to him. In reply to the Government</w:t>
      </w:r>
      <w:r w:rsidR="00C01D3E">
        <w:t>’</w:t>
      </w:r>
      <w:r>
        <w:t xml:space="preserve">s submission that he should have declared earlier his intention to continue the proceedings, the applicant pointed out that this had been impossible because the internal organisation of the registry of the domestic court had not allowed him to do so (see paragraph 17 above). He also pointed out that all that could be obtained by lodging an application </w:t>
      </w:r>
      <w:r w:rsidRPr="00A83024">
        <w:t>under the Pinto Act was compensation and that it had not in any way expedited the proceedings, which were still pending.</w:t>
      </w:r>
    </w:p>
    <w:p w:rsidR="00A31EB8" w:rsidP="008C6CE3" w:rsidRDefault="00B66328">
      <w:pPr>
        <w:pStyle w:val="JuPara"/>
      </w:pPr>
      <w:r>
        <w:fldChar w:fldCharType="begin"/>
      </w:r>
      <w:r>
        <w:instrText xml:space="preserve"> SEQ level0 \*arabic </w:instrText>
      </w:r>
      <w:r>
        <w:fldChar w:fldCharType="separate"/>
      </w:r>
      <w:r w:rsidR="006D3397">
        <w:rPr>
          <w:noProof/>
        </w:rPr>
        <w:t>53</w:t>
      </w:r>
      <w:r>
        <w:fldChar w:fldCharType="end"/>
      </w:r>
      <w:r>
        <w:t>.  The applicant took this opportunity to point out the other flaws in the Pinto Act to which he had himself been exposed</w:t>
      </w:r>
      <w:r w:rsidR="005B3C44">
        <w:t>.</w:t>
      </w:r>
    </w:p>
    <w:p w:rsidR="00A31EB8" w:rsidP="00F84BBF" w:rsidRDefault="008C6CE3">
      <w:pPr>
        <w:pStyle w:val="JuPara"/>
      </w:pPr>
      <w:r>
        <w:t>(a)  </w:t>
      </w:r>
      <w:r w:rsidR="005B3C44">
        <w:t>I</w:t>
      </w:r>
      <w:r w:rsidRPr="002D4339" w:rsidR="00B66328">
        <w:t xml:space="preserve">n the first place, the </w:t>
      </w:r>
      <w:r w:rsidR="00B66328">
        <w:t>relevant court of a</w:t>
      </w:r>
      <w:r w:rsidRPr="002D4339" w:rsidR="00B66328">
        <w:t xml:space="preserve">ppeal </w:t>
      </w:r>
      <w:r w:rsidR="00B66328">
        <w:t xml:space="preserve">was a long way away from the </w:t>
      </w:r>
      <w:r w:rsidRPr="00FA262D" w:rsidR="004821A8">
        <w:t>claimant</w:t>
      </w:r>
      <w:r w:rsidR="00C01D3E">
        <w:t>’</w:t>
      </w:r>
      <w:r w:rsidRPr="00FA262D" w:rsidR="004821A8">
        <w:t>s</w:t>
      </w:r>
      <w:r w:rsidRPr="00AA17BF" w:rsidR="00B66328">
        <w:t xml:space="preserve"> </w:t>
      </w:r>
      <w:r w:rsidRPr="002D4339" w:rsidR="00B66328">
        <w:t>place of residence</w:t>
      </w:r>
      <w:r w:rsidR="00B66328">
        <w:t xml:space="preserve">. For every </w:t>
      </w:r>
      <w:r w:rsidRPr="002D4339" w:rsidR="00B66328">
        <w:t>formali</w:t>
      </w:r>
      <w:r w:rsidR="00B66328">
        <w:t xml:space="preserve">ty </w:t>
      </w:r>
      <w:r w:rsidR="005B3C44">
        <w:t>he</w:t>
      </w:r>
      <w:r w:rsidR="00B66328">
        <w:t xml:space="preserve"> had to travel</w:t>
      </w:r>
      <w:r w:rsidRPr="002D4339" w:rsidR="00B66328">
        <w:t xml:space="preserve"> 300</w:t>
      </w:r>
      <w:r w:rsidR="002A7BAA">
        <w:t xml:space="preserve"> </w:t>
      </w:r>
      <w:r w:rsidRPr="002D4339" w:rsidR="00B66328">
        <w:t xml:space="preserve">km, </w:t>
      </w:r>
      <w:r w:rsidR="00B66328">
        <w:t>whereas</w:t>
      </w:r>
      <w:r w:rsidRPr="002D4339" w:rsidR="00B66328">
        <w:t xml:space="preserve"> before the Court </w:t>
      </w:r>
      <w:r w:rsidR="00B66328">
        <w:t>everything could be done</w:t>
      </w:r>
      <w:r w:rsidRPr="002D4339" w:rsidR="00B66328">
        <w:t xml:space="preserve"> by fax or post</w:t>
      </w:r>
      <w:r w:rsidR="005B3C44">
        <w:t>.</w:t>
      </w:r>
    </w:p>
    <w:p w:rsidR="00A31EB8" w:rsidP="00F84BBF" w:rsidRDefault="008C6CE3">
      <w:pPr>
        <w:pStyle w:val="JuPara"/>
      </w:pPr>
      <w:r>
        <w:t>(b)  </w:t>
      </w:r>
      <w:r w:rsidR="005B3C44">
        <w:t>S</w:t>
      </w:r>
      <w:r w:rsidR="00B66328">
        <w:t xml:space="preserve">tamp duty and </w:t>
      </w:r>
      <w:r w:rsidRPr="002D4339" w:rsidR="00B66328">
        <w:t xml:space="preserve">fees for </w:t>
      </w:r>
      <w:r w:rsidR="00B66328">
        <w:t>registration</w:t>
      </w:r>
      <w:r w:rsidRPr="002D4339" w:rsidR="00B66328">
        <w:t xml:space="preserve"> in the list of cases</w:t>
      </w:r>
      <w:r w:rsidR="00B66328">
        <w:t xml:space="preserve"> had been payable (by decision of the Ministry of Justice – that is, the respondent – in a circular sent to the registries) until a decree of </w:t>
      </w:r>
      <w:r w:rsidRPr="00516275" w:rsidR="00B66328">
        <w:t xml:space="preserve">7 </w:t>
      </w:r>
      <w:r w:rsidR="00B66328">
        <w:t>March</w:t>
      </w:r>
      <w:r w:rsidRPr="00516275" w:rsidR="00B66328">
        <w:t xml:space="preserve"> 2002</w:t>
      </w:r>
      <w:r w:rsidR="005B3C44">
        <w:t>.</w:t>
      </w:r>
    </w:p>
    <w:p w:rsidRPr="00022936" w:rsidR="00B66328" w:rsidP="00F84BBF" w:rsidRDefault="008C6CE3">
      <w:pPr>
        <w:pStyle w:val="JuPara"/>
      </w:pPr>
      <w:r>
        <w:t>(c)  </w:t>
      </w:r>
      <w:r w:rsidR="00A4260B">
        <w:t>“</w:t>
      </w:r>
      <w:r w:rsidRPr="00022936" w:rsidR="00B66328">
        <w:t>Pinto</w:t>
      </w:r>
      <w:r w:rsidR="00A4260B">
        <w:t>”</w:t>
      </w:r>
      <w:r w:rsidRPr="00022936" w:rsidR="00B66328">
        <w:t xml:space="preserve"> proceedings </w:t>
      </w:r>
      <w:r w:rsidR="00B66328">
        <w:t>were</w:t>
      </w:r>
      <w:r w:rsidRPr="00022936" w:rsidR="00B66328">
        <w:t xml:space="preserve"> always conditional (whether the applicant </w:t>
      </w:r>
      <w:r w:rsidR="00B66328">
        <w:t>won</w:t>
      </w:r>
      <w:r w:rsidRPr="00022936" w:rsidR="00B66328">
        <w:t xml:space="preserve"> or </w:t>
      </w:r>
      <w:r w:rsidR="00B66328">
        <w:t>lost)</w:t>
      </w:r>
      <w:r w:rsidRPr="00022936" w:rsidR="00B66328">
        <w:t xml:space="preserve"> on </w:t>
      </w:r>
      <w:r w:rsidR="00B66328">
        <w:t xml:space="preserve">the </w:t>
      </w:r>
      <w:r w:rsidRPr="00022936" w:rsidR="00B66328">
        <w:t>payment of other expenses, including th</w:t>
      </w:r>
      <w:r w:rsidR="00B66328">
        <w:t>e heavy tax on registering the decision</w:t>
      </w:r>
      <w:r w:rsidR="005B3C44">
        <w:t>.</w:t>
      </w:r>
    </w:p>
    <w:p w:rsidRPr="00022936" w:rsidR="00B66328" w:rsidP="00F84BBF" w:rsidRDefault="008C6CE3">
      <w:pPr>
        <w:pStyle w:val="JuPara"/>
      </w:pPr>
      <w:r>
        <w:t>(d)  </w:t>
      </w:r>
      <w:r w:rsidR="005B3C44">
        <w:t>A</w:t>
      </w:r>
      <w:r w:rsidR="00B66328">
        <w:t>pplications</w:t>
      </w:r>
      <w:r w:rsidRPr="002D4339" w:rsidR="00B66328">
        <w:t xml:space="preserve"> </w:t>
      </w:r>
      <w:r w:rsidR="00B66328">
        <w:t>had been dealt with at only one level of jurisdiction,</w:t>
      </w:r>
      <w:r w:rsidRPr="002D4339" w:rsidR="00B66328">
        <w:t xml:space="preserve"> with</w:t>
      </w:r>
      <w:r w:rsidR="00B66328">
        <w:t>out any possibility of appealing to</w:t>
      </w:r>
      <w:r w:rsidRPr="002D4339" w:rsidR="00B66328">
        <w:t xml:space="preserve"> the Court of Cassation</w:t>
      </w:r>
      <w:r w:rsidR="00B66328">
        <w:t xml:space="preserve"> in the event of an</w:t>
      </w:r>
      <w:r w:rsidRPr="00022936" w:rsidR="00B66328">
        <w:t xml:space="preserve"> </w:t>
      </w:r>
      <w:r w:rsidRPr="002D4339" w:rsidR="00B66328">
        <w:t>error</w:t>
      </w:r>
      <w:r w:rsidR="00B66328">
        <w:t xml:space="preserve"> of</w:t>
      </w:r>
      <w:r w:rsidRPr="002D4339" w:rsidR="00B66328">
        <w:t xml:space="preserve"> assessment</w:t>
      </w:r>
      <w:r w:rsidR="00B66328">
        <w:t xml:space="preserve">, until the departure from precedent of </w:t>
      </w:r>
      <w:r w:rsidR="005B3C44">
        <w:t xml:space="preserve">26 </w:t>
      </w:r>
      <w:r w:rsidR="00B66328">
        <w:t>January</w:t>
      </w:r>
      <w:r w:rsidRPr="00022936" w:rsidR="00B66328">
        <w:t xml:space="preserve"> 2004</w:t>
      </w:r>
      <w:r w:rsidR="005B3C44">
        <w:t>.</w:t>
      </w:r>
    </w:p>
    <w:p w:rsidRPr="00DE0D26" w:rsidR="00B66328" w:rsidP="00F84BBF" w:rsidRDefault="008C6CE3">
      <w:pPr>
        <w:pStyle w:val="JuPara"/>
      </w:pPr>
      <w:r>
        <w:t>(e)  </w:t>
      </w:r>
      <w:r w:rsidR="005B3C44">
        <w:t>C</w:t>
      </w:r>
      <w:r w:rsidR="00B66328">
        <w:t xml:space="preserve">onsideration of the application in private </w:t>
      </w:r>
      <w:r w:rsidRPr="00DE0D26" w:rsidR="00B66328">
        <w:t>(</w:t>
      </w:r>
      <w:r w:rsidRPr="00DE0D26" w:rsidR="00B66328">
        <w:rPr>
          <w:i/>
        </w:rPr>
        <w:t>camera di consiglio</w:t>
      </w:r>
      <w:r w:rsidRPr="00DE0D26" w:rsidR="00B66328">
        <w:t xml:space="preserve">) </w:t>
      </w:r>
      <w:r w:rsidRPr="002D4339" w:rsidR="00B66328">
        <w:t xml:space="preserve">rather than </w:t>
      </w:r>
      <w:r w:rsidR="00B66328">
        <w:t xml:space="preserve">in </w:t>
      </w:r>
      <w:r w:rsidRPr="002D4339" w:rsidR="00B66328">
        <w:t>ordinary proceedings</w:t>
      </w:r>
      <w:r w:rsidR="00B66328">
        <w:t xml:space="preserve"> made it impossible to adduce </w:t>
      </w:r>
      <w:r w:rsidRPr="002D4339" w:rsidR="00B66328">
        <w:t xml:space="preserve">evidence </w:t>
      </w:r>
      <w:r w:rsidR="00B66328">
        <w:t>other than</w:t>
      </w:r>
      <w:r w:rsidRPr="002D4339" w:rsidR="00B66328">
        <w:t xml:space="preserve"> document</w:t>
      </w:r>
      <w:r w:rsidR="00B66328">
        <w:t>s, and the court could request further evidence (but was not obliged to do so)</w:t>
      </w:r>
      <w:r w:rsidRPr="002D4339" w:rsidR="00B66328">
        <w:t xml:space="preserve">. </w:t>
      </w:r>
      <w:r w:rsidR="00B66328">
        <w:t>T</w:t>
      </w:r>
      <w:r w:rsidRPr="002D4339" w:rsidR="00B66328">
        <w:t>he choice of this type of procedure</w:t>
      </w:r>
      <w:r w:rsidR="00B66328">
        <w:t xml:space="preserve"> by the legislature was intended to </w:t>
      </w:r>
      <w:r w:rsidRPr="002D4339" w:rsidR="00B66328">
        <w:t xml:space="preserve">limit as far as possible the amount of compensation for damage </w:t>
      </w:r>
      <w:r w:rsidR="00B66328">
        <w:t>by ensuring</w:t>
      </w:r>
      <w:r w:rsidRPr="002D4339" w:rsidR="00B66328">
        <w:t xml:space="preserve"> that the court </w:t>
      </w:r>
      <w:r w:rsidR="00B66328">
        <w:t>gave its ruling in the light of the information</w:t>
      </w:r>
      <w:r w:rsidRPr="00E64490" w:rsidR="00B66328">
        <w:t xml:space="preserve"> </w:t>
      </w:r>
      <w:r w:rsidR="00B66328">
        <w:t>available</w:t>
      </w:r>
      <w:r w:rsidR="005B3C44">
        <w:t>.</w:t>
      </w:r>
    </w:p>
    <w:p w:rsidR="00A31EB8" w:rsidP="00F84BBF" w:rsidRDefault="008C6CE3">
      <w:pPr>
        <w:pStyle w:val="JuPara"/>
      </w:pPr>
      <w:r>
        <w:t>(f)  </w:t>
      </w:r>
      <w:r w:rsidR="005B3C44">
        <w:t>T</w:t>
      </w:r>
      <w:r w:rsidR="00B66328">
        <w:t>he domestic criteria governing compensation for</w:t>
      </w:r>
      <w:r w:rsidRPr="002D4339" w:rsidR="00B66328">
        <w:t xml:space="preserve"> damage</w:t>
      </w:r>
      <w:r w:rsidR="00B66328">
        <w:t xml:space="preserve"> were entirely</w:t>
      </w:r>
      <w:r w:rsidRPr="002D4339" w:rsidR="00B66328">
        <w:t xml:space="preserve"> different from </w:t>
      </w:r>
      <w:r w:rsidR="00B66328">
        <w:t xml:space="preserve">those of </w:t>
      </w:r>
      <w:r w:rsidRPr="002D4339" w:rsidR="00B66328">
        <w:t>the Court</w:t>
      </w:r>
      <w:r w:rsidR="005B3C44">
        <w:t>.</w:t>
      </w:r>
    </w:p>
    <w:p w:rsidR="00B66328" w:rsidP="00F84BBF" w:rsidRDefault="008C6CE3">
      <w:pPr>
        <w:pStyle w:val="JuPara"/>
      </w:pPr>
      <w:r>
        <w:t>(g)  </w:t>
      </w:r>
      <w:r w:rsidR="005B3C44">
        <w:t>T</w:t>
      </w:r>
      <w:r w:rsidR="00B66328">
        <w:t>here was an inequality of treatment regarding the payment of costs and expenses: if the claimant won the amounts awarded by the courts of appeal were minimal, whereas if the claimant lost the amounts payable to the State were much higher.</w:t>
      </w:r>
    </w:p>
    <w:p w:rsidR="00B66328" w:rsidP="008C6CE3" w:rsidRDefault="00B66328">
      <w:pPr>
        <w:pStyle w:val="JuPara"/>
        <w:rPr>
          <w:szCs w:val="24"/>
        </w:rPr>
      </w:pPr>
      <w:r>
        <w:t xml:space="preserve">Furthermore, the Pinto Act provided for payment within the limits of available resources. The funds available (approximately </w:t>
      </w:r>
      <w:r w:rsidR="005B3C44">
        <w:t xml:space="preserve">EUR </w:t>
      </w:r>
      <w:r>
        <w:t xml:space="preserve">6,500,000) in 2002 had been ridiculously low given the thousands of applications that had then been pending before the Court. The amounts earmarked were still inadequate today, hence the delay in making payments. </w:t>
      </w:r>
      <w:r w:rsidRPr="00B81763">
        <w:t>Once a</w:t>
      </w:r>
      <w:r>
        <w:t xml:space="preserve"> decision had been obtained from the </w:t>
      </w:r>
      <w:r w:rsidR="006D3397">
        <w:t>c</w:t>
      </w:r>
      <w:r>
        <w:t xml:space="preserve">ourt of </w:t>
      </w:r>
      <w:r w:rsidR="006D3397">
        <w:t>a</w:t>
      </w:r>
      <w:r>
        <w:t>p</w:t>
      </w:r>
      <w:r w:rsidRPr="00B81763">
        <w:t xml:space="preserve">peal, the State </w:t>
      </w:r>
      <w:r>
        <w:t>did</w:t>
      </w:r>
      <w:r w:rsidRPr="00B81763">
        <w:t xml:space="preserve"> not </w:t>
      </w:r>
      <w:r>
        <w:t>spontaneously make payment</w:t>
      </w:r>
      <w:r w:rsidRPr="00B81763">
        <w:t xml:space="preserve"> </w:t>
      </w:r>
      <w:r>
        <w:t>but</w:t>
      </w:r>
      <w:r w:rsidRPr="00B81763">
        <w:t xml:space="preserve"> oblige</w:t>
      </w:r>
      <w:r>
        <w:t>d</w:t>
      </w:r>
      <w:r w:rsidRPr="00B81763">
        <w:t xml:space="preserve"> the applicants to serve the decision on the authorities, wait the statutory 120 days </w:t>
      </w:r>
      <w:r>
        <w:t>after</w:t>
      </w:r>
      <w:r w:rsidRPr="00B81763">
        <w:t xml:space="preserve"> service </w:t>
      </w:r>
      <w:r w:rsidRPr="002D4339">
        <w:t xml:space="preserve">and then take out a writ, and </w:t>
      </w:r>
      <w:r>
        <w:t>sometimes</w:t>
      </w:r>
      <w:r w:rsidRPr="002D4339">
        <w:t xml:space="preserve"> </w:t>
      </w:r>
      <w:r w:rsidR="007C4610">
        <w:t>apply for a</w:t>
      </w:r>
      <w:r>
        <w:t xml:space="preserve"> </w:t>
      </w:r>
      <w:r w:rsidR="007C4610">
        <w:t>garnishee</w:t>
      </w:r>
      <w:r>
        <w:t xml:space="preserve"> </w:t>
      </w:r>
      <w:r w:rsidR="007C4610">
        <w:t>order</w:t>
      </w:r>
      <w:r>
        <w:t>,</w:t>
      </w:r>
      <w:r w:rsidR="00FA262D">
        <w:t xml:space="preserve"> which</w:t>
      </w:r>
      <w:r w:rsidRPr="002D4339">
        <w:t xml:space="preserve"> </w:t>
      </w:r>
      <w:r w:rsidR="00FA262D">
        <w:t>was</w:t>
      </w:r>
      <w:r w:rsidRPr="002D4339">
        <w:t xml:space="preserve"> not </w:t>
      </w:r>
      <w:r w:rsidR="00FA262D">
        <w:t xml:space="preserve">always </w:t>
      </w:r>
      <w:r w:rsidRPr="002D4339">
        <w:t>success</w:t>
      </w:r>
      <w:r w:rsidR="00FA262D">
        <w:t>ful</w:t>
      </w:r>
      <w:r>
        <w:t xml:space="preserve"> </w:t>
      </w:r>
      <w:r w:rsidR="00FA262D">
        <w:t>because</w:t>
      </w:r>
      <w:r>
        <w:t xml:space="preserve"> funds</w:t>
      </w:r>
      <w:r w:rsidRPr="002D4339">
        <w:t xml:space="preserve"> </w:t>
      </w:r>
      <w:r>
        <w:t>might</w:t>
      </w:r>
      <w:r w:rsidRPr="002D4339">
        <w:t xml:space="preserve"> not </w:t>
      </w:r>
      <w:r>
        <w:t>be available</w:t>
      </w:r>
      <w:r w:rsidRPr="002D4339">
        <w:t>. This mean</w:t>
      </w:r>
      <w:r>
        <w:t>t</w:t>
      </w:r>
      <w:r w:rsidRPr="002D4339">
        <w:t xml:space="preserve"> that, on average, two years elapse</w:t>
      </w:r>
      <w:r>
        <w:t>d</w:t>
      </w:r>
      <w:r w:rsidRPr="002D4339">
        <w:t xml:space="preserve"> between the </w:t>
      </w:r>
      <w:r>
        <w:t>date</w:t>
      </w:r>
      <w:r w:rsidRPr="002D4339">
        <w:t xml:space="preserve"> of the </w:t>
      </w:r>
      <w:r>
        <w:t>decision</w:t>
      </w:r>
      <w:r w:rsidRPr="002D4339">
        <w:t xml:space="preserve"> and </w:t>
      </w:r>
      <w:r>
        <w:t>the date the Italian S</w:t>
      </w:r>
      <w:r w:rsidRPr="002D4339">
        <w:t xml:space="preserve">tate actually </w:t>
      </w:r>
      <w:r>
        <w:t>paid</w:t>
      </w:r>
      <w:r w:rsidRPr="002D4339">
        <w:t xml:space="preserve"> the sum to the applicant</w:t>
      </w:r>
      <w:r>
        <w:t>, which was</w:t>
      </w:r>
      <w:r w:rsidRPr="002D4339">
        <w:t xml:space="preserve"> </w:t>
      </w:r>
      <w:r>
        <w:t>perfectly</w:t>
      </w:r>
      <w:r w:rsidRPr="002D4339">
        <w:t xml:space="preserve"> legitima</w:t>
      </w:r>
      <w:r>
        <w:t>te</w:t>
      </w:r>
      <w:r w:rsidRPr="002D4339">
        <w:t xml:space="preserve"> since </w:t>
      </w:r>
      <w:r>
        <w:t>the Pinto Act itself provided</w:t>
      </w:r>
      <w:r w:rsidRPr="002D4339">
        <w:t xml:space="preserve"> that </w:t>
      </w:r>
      <w:r>
        <w:rPr>
          <w:iCs/>
        </w:rPr>
        <w:t>payment</w:t>
      </w:r>
      <w:r w:rsidRPr="00B81763">
        <w:rPr>
          <w:iCs/>
        </w:rPr>
        <w:t xml:space="preserve"> shall be within the limits of available resources</w:t>
      </w:r>
      <w:r w:rsidRPr="00B81763">
        <w:t>,</w:t>
      </w:r>
      <w:r w:rsidRPr="002D4339">
        <w:t xml:space="preserve"> </w:t>
      </w:r>
      <w:r>
        <w:t>that is,</w:t>
      </w:r>
      <w:r w:rsidRPr="002D4339">
        <w:t xml:space="preserve"> the limits of the – notoriously inadequate – </w:t>
      </w:r>
      <w:r>
        <w:t>sums that the S</w:t>
      </w:r>
      <w:r w:rsidRPr="002D4339">
        <w:t>tate decide</w:t>
      </w:r>
      <w:r>
        <w:t>d</w:t>
      </w:r>
      <w:r w:rsidRPr="002D4339">
        <w:t xml:space="preserve"> to set aside</w:t>
      </w:r>
      <w:r>
        <w:t xml:space="preserve"> every year</w:t>
      </w:r>
      <w:r w:rsidRPr="00A21513">
        <w:rPr>
          <w:szCs w:val="24"/>
        </w:rPr>
        <w:t>.</w:t>
      </w:r>
    </w:p>
    <w:p w:rsidR="00B66328" w:rsidP="008C6CE3" w:rsidRDefault="00B66328">
      <w:pPr>
        <w:pStyle w:val="JuPara"/>
      </w:pPr>
      <w:r>
        <w:fldChar w:fldCharType="begin"/>
      </w:r>
      <w:r>
        <w:instrText xml:space="preserve"> SEQ level0 \*arabic </w:instrText>
      </w:r>
      <w:r>
        <w:fldChar w:fldCharType="separate"/>
      </w:r>
      <w:r w:rsidR="006D3397">
        <w:rPr>
          <w:noProof/>
        </w:rPr>
        <w:t>54</w:t>
      </w:r>
      <w:r>
        <w:fldChar w:fldCharType="end"/>
      </w:r>
      <w:r>
        <w:t>.  In the applicant</w:t>
      </w:r>
      <w:r w:rsidR="00C01D3E">
        <w:t>’</w:t>
      </w:r>
      <w:r>
        <w:t>s submission, an analysis of the Pinto Act and the Italian courts</w:t>
      </w:r>
      <w:r w:rsidR="00C01D3E">
        <w:t>’</w:t>
      </w:r>
      <w:r>
        <w:t xml:space="preserve"> manner of applying it showed that the purpose of the measures taken by the State was not to eliminate the delays but to create a remedy that would be such an obstacle that it would discourage claimants from lodging an application or continuing with one. The applicant was thus not only a victim of the chronic delays in proceedings but also of the subsequent frustrations resulting from the obstacles instituted with the Pinto remedy. Furthermore, the Pinto Act had increased the workload of the courts of appeal without any provision being made for a concomitant substantial increase in the number of judges, which could only have adverse effects on the judges</w:t>
      </w:r>
      <w:r w:rsidR="00C01D3E">
        <w:t>’</w:t>
      </w:r>
      <w:r>
        <w:t xml:space="preserve"> work.</w:t>
      </w:r>
    </w:p>
    <w:p w:rsidR="00B66328" w:rsidP="008C6CE3" w:rsidRDefault="00B66328">
      <w:pPr>
        <w:pStyle w:val="JuPara"/>
        <w:rPr>
          <w:szCs w:val="24"/>
        </w:rPr>
      </w:pPr>
      <w:r>
        <w:fldChar w:fldCharType="begin"/>
      </w:r>
      <w:r>
        <w:instrText xml:space="preserve"> SEQ level0 \*arabic </w:instrText>
      </w:r>
      <w:r>
        <w:fldChar w:fldCharType="separate"/>
      </w:r>
      <w:r w:rsidR="006D3397">
        <w:rPr>
          <w:noProof/>
        </w:rPr>
        <w:t>55</w:t>
      </w:r>
      <w:r>
        <w:fldChar w:fldCharType="end"/>
      </w:r>
      <w:r>
        <w:t xml:space="preserve">.  In reply to the </w:t>
      </w:r>
      <w:r w:rsidR="007C4610">
        <w:t>criticism</w:t>
      </w:r>
      <w:r>
        <w:t xml:space="preserve"> of the various Governments regarding the criteria </w:t>
      </w:r>
      <w:r w:rsidR="002B45C6">
        <w:t>set out</w:t>
      </w:r>
      <w:r>
        <w:t xml:space="preserve"> </w:t>
      </w:r>
      <w:r w:rsidR="00A7291E">
        <w:t xml:space="preserve">by </w:t>
      </w:r>
      <w:r>
        <w:t>the Chamber, the applicant observed that the length of the proceedings was so bound up with the Italian judicial system that the Government omitted to ask the Court what they should change in the system in order to eliminate the delays. Instead, the Government asked the Court to lay down guidelines regarding damage or authorise the courts to continue using guidelines that were totally different from those used by the Court so that they could carry on running the Italian system without introducing any changes to expedite proceedings. The applicant</w:t>
      </w:r>
      <w:r w:rsidRPr="000B6BB9">
        <w:t xml:space="preserve"> argue</w:t>
      </w:r>
      <w:r>
        <w:t>d</w:t>
      </w:r>
      <w:r w:rsidRPr="000B6BB9">
        <w:t xml:space="preserve"> that</w:t>
      </w:r>
      <w:r>
        <w:t xml:space="preserve"> the Government</w:t>
      </w:r>
      <w:r w:rsidRPr="000B6BB9">
        <w:t xml:space="preserve"> </w:t>
      </w:r>
      <w:r>
        <w:t xml:space="preserve">erred in </w:t>
      </w:r>
      <w:r w:rsidR="006D3397">
        <w:t>their</w:t>
      </w:r>
      <w:r w:rsidRPr="002D4339">
        <w:t xml:space="preserve"> assessment </w:t>
      </w:r>
      <w:r>
        <w:t>of the position as i</w:t>
      </w:r>
      <w:r w:rsidRPr="002D4339">
        <w:t xml:space="preserve">t </w:t>
      </w:r>
      <w:r>
        <w:t>was</w:t>
      </w:r>
      <w:r w:rsidRPr="002D4339">
        <w:t xml:space="preserve"> not </w:t>
      </w:r>
      <w:r>
        <w:t>for</w:t>
      </w:r>
      <w:r w:rsidRPr="002D4339">
        <w:t xml:space="preserve"> the European Court of Human Rights </w:t>
      </w:r>
      <w:r>
        <w:t>to avoid</w:t>
      </w:r>
      <w:r w:rsidRPr="002D4339">
        <w:t xml:space="preserve"> </w:t>
      </w:r>
      <w:r>
        <w:t>giving judgments that conflicted</w:t>
      </w:r>
      <w:r w:rsidRPr="002D4339">
        <w:t xml:space="preserve"> with </w:t>
      </w:r>
      <w:r>
        <w:t>national law</w:t>
      </w:r>
      <w:r w:rsidRPr="002D4339">
        <w:t xml:space="preserve"> but</w:t>
      </w:r>
      <w:r>
        <w:t>, on the contrary, the</w:t>
      </w:r>
      <w:r w:rsidRPr="002D4339">
        <w:t xml:space="preserve"> </w:t>
      </w:r>
      <w:r>
        <w:t>national law (</w:t>
      </w:r>
      <w:r w:rsidRPr="002D4339">
        <w:t>including the Pinto Act</w:t>
      </w:r>
      <w:r>
        <w:t>)</w:t>
      </w:r>
      <w:r w:rsidRPr="002D4339">
        <w:t xml:space="preserve"> that </w:t>
      </w:r>
      <w:r>
        <w:t>should</w:t>
      </w:r>
      <w:r w:rsidRPr="002D4339">
        <w:t xml:space="preserve"> </w:t>
      </w:r>
      <w:r>
        <w:t>not</w:t>
      </w:r>
      <w:r w:rsidRPr="002D4339">
        <w:t xml:space="preserve"> conflict with the Convention</w:t>
      </w:r>
      <w:r>
        <w:t>.</w:t>
      </w:r>
      <w:r w:rsidRPr="000B6BB9">
        <w:t xml:space="preserve"> </w:t>
      </w:r>
      <w:r>
        <w:t>In the applicant</w:t>
      </w:r>
      <w:r w:rsidR="00C01D3E">
        <w:t>’</w:t>
      </w:r>
      <w:r>
        <w:t>s submission, the Government could not properly argue that in some cases delays in legal proceedings gave applicants an advantage if they held out with unfounded arguments during proceedings, or if the stakes involved in the dispute were less than the just satisfaction awarded. The value of the application in question was of no relevance to the right to a hearing within a reasonable time and Article 6</w:t>
      </w:r>
      <w:r w:rsidR="002A7BAA">
        <w:t xml:space="preserve"> </w:t>
      </w:r>
      <w:r>
        <w:t xml:space="preserve">did not require an applicant claiming the right to just satisfaction to have been successful. </w:t>
      </w:r>
      <w:r w:rsidRPr="005F2A9D">
        <w:t>Furthermore, the Government</w:t>
      </w:r>
      <w:r w:rsidR="00C01D3E">
        <w:t>’</w:t>
      </w:r>
      <w:r w:rsidRPr="005F2A9D">
        <w:t xml:space="preserve">s </w:t>
      </w:r>
      <w:r>
        <w:t>reasoning</w:t>
      </w:r>
      <w:r w:rsidRPr="005F2A9D">
        <w:t xml:space="preserve"> </w:t>
      </w:r>
      <w:r>
        <w:t>was</w:t>
      </w:r>
      <w:r w:rsidRPr="005F2A9D">
        <w:t xml:space="preserve"> </w:t>
      </w:r>
      <w:r>
        <w:t xml:space="preserve">one that was </w:t>
      </w:r>
      <w:r w:rsidRPr="005F2A9D">
        <w:t>expressed with hindsight</w:t>
      </w:r>
      <w:r>
        <w:t xml:space="preserve"> at the end of proceedings, and it was never possible to say beforehand what the outcome would be.</w:t>
      </w:r>
      <w:r w:rsidRPr="005F2A9D">
        <w:rPr>
          <w:szCs w:val="24"/>
        </w:rPr>
        <w:t xml:space="preserve"> </w:t>
      </w:r>
      <w:r>
        <w:rPr>
          <w:szCs w:val="24"/>
        </w:rPr>
        <w:t>I</w:t>
      </w:r>
      <w:r>
        <w:t>f a case was lost after twenty years of proceedings the non-pecuniary damage incurred was all the greater, since if the person had known earlier that they would lose they would probably have arranged certain aspects of their life differently</w:t>
      </w:r>
      <w:r>
        <w:rPr>
          <w:szCs w:val="24"/>
        </w:rPr>
        <w:t>.</w:t>
      </w:r>
    </w:p>
    <w:p w:rsidR="00B66328" w:rsidP="008C6CE3" w:rsidRDefault="00B66328">
      <w:pPr>
        <w:pStyle w:val="JuPara"/>
        <w:rPr>
          <w:szCs w:val="24"/>
        </w:rPr>
      </w:pPr>
      <w:r>
        <w:rPr>
          <w:bCs/>
        </w:rPr>
        <w:fldChar w:fldCharType="begin"/>
      </w:r>
      <w:r>
        <w:rPr>
          <w:bCs/>
        </w:rPr>
        <w:instrText xml:space="preserve"> SEQ level0 \*arabic </w:instrText>
      </w:r>
      <w:r>
        <w:rPr>
          <w:bCs/>
        </w:rPr>
        <w:fldChar w:fldCharType="separate"/>
      </w:r>
      <w:r w:rsidR="006D3397">
        <w:rPr>
          <w:bCs/>
          <w:noProof/>
        </w:rPr>
        <w:t>56</w:t>
      </w:r>
      <w:r>
        <w:rPr>
          <w:bCs/>
        </w:rPr>
        <w:fldChar w:fldCharType="end"/>
      </w:r>
      <w:r>
        <w:rPr>
          <w:bCs/>
        </w:rPr>
        <w:t>.  </w:t>
      </w:r>
      <w:r w:rsidRPr="005F2A9D">
        <w:rPr>
          <w:bCs/>
        </w:rPr>
        <w:t xml:space="preserve">As to the </w:t>
      </w:r>
      <w:r>
        <w:rPr>
          <w:bCs/>
        </w:rPr>
        <w:t>adequacy</w:t>
      </w:r>
      <w:r w:rsidRPr="005F2A9D">
        <w:rPr>
          <w:bCs/>
        </w:rPr>
        <w:t xml:space="preserve"> of a finding of </w:t>
      </w:r>
      <w:r>
        <w:rPr>
          <w:bCs/>
        </w:rPr>
        <w:t xml:space="preserve">a </w:t>
      </w:r>
      <w:r w:rsidRPr="005F2A9D">
        <w:rPr>
          <w:bCs/>
        </w:rPr>
        <w:t>violation</w:t>
      </w:r>
      <w:r>
        <w:rPr>
          <w:bCs/>
        </w:rPr>
        <w:t>,</w:t>
      </w:r>
      <w:r w:rsidRPr="005F2A9D">
        <w:rPr>
          <w:bCs/>
        </w:rPr>
        <w:t xml:space="preserve"> </w:t>
      </w:r>
      <w:r>
        <w:rPr>
          <w:bCs/>
        </w:rPr>
        <w:t>that</w:t>
      </w:r>
      <w:r>
        <w:t xml:space="preserve"> assertion held true only for a State that committed few breaches – and these owing to exceptional circumstances – and possessed a sound judicial system.</w:t>
      </w:r>
      <w:r w:rsidRPr="005F2A9D">
        <w:t xml:space="preserve"> </w:t>
      </w:r>
      <w:r>
        <w:t xml:space="preserve">This was not the situation in </w:t>
      </w:r>
      <w:smartTag w:uri="urn:schemas-microsoft-com:office:smarttags" w:element="place">
        <w:smartTag w:uri="urn:schemas-microsoft-com:office:smarttags" w:element="country-region">
          <w:r>
            <w:t>Italy</w:t>
          </w:r>
        </w:smartTag>
      </w:smartTag>
      <w:r>
        <w:t>, which did nothing to put an end to these violations.</w:t>
      </w:r>
      <w:r w:rsidRPr="005F2A9D">
        <w:rPr>
          <w:szCs w:val="24"/>
        </w:rPr>
        <w:t xml:space="preserve"> </w:t>
      </w:r>
      <w:r>
        <w:t>Such</w:t>
      </w:r>
      <w:r w:rsidRPr="00DB6CE4">
        <w:t xml:space="preserve"> conduct certainly </w:t>
      </w:r>
      <w:r>
        <w:t>could not</w:t>
      </w:r>
      <w:r w:rsidRPr="00DB6CE4">
        <w:t xml:space="preserve"> be rewarded with the </w:t>
      </w:r>
      <w:r>
        <w:t>elimination</w:t>
      </w:r>
      <w:r w:rsidRPr="00DB6CE4">
        <w:t xml:space="preserve"> of just satisfaction</w:t>
      </w:r>
      <w:r w:rsidRPr="00DB6CE4">
        <w:rPr>
          <w:szCs w:val="24"/>
        </w:rPr>
        <w:t xml:space="preserve">. </w:t>
      </w:r>
      <w:r w:rsidRPr="005F2A9D">
        <w:rPr>
          <w:szCs w:val="24"/>
        </w:rPr>
        <w:t>On the contrary,</w:t>
      </w:r>
      <w:r>
        <w:rPr>
          <w:szCs w:val="24"/>
        </w:rPr>
        <w:t xml:space="preserve"> in order to force the State to take measures to avoid violations</w:t>
      </w:r>
      <w:r w:rsidR="002B45C6">
        <w:rPr>
          <w:szCs w:val="24"/>
        </w:rPr>
        <w:t>,</w:t>
      </w:r>
      <w:r w:rsidRPr="005F2A9D">
        <w:rPr>
          <w:szCs w:val="24"/>
        </w:rPr>
        <w:t xml:space="preserve"> </w:t>
      </w:r>
      <w:r>
        <w:rPr>
          <w:szCs w:val="24"/>
        </w:rPr>
        <w:t xml:space="preserve">the Court </w:t>
      </w:r>
      <w:r>
        <w:t xml:space="preserve">ought to increase the awards in its judgments against </w:t>
      </w:r>
      <w:smartTag w:uri="urn:schemas-microsoft-com:office:smarttags" w:element="place">
        <w:smartTag w:uri="urn:schemas-microsoft-com:office:smarttags" w:element="country-region">
          <w:r>
            <w:t>Italy</w:t>
          </w:r>
        </w:smartTag>
      </w:smartTag>
      <w:r w:rsidRPr="00965844">
        <w:t xml:space="preserve"> </w:t>
      </w:r>
      <w:r>
        <w:t>until the reasons justice was not delivered within a reasonable time were eliminated</w:t>
      </w:r>
      <w:r w:rsidRPr="005F2A9D">
        <w:rPr>
          <w:szCs w:val="24"/>
        </w:rPr>
        <w:t>.</w:t>
      </w:r>
    </w:p>
    <w:p w:rsidR="00B66328" w:rsidP="008C6CE3" w:rsidRDefault="00B66328">
      <w:pPr>
        <w:pStyle w:val="JuPara"/>
      </w:pPr>
      <w:r>
        <w:rPr>
          <w:szCs w:val="24"/>
        </w:rPr>
        <w:fldChar w:fldCharType="begin"/>
      </w:r>
      <w:r>
        <w:rPr>
          <w:szCs w:val="24"/>
        </w:rPr>
        <w:instrText xml:space="preserve"> SEQ level0 \*arabic </w:instrText>
      </w:r>
      <w:r>
        <w:rPr>
          <w:szCs w:val="24"/>
        </w:rPr>
        <w:fldChar w:fldCharType="separate"/>
      </w:r>
      <w:r w:rsidR="006D3397">
        <w:rPr>
          <w:noProof/>
          <w:szCs w:val="24"/>
        </w:rPr>
        <w:t>57</w:t>
      </w:r>
      <w:r>
        <w:rPr>
          <w:szCs w:val="24"/>
        </w:rPr>
        <w:fldChar w:fldCharType="end"/>
      </w:r>
      <w:r>
        <w:rPr>
          <w:szCs w:val="24"/>
        </w:rPr>
        <w:t>.  </w:t>
      </w:r>
      <w:r>
        <w:t xml:space="preserve">With regard to the comments relating to the subsidiarity principle, the applicant submitted that Article </w:t>
      </w:r>
      <w:r w:rsidRPr="00260425">
        <w:t xml:space="preserve">13 </w:t>
      </w:r>
      <w:r w:rsidR="006D3397">
        <w:t xml:space="preserve">of the Convention </w:t>
      </w:r>
      <w:r>
        <w:t>could not</w:t>
      </w:r>
      <w:r w:rsidRPr="00260425">
        <w:t xml:space="preserve"> be construed as allowing a State to adopt a domestic remedy which </w:t>
      </w:r>
      <w:r>
        <w:t>would</w:t>
      </w:r>
      <w:r w:rsidRPr="00260425">
        <w:t xml:space="preserve"> determine just satisfaction for violations of fundamental rights recognised by the Court </w:t>
      </w:r>
      <w:r>
        <w:t>according to criteria that were completely different from those used by the Court</w:t>
      </w:r>
      <w:r w:rsidRPr="00260425">
        <w:t>. The Court therefore ha</w:t>
      </w:r>
      <w:r>
        <w:t>d</w:t>
      </w:r>
      <w:r w:rsidRPr="00260425">
        <w:t xml:space="preserve"> a duty to intervene regarding </w:t>
      </w:r>
      <w:r>
        <w:t>domestic de</w:t>
      </w:r>
      <w:r w:rsidRPr="00260425">
        <w:t xml:space="preserve">cisions in order to </w:t>
      </w:r>
      <w:r>
        <w:t>ensure full reparation of the consequences of violat</w:t>
      </w:r>
      <w:r w:rsidRPr="00260425">
        <w:t xml:space="preserve">ions </w:t>
      </w:r>
      <w:r>
        <w:t xml:space="preserve">of the rights and freedoms protected by the Convention. </w:t>
      </w:r>
      <w:r w:rsidRPr="00260425">
        <w:t>The Court</w:t>
      </w:r>
      <w:r w:rsidR="00C01D3E">
        <w:t>’</w:t>
      </w:r>
      <w:r w:rsidRPr="00260425">
        <w:t xml:space="preserve">s intervention </w:t>
      </w:r>
      <w:r>
        <w:t>was</w:t>
      </w:r>
      <w:r w:rsidRPr="00260425">
        <w:t xml:space="preserve"> always possible where the domesti</w:t>
      </w:r>
      <w:r>
        <w:t>c</w:t>
      </w:r>
      <w:r w:rsidRPr="00260425">
        <w:t xml:space="preserve"> courts ha</w:t>
      </w:r>
      <w:r>
        <w:t>d</w:t>
      </w:r>
      <w:r w:rsidRPr="00260425">
        <w:t xml:space="preserve"> </w:t>
      </w:r>
      <w:r>
        <w:t xml:space="preserve">made a decision </w:t>
      </w:r>
      <w:r w:rsidRPr="00FA262D" w:rsidR="00264351">
        <w:t>impairing</w:t>
      </w:r>
      <w:r>
        <w:t xml:space="preserve"> the effectiveness of the domestic remedy</w:t>
      </w:r>
      <w:r w:rsidRPr="00260425">
        <w:t>.</w:t>
      </w:r>
      <w:r>
        <w:t xml:space="preserve"> To accept wholesale the “subsidiarity” argument was tantamount to depriving the Court of its function, which was to ensure that the Contracting States applied the Convention and its Protocols.</w:t>
      </w:r>
    </w:p>
    <w:p w:rsidRPr="005F2A9D" w:rsidR="00B66328" w:rsidP="00B66328" w:rsidRDefault="00B66328">
      <w:pPr>
        <w:pStyle w:val="JuH1"/>
        <w:keepNext w:val="0"/>
        <w:keepLines w:val="0"/>
      </w:pPr>
      <w:r>
        <w:t>3.  </w:t>
      </w:r>
      <w:r w:rsidR="002B45C6">
        <w:t>Third-party interveners</w:t>
      </w:r>
    </w:p>
    <w:p w:rsidRPr="00CE0F95" w:rsidR="00B66328" w:rsidP="00B66328" w:rsidRDefault="002B45C6">
      <w:pPr>
        <w:pStyle w:val="JuHa0"/>
        <w:keepNext w:val="0"/>
        <w:keepLines w:val="0"/>
        <w:tabs>
          <w:tab w:val="clear" w:pos="975"/>
        </w:tabs>
        <w:ind w:left="635" w:firstLine="0"/>
      </w:pPr>
      <w:r>
        <w:t>(</w:t>
      </w:r>
      <w:r w:rsidRPr="00CE0F95" w:rsidR="00B66328">
        <w:t>a)  </w:t>
      </w:r>
      <w:r w:rsidR="00B66328">
        <w:t>The Czech Government</w:t>
      </w:r>
    </w:p>
    <w:p w:rsidR="00B66328" w:rsidP="008C6CE3" w:rsidRDefault="00B66328">
      <w:pPr>
        <w:pStyle w:val="JuPara"/>
      </w:pPr>
      <w:r w:rsidRPr="0044108D">
        <w:rPr>
          <w:bCs/>
        </w:rPr>
        <w:fldChar w:fldCharType="begin"/>
      </w:r>
      <w:r w:rsidRPr="0044108D">
        <w:rPr>
          <w:bCs/>
        </w:rPr>
        <w:instrText xml:space="preserve"> SEQ level0 \*arabic </w:instrText>
      </w:r>
      <w:r w:rsidRPr="0044108D">
        <w:rPr>
          <w:bCs/>
        </w:rPr>
        <w:fldChar w:fldCharType="separate"/>
      </w:r>
      <w:r w:rsidR="006D3397">
        <w:rPr>
          <w:bCs/>
          <w:noProof/>
        </w:rPr>
        <w:t>58</w:t>
      </w:r>
      <w:r w:rsidRPr="0044108D">
        <w:rPr>
          <w:bCs/>
        </w:rPr>
        <w:fldChar w:fldCharType="end"/>
      </w:r>
      <w:r w:rsidRPr="0044108D">
        <w:rPr>
          <w:bCs/>
        </w:rPr>
        <w:t>.  </w:t>
      </w:r>
      <w:r w:rsidRPr="0044108D" w:rsidR="00222571">
        <w:rPr>
          <w:bCs/>
        </w:rPr>
        <w:t>In the Czech Government</w:t>
      </w:r>
      <w:r w:rsidR="00C01D3E">
        <w:rPr>
          <w:bCs/>
        </w:rPr>
        <w:t>’</w:t>
      </w:r>
      <w:r w:rsidRPr="0044108D" w:rsidR="00222571">
        <w:rPr>
          <w:bCs/>
        </w:rPr>
        <w:t>s submission,</w:t>
      </w:r>
      <w:r w:rsidRPr="00F95D62" w:rsidR="00222571">
        <w:rPr>
          <w:szCs w:val="24"/>
        </w:rPr>
        <w:t xml:space="preserve"> </w:t>
      </w:r>
      <w:r w:rsidR="00222571">
        <w:t>the Court should</w:t>
      </w:r>
      <w:r w:rsidRPr="00AC3F9B" w:rsidR="00222571">
        <w:t xml:space="preserve"> confine itself to </w:t>
      </w:r>
      <w:r w:rsidR="00222571">
        <w:t>ensuring that</w:t>
      </w:r>
      <w:r w:rsidRPr="00AC3F9B" w:rsidR="00222571">
        <w:t xml:space="preserve"> the</w:t>
      </w:r>
      <w:r w:rsidRPr="00F95D62" w:rsidR="00222571">
        <w:t xml:space="preserve"> </w:t>
      </w:r>
      <w:r w:rsidRPr="00AC3F9B" w:rsidR="00222571">
        <w:t>consequences</w:t>
      </w:r>
      <w:r w:rsidR="00222571">
        <w:t xml:space="preserve"> of the</w:t>
      </w:r>
      <w:r w:rsidRPr="00AC3F9B" w:rsidR="00222571">
        <w:t xml:space="preserve"> </w:t>
      </w:r>
      <w:r w:rsidR="00222571">
        <w:t>case-law</w:t>
      </w:r>
      <w:r w:rsidRPr="00AC3F9B" w:rsidR="00222571">
        <w:t xml:space="preserve"> policy choices made by the domestic </w:t>
      </w:r>
      <w:r w:rsidR="00222571">
        <w:t>courts</w:t>
      </w:r>
      <w:r w:rsidRPr="00AC3F9B" w:rsidR="00222571">
        <w:t xml:space="preserve"> </w:t>
      </w:r>
      <w:r w:rsidR="00222571">
        <w:t>were</w:t>
      </w:r>
      <w:r w:rsidRPr="00AC3F9B" w:rsidR="00222571">
        <w:t xml:space="preserve"> </w:t>
      </w:r>
      <w:r w:rsidR="00222571">
        <w:t>in keeping with the Convention. Its review should</w:t>
      </w:r>
      <w:r w:rsidRPr="00AC3F9B" w:rsidR="00222571">
        <w:t xml:space="preserve"> be more or less rigorous, depending on the </w:t>
      </w:r>
      <w:r w:rsidR="00222571">
        <w:t>margin of appreciation</w:t>
      </w:r>
      <w:r w:rsidRPr="00AC3F9B" w:rsidR="00222571">
        <w:t xml:space="preserve"> that the Court </w:t>
      </w:r>
      <w:r w:rsidR="00222571">
        <w:t>allowed</w:t>
      </w:r>
      <w:r w:rsidRPr="00AC3F9B" w:rsidR="00222571">
        <w:t xml:space="preserve"> </w:t>
      </w:r>
      <w:r w:rsidR="00222571">
        <w:t>national authorities</w:t>
      </w:r>
      <w:r w:rsidRPr="00AC3F9B" w:rsidR="00222571">
        <w:t xml:space="preserve">. </w:t>
      </w:r>
      <w:r w:rsidR="00222571">
        <w:t>The Court should</w:t>
      </w:r>
      <w:r w:rsidRPr="00AC3F9B" w:rsidR="00222571">
        <w:t xml:space="preserve"> </w:t>
      </w:r>
      <w:r w:rsidR="00222571">
        <w:t xml:space="preserve">only </w:t>
      </w:r>
      <w:r w:rsidRPr="00AC3F9B" w:rsidR="00222571">
        <w:t>ensur</w:t>
      </w:r>
      <w:r w:rsidR="00222571">
        <w:t>e</w:t>
      </w:r>
      <w:r w:rsidRPr="00AC3F9B" w:rsidR="00222571">
        <w:t xml:space="preserve"> that</w:t>
      </w:r>
      <w:r w:rsidR="00222571">
        <w:t>,</w:t>
      </w:r>
      <w:r w:rsidRPr="00096F97" w:rsidR="00222571">
        <w:t xml:space="preserve"> </w:t>
      </w:r>
      <w:r w:rsidRPr="00AC3F9B" w:rsidR="00222571">
        <w:t>in</w:t>
      </w:r>
      <w:r w:rsidR="00222571">
        <w:t xml:space="preserve"> accordance </w:t>
      </w:r>
      <w:r w:rsidRPr="00AC3F9B" w:rsidR="00222571">
        <w:t xml:space="preserve">with Article 13 </w:t>
      </w:r>
      <w:r w:rsidR="00222571">
        <w:t xml:space="preserve">of the Convention, </w:t>
      </w:r>
      <w:r w:rsidRPr="00AC3F9B" w:rsidR="00222571">
        <w:t xml:space="preserve">the </w:t>
      </w:r>
      <w:r w:rsidR="00222571">
        <w:t xml:space="preserve">national authorities complied with </w:t>
      </w:r>
      <w:r w:rsidRPr="00AC3F9B" w:rsidR="00222571">
        <w:t xml:space="preserve">the principles established in its </w:t>
      </w:r>
      <w:r w:rsidR="00222571">
        <w:t>case-law</w:t>
      </w:r>
      <w:r w:rsidRPr="00AC3F9B" w:rsidR="00222571">
        <w:t xml:space="preserve"> </w:t>
      </w:r>
      <w:r w:rsidR="00222571">
        <w:t xml:space="preserve">or applied </w:t>
      </w:r>
      <w:r w:rsidRPr="00AC3F9B" w:rsidR="00222571">
        <w:t>the provisions of their own domestic law in such a way that applicants enjoy</w:t>
      </w:r>
      <w:r w:rsidR="00222571">
        <w:t>ed</w:t>
      </w:r>
      <w:r w:rsidRPr="00AC3F9B" w:rsidR="00222571">
        <w:t xml:space="preserve"> a level of protection in respect of their rights and freedoms as gua</w:t>
      </w:r>
      <w:r w:rsidR="00222571">
        <w:t>ranteed by the Convention that wa</w:t>
      </w:r>
      <w:r w:rsidRPr="00AC3F9B" w:rsidR="00222571">
        <w:t xml:space="preserve">s greater than or equivalent to that which they would enjoy if the </w:t>
      </w:r>
      <w:r w:rsidR="00222571">
        <w:t>national authorities</w:t>
      </w:r>
      <w:r w:rsidRPr="00AC3F9B" w:rsidR="00222571">
        <w:t xml:space="preserve"> applied the Convention</w:t>
      </w:r>
      <w:r w:rsidR="00C01D3E">
        <w:t>’</w:t>
      </w:r>
      <w:r w:rsidRPr="00AC3F9B" w:rsidR="00222571">
        <w:t>s provisions direct</w:t>
      </w:r>
      <w:r w:rsidR="00222571">
        <w:t>ly</w:t>
      </w:r>
      <w:r w:rsidRPr="00AC3F9B" w:rsidR="00222571">
        <w:t>.</w:t>
      </w:r>
      <w:r w:rsidR="00222571">
        <w:t xml:space="preserve"> T</w:t>
      </w:r>
      <w:r w:rsidRPr="00AC3F9B" w:rsidR="00222571">
        <w:t xml:space="preserve">he Court should not go any further except in cases where the </w:t>
      </w:r>
      <w:r w:rsidR="002B45C6">
        <w:t>result arrived at</w:t>
      </w:r>
      <w:r w:rsidR="00222571">
        <w:t xml:space="preserve"> </w:t>
      </w:r>
      <w:r w:rsidRPr="00AC3F9B" w:rsidR="00222571">
        <w:t xml:space="preserve">by the </w:t>
      </w:r>
      <w:r w:rsidR="00222571">
        <w:t>national authorities</w:t>
      </w:r>
      <w:r w:rsidRPr="00AC3F9B" w:rsidR="00222571">
        <w:t xml:space="preserve"> appear</w:t>
      </w:r>
      <w:r w:rsidR="00222571">
        <w:t>ed</w:t>
      </w:r>
      <w:r w:rsidRPr="00AC3F9B" w:rsidR="00222571">
        <w:t>, on the face of it, arbitrary</w:t>
      </w:r>
      <w:r w:rsidR="00222571">
        <w:t>.</w:t>
      </w:r>
    </w:p>
    <w:p w:rsidR="00B66328" w:rsidP="008C6CE3" w:rsidRDefault="00B66328">
      <w:pPr>
        <w:pStyle w:val="JuPara"/>
      </w:pPr>
      <w:r>
        <w:fldChar w:fldCharType="begin"/>
      </w:r>
      <w:r>
        <w:instrText xml:space="preserve"> SEQ level0 \*arabic </w:instrText>
      </w:r>
      <w:r>
        <w:fldChar w:fldCharType="separate"/>
      </w:r>
      <w:r w:rsidR="006D3397">
        <w:rPr>
          <w:noProof/>
        </w:rPr>
        <w:t>59</w:t>
      </w:r>
      <w:r>
        <w:fldChar w:fldCharType="end"/>
      </w:r>
      <w:r>
        <w:t>.  </w:t>
      </w:r>
      <w:r w:rsidR="00222571">
        <w:t>The Czech Government acknowledged that the adequacy of the amount awarded at domestic level was one of the criteria of effectiveness of an application for compensation within the meaning of Article 13. However, in view of the wide margin of appreciation that should be available to the Contracting Parties in implementing Article 13, they considered that the Court should subsequently exercise only “limited control”, thus restricted to satisfying itself that the national authorities had not made a “manifest error in assessment” of the non-pecuniary damage caused by the excessive length of judicial proceedings.</w:t>
      </w:r>
    </w:p>
    <w:p w:rsidRPr="00AD6952" w:rsidR="00B66328" w:rsidP="00B66328" w:rsidRDefault="00B66328">
      <w:pPr>
        <w:pStyle w:val="JuParaCharChar"/>
      </w:pPr>
      <w:r>
        <w:fldChar w:fldCharType="begin"/>
      </w:r>
      <w:r>
        <w:instrText xml:space="preserve"> SEQ level0 \*arabic </w:instrText>
      </w:r>
      <w:r>
        <w:fldChar w:fldCharType="separate"/>
      </w:r>
      <w:r w:rsidR="006D3397">
        <w:rPr>
          <w:noProof/>
        </w:rPr>
        <w:t>60</w:t>
      </w:r>
      <w:r>
        <w:fldChar w:fldCharType="end"/>
      </w:r>
      <w:r>
        <w:t>.  </w:t>
      </w:r>
      <w:r w:rsidRPr="00AD6952">
        <w:t xml:space="preserve">Moreover, </w:t>
      </w:r>
      <w:r w:rsidRPr="008C6CE3">
        <w:rPr>
          <w:rStyle w:val="JuParaChar1"/>
        </w:rPr>
        <w:t>a</w:t>
      </w:r>
      <w:r w:rsidRPr="00AD6952">
        <w:t>s the</w:t>
      </w:r>
      <w:r>
        <w:t xml:space="preserve"> Czech Government</w:t>
      </w:r>
      <w:r w:rsidRPr="00AD6952">
        <w:t xml:space="preserve"> wanted to provide the</w:t>
      </w:r>
      <w:r w:rsidR="00BB4E56">
        <w:t>ir</w:t>
      </w:r>
      <w:r w:rsidRPr="00AD6952">
        <w:t xml:space="preserve"> country with a </w:t>
      </w:r>
      <w:r>
        <w:t xml:space="preserve">compensatory remedy in addition to the </w:t>
      </w:r>
      <w:r w:rsidRPr="00AD6952">
        <w:t xml:space="preserve">existing preventive domestic remedy, they asked the Court </w:t>
      </w:r>
      <w:r>
        <w:t>to provide as many guidelines as</w:t>
      </w:r>
      <w:r w:rsidRPr="00AD6952">
        <w:rPr>
          <w:szCs w:val="24"/>
        </w:rPr>
        <w:t xml:space="preserve"> possible </w:t>
      </w:r>
      <w:r>
        <w:rPr>
          <w:szCs w:val="24"/>
        </w:rPr>
        <w:t xml:space="preserve">in that connection so that they could </w:t>
      </w:r>
      <w:r w:rsidR="002B45C6">
        <w:rPr>
          <w:szCs w:val="24"/>
        </w:rPr>
        <w:t>put</w:t>
      </w:r>
      <w:r>
        <w:rPr>
          <w:szCs w:val="24"/>
        </w:rPr>
        <w:t xml:space="preserve"> in place a remedy</w:t>
      </w:r>
      <w:r w:rsidRPr="00AD6952">
        <w:rPr>
          <w:szCs w:val="24"/>
        </w:rPr>
        <w:t xml:space="preserve"> </w:t>
      </w:r>
      <w:r>
        <w:rPr>
          <w:szCs w:val="24"/>
        </w:rPr>
        <w:t>which would incontestably be effective</w:t>
      </w:r>
      <w:r w:rsidRPr="00AD6952">
        <w:rPr>
          <w:szCs w:val="24"/>
        </w:rPr>
        <w:t>.</w:t>
      </w:r>
    </w:p>
    <w:p w:rsidR="00B66328" w:rsidP="008C6CE3" w:rsidRDefault="002B45C6">
      <w:pPr>
        <w:pStyle w:val="JuHa0"/>
      </w:pPr>
      <w:r>
        <w:t>(</w:t>
      </w:r>
      <w:r w:rsidR="00B66328">
        <w:t>b)  The Polish Government</w:t>
      </w:r>
    </w:p>
    <w:p w:rsidRPr="00336901" w:rsidR="00B66328" w:rsidP="008C6CE3" w:rsidRDefault="00B66328">
      <w:pPr>
        <w:pStyle w:val="JuPara"/>
        <w:rPr>
          <w:szCs w:val="24"/>
        </w:rPr>
      </w:pPr>
      <w:r>
        <w:rPr>
          <w:bCs/>
        </w:rPr>
        <w:fldChar w:fldCharType="begin"/>
      </w:r>
      <w:r>
        <w:rPr>
          <w:bCs/>
        </w:rPr>
        <w:instrText xml:space="preserve"> SEQ level0 \*arabic </w:instrText>
      </w:r>
      <w:r>
        <w:rPr>
          <w:bCs/>
        </w:rPr>
        <w:fldChar w:fldCharType="separate"/>
      </w:r>
      <w:r w:rsidR="006D3397">
        <w:rPr>
          <w:bCs/>
          <w:noProof/>
        </w:rPr>
        <w:t>61</w:t>
      </w:r>
      <w:r>
        <w:rPr>
          <w:bCs/>
        </w:rPr>
        <w:fldChar w:fldCharType="end"/>
      </w:r>
      <w:r>
        <w:rPr>
          <w:bCs/>
        </w:rPr>
        <w:t>.  </w:t>
      </w:r>
      <w:r w:rsidRPr="00096526">
        <w:rPr>
          <w:bCs/>
        </w:rPr>
        <w:t>In the Polish Government</w:t>
      </w:r>
      <w:r w:rsidR="00C01D3E">
        <w:rPr>
          <w:bCs/>
        </w:rPr>
        <w:t>’</w:t>
      </w:r>
      <w:r w:rsidRPr="00096526">
        <w:rPr>
          <w:bCs/>
        </w:rPr>
        <w:t>s submission</w:t>
      </w:r>
      <w:r w:rsidRPr="00096526">
        <w:t>, an assessment of the facts of</w:t>
      </w:r>
      <w:r w:rsidRPr="008C0768">
        <w:t xml:space="preserve"> the case with a view to deter</w:t>
      </w:r>
      <w:r>
        <w:t>mining whether the</w:t>
      </w:r>
      <w:r>
        <w:rPr>
          <w:szCs w:val="24"/>
        </w:rPr>
        <w:t xml:space="preserve"> “reasonable time” had been exceeded was part of the examination of the evidence conducted by the domestic courts.</w:t>
      </w:r>
      <w:r w:rsidRPr="008C0768">
        <w:rPr>
          <w:szCs w:val="24"/>
        </w:rPr>
        <w:t xml:space="preserve"> It </w:t>
      </w:r>
      <w:r>
        <w:rPr>
          <w:szCs w:val="24"/>
        </w:rPr>
        <w:t>was</w:t>
      </w:r>
      <w:r w:rsidRPr="008C0768">
        <w:rPr>
          <w:szCs w:val="24"/>
        </w:rPr>
        <w:t xml:space="preserve"> therefore debatable to what extent a supranational body </w:t>
      </w:r>
      <w:r>
        <w:rPr>
          <w:szCs w:val="24"/>
        </w:rPr>
        <w:t>could intervene in this process</w:t>
      </w:r>
      <w:r w:rsidRPr="008C0768">
        <w:rPr>
          <w:szCs w:val="24"/>
        </w:rPr>
        <w:t xml:space="preserve">. </w:t>
      </w:r>
      <w:r w:rsidRPr="00640DDE">
        <w:rPr>
          <w:szCs w:val="24"/>
        </w:rPr>
        <w:t xml:space="preserve">It </w:t>
      </w:r>
      <w:r>
        <w:rPr>
          <w:szCs w:val="24"/>
        </w:rPr>
        <w:t>was</w:t>
      </w:r>
      <w:r w:rsidRPr="00640DDE">
        <w:rPr>
          <w:szCs w:val="24"/>
        </w:rPr>
        <w:t xml:space="preserve">, rather, commonly accepted that in most cases the facts </w:t>
      </w:r>
      <w:r>
        <w:rPr>
          <w:szCs w:val="24"/>
        </w:rPr>
        <w:t>would</w:t>
      </w:r>
      <w:r w:rsidRPr="00640DDE">
        <w:rPr>
          <w:szCs w:val="24"/>
        </w:rPr>
        <w:t xml:space="preserve"> have been established by th</w:t>
      </w:r>
      <w:r>
        <w:rPr>
          <w:szCs w:val="24"/>
        </w:rPr>
        <w:t>e domestic courts and that the Court</w:t>
      </w:r>
      <w:r w:rsidR="00C01D3E">
        <w:rPr>
          <w:szCs w:val="24"/>
        </w:rPr>
        <w:t>’</w:t>
      </w:r>
      <w:r>
        <w:rPr>
          <w:szCs w:val="24"/>
        </w:rPr>
        <w:t>s task would be limited to examining</w:t>
      </w:r>
      <w:r w:rsidRPr="00640DDE">
        <w:rPr>
          <w:szCs w:val="24"/>
        </w:rPr>
        <w:t xml:space="preserve"> </w:t>
      </w:r>
      <w:r>
        <w:rPr>
          <w:szCs w:val="24"/>
        </w:rPr>
        <w:t xml:space="preserve">whether the </w:t>
      </w:r>
      <w:r w:rsidRPr="00640DDE">
        <w:rPr>
          <w:szCs w:val="24"/>
        </w:rPr>
        <w:t>Convention</w:t>
      </w:r>
      <w:r>
        <w:rPr>
          <w:szCs w:val="24"/>
        </w:rPr>
        <w:t xml:space="preserve"> had been complied with</w:t>
      </w:r>
      <w:r w:rsidRPr="00640DDE">
        <w:rPr>
          <w:szCs w:val="24"/>
        </w:rPr>
        <w:t>. The Court</w:t>
      </w:r>
      <w:r w:rsidR="00C01D3E">
        <w:rPr>
          <w:szCs w:val="24"/>
        </w:rPr>
        <w:t>’</w:t>
      </w:r>
      <w:r w:rsidRPr="00640DDE">
        <w:rPr>
          <w:szCs w:val="24"/>
        </w:rPr>
        <w:t>s case-law a</w:t>
      </w:r>
      <w:r>
        <w:rPr>
          <w:szCs w:val="24"/>
        </w:rPr>
        <w:t>ppeared</w:t>
      </w:r>
      <w:r w:rsidRPr="00640DDE">
        <w:rPr>
          <w:szCs w:val="24"/>
        </w:rPr>
        <w:t xml:space="preserve"> to be </w:t>
      </w:r>
      <w:r w:rsidR="008F51E8">
        <w:rPr>
          <w:szCs w:val="24"/>
        </w:rPr>
        <w:t>confined</w:t>
      </w:r>
      <w:r w:rsidRPr="00640DDE">
        <w:rPr>
          <w:szCs w:val="24"/>
        </w:rPr>
        <w:t xml:space="preserve"> to </w:t>
      </w:r>
      <w:r w:rsidRPr="00640DDE" w:rsidR="008F51E8">
        <w:rPr>
          <w:szCs w:val="24"/>
        </w:rPr>
        <w:t>assess</w:t>
      </w:r>
      <w:r w:rsidR="008F51E8">
        <w:rPr>
          <w:szCs w:val="24"/>
        </w:rPr>
        <w:t>ing</w:t>
      </w:r>
      <w:r w:rsidRPr="00640DDE" w:rsidR="008F51E8">
        <w:rPr>
          <w:szCs w:val="24"/>
        </w:rPr>
        <w:t xml:space="preserve"> whether the domestic courts</w:t>
      </w:r>
      <w:r w:rsidR="00C01D3E">
        <w:rPr>
          <w:szCs w:val="24"/>
        </w:rPr>
        <w:t>’</w:t>
      </w:r>
      <w:r w:rsidRPr="00640DDE" w:rsidR="008F51E8">
        <w:rPr>
          <w:szCs w:val="24"/>
        </w:rPr>
        <w:t xml:space="preserve"> decisions</w:t>
      </w:r>
      <w:r w:rsidR="008F51E8">
        <w:rPr>
          <w:szCs w:val="24"/>
        </w:rPr>
        <w:t>,</w:t>
      </w:r>
      <w:r w:rsidRPr="00640DDE" w:rsidR="008F51E8">
        <w:rPr>
          <w:szCs w:val="24"/>
        </w:rPr>
        <w:t xml:space="preserve"> </w:t>
      </w:r>
      <w:r w:rsidR="008F51E8">
        <w:rPr>
          <w:szCs w:val="24"/>
        </w:rPr>
        <w:t>given in accordance with domestic procedure previously approved by the Court, had properly applied the general rules to the specific case</w:t>
      </w:r>
      <w:r w:rsidRPr="00640DDE">
        <w:rPr>
          <w:szCs w:val="24"/>
        </w:rPr>
        <w:t xml:space="preserve">. In the absence of precise </w:t>
      </w:r>
      <w:r w:rsidRPr="00FA262D">
        <w:rPr>
          <w:szCs w:val="24"/>
        </w:rPr>
        <w:t>indicat</w:t>
      </w:r>
      <w:r w:rsidRPr="00FA262D" w:rsidR="00AC1673">
        <w:rPr>
          <w:szCs w:val="24"/>
        </w:rPr>
        <w:t>ion</w:t>
      </w:r>
      <w:r w:rsidRPr="00FA262D">
        <w:rPr>
          <w:szCs w:val="24"/>
        </w:rPr>
        <w:t>s</w:t>
      </w:r>
      <w:r w:rsidRPr="00640DDE">
        <w:rPr>
          <w:szCs w:val="24"/>
        </w:rPr>
        <w:t xml:space="preserve"> </w:t>
      </w:r>
      <w:r w:rsidR="00B816C3">
        <w:rPr>
          <w:szCs w:val="24"/>
        </w:rPr>
        <w:t>for assessing</w:t>
      </w:r>
      <w:r>
        <w:rPr>
          <w:szCs w:val="24"/>
        </w:rPr>
        <w:t xml:space="preserve"> </w:t>
      </w:r>
      <w:r w:rsidRPr="00640DDE">
        <w:rPr>
          <w:szCs w:val="24"/>
        </w:rPr>
        <w:t>the facts and</w:t>
      </w:r>
      <w:r w:rsidR="00B816C3">
        <w:rPr>
          <w:szCs w:val="24"/>
        </w:rPr>
        <w:t xml:space="preserve"> calculating</w:t>
      </w:r>
      <w:r w:rsidRPr="00640DDE">
        <w:rPr>
          <w:szCs w:val="24"/>
        </w:rPr>
        <w:t xml:space="preserve"> the amount of compensation</w:t>
      </w:r>
      <w:r>
        <w:rPr>
          <w:szCs w:val="24"/>
        </w:rPr>
        <w:t>, there were no grounds on which to dispute the</w:t>
      </w:r>
      <w:r w:rsidRPr="00640DDE">
        <w:rPr>
          <w:szCs w:val="24"/>
        </w:rPr>
        <w:t xml:space="preserve"> d</w:t>
      </w:r>
      <w:r>
        <w:rPr>
          <w:szCs w:val="24"/>
        </w:rPr>
        <w:t>e</w:t>
      </w:r>
      <w:r w:rsidRPr="00640DDE">
        <w:rPr>
          <w:szCs w:val="24"/>
        </w:rPr>
        <w:t xml:space="preserve">cisions </w:t>
      </w:r>
      <w:r>
        <w:rPr>
          <w:szCs w:val="24"/>
        </w:rPr>
        <w:t>of the domestic courts</w:t>
      </w:r>
      <w:r w:rsidRPr="00640DDE">
        <w:rPr>
          <w:szCs w:val="24"/>
        </w:rPr>
        <w:t>.</w:t>
      </w:r>
      <w:r>
        <w:rPr>
          <w:szCs w:val="24"/>
        </w:rPr>
        <w:t xml:space="preserve"> </w:t>
      </w:r>
      <w:r w:rsidR="002B45C6">
        <w:rPr>
          <w:szCs w:val="24"/>
        </w:rPr>
        <w:t>Regard should be had in this connection to the discretion available to the domestic courts in assessing the facts and evidence</w:t>
      </w:r>
      <w:r w:rsidRPr="00640DDE">
        <w:rPr>
          <w:szCs w:val="24"/>
        </w:rPr>
        <w:t>.</w:t>
      </w:r>
    </w:p>
    <w:p w:rsidRPr="00640DDE" w:rsidR="00B66328" w:rsidP="008C6CE3" w:rsidRDefault="00B66328">
      <w:pPr>
        <w:pStyle w:val="JuPara"/>
      </w:pPr>
      <w:r>
        <w:fldChar w:fldCharType="begin"/>
      </w:r>
      <w:r>
        <w:instrText xml:space="preserve"> SEQ level0 \*arabic </w:instrText>
      </w:r>
      <w:r>
        <w:fldChar w:fldCharType="separate"/>
      </w:r>
      <w:r w:rsidR="006D3397">
        <w:rPr>
          <w:noProof/>
        </w:rPr>
        <w:t>62</w:t>
      </w:r>
      <w:r>
        <w:fldChar w:fldCharType="end"/>
      </w:r>
      <w:r>
        <w:t>.  Furthermore, in the very particular circumstances of some cases</w:t>
      </w:r>
      <w:r w:rsidR="00A7291E">
        <w:t>,</w:t>
      </w:r>
      <w:r>
        <w:t xml:space="preserve"> the mere finding of a violation sufficed to meet the requirement of an effective remedy and amounted to </w:t>
      </w:r>
      <w:r w:rsidR="003D48BF">
        <w:t>adequate</w:t>
      </w:r>
      <w:r w:rsidR="00B816C3">
        <w:t xml:space="preserve"> </w:t>
      </w:r>
      <w:r>
        <w:t>redress. That rule had been clearly established in the Court</w:t>
      </w:r>
      <w:r w:rsidR="00C01D3E">
        <w:t>’</w:t>
      </w:r>
      <w:r>
        <w:t>s case-law on other Articles of the Convention. In some cases, moreover, the excessive length of the proceedings could be favourable to the parties and compensati</w:t>
      </w:r>
      <w:r w:rsidR="00BB4E56">
        <w:t>ng them</w:t>
      </w:r>
      <w:r>
        <w:t xml:space="preserve"> would therefore be extremely questionable.</w:t>
      </w:r>
    </w:p>
    <w:p w:rsidRPr="00A83024" w:rsidR="00B66328" w:rsidP="00B66328" w:rsidRDefault="003D48BF">
      <w:pPr>
        <w:pStyle w:val="JuHa0"/>
      </w:pPr>
      <w:r>
        <w:t>(</w:t>
      </w:r>
      <w:r w:rsidRPr="00A83024" w:rsidR="00B66328">
        <w:t>c)  The Slovak</w:t>
      </w:r>
      <w:r>
        <w:t>ian</w:t>
      </w:r>
      <w:r w:rsidRPr="00A83024" w:rsidR="00B66328">
        <w:t xml:space="preserve"> Government</w:t>
      </w:r>
    </w:p>
    <w:p w:rsidR="00B66328" w:rsidP="008C6CE3" w:rsidRDefault="00B66328">
      <w:pPr>
        <w:pStyle w:val="JuPara"/>
      </w:pPr>
      <w:r>
        <w:rPr>
          <w:bCs/>
        </w:rPr>
        <w:fldChar w:fldCharType="begin"/>
      </w:r>
      <w:r>
        <w:rPr>
          <w:bCs/>
        </w:rPr>
        <w:instrText xml:space="preserve"> SEQ level0 \*arabic </w:instrText>
      </w:r>
      <w:r>
        <w:rPr>
          <w:bCs/>
        </w:rPr>
        <w:fldChar w:fldCharType="separate"/>
      </w:r>
      <w:r w:rsidR="006D3397">
        <w:rPr>
          <w:bCs/>
          <w:noProof/>
        </w:rPr>
        <w:t>63</w:t>
      </w:r>
      <w:r>
        <w:rPr>
          <w:bCs/>
        </w:rPr>
        <w:fldChar w:fldCharType="end"/>
      </w:r>
      <w:r>
        <w:rPr>
          <w:bCs/>
        </w:rPr>
        <w:t>.  </w:t>
      </w:r>
      <w:r w:rsidRPr="00096526">
        <w:rPr>
          <w:bCs/>
        </w:rPr>
        <w:t>In the Slovak</w:t>
      </w:r>
      <w:r w:rsidR="003D48BF">
        <w:rPr>
          <w:bCs/>
        </w:rPr>
        <w:t>ian</w:t>
      </w:r>
      <w:r w:rsidRPr="00096526">
        <w:rPr>
          <w:bCs/>
        </w:rPr>
        <w:t xml:space="preserve"> Government</w:t>
      </w:r>
      <w:r w:rsidR="00C01D3E">
        <w:rPr>
          <w:bCs/>
        </w:rPr>
        <w:t>’</w:t>
      </w:r>
      <w:r w:rsidRPr="00096526">
        <w:rPr>
          <w:bCs/>
        </w:rPr>
        <w:t>s submission</w:t>
      </w:r>
      <w:r w:rsidRPr="00096526">
        <w:t>, the Court should adopt the same approach as in assessing the fairnes</w:t>
      </w:r>
      <w:r>
        <w:t xml:space="preserve">s of proceedings, </w:t>
      </w:r>
      <w:r w:rsidR="00A779D6">
        <w:t>a matter in respect of which it considered</w:t>
      </w:r>
      <w:r w:rsidRPr="00096526">
        <w:t xml:space="preserve"> that its task </w:t>
      </w:r>
      <w:r>
        <w:t>was</w:t>
      </w:r>
      <w:r w:rsidRPr="00096526">
        <w:t xml:space="preserve"> not to deal with the factual or legal m</w:t>
      </w:r>
      <w:r>
        <w:t>istakes allegedly made by the domestic courts</w:t>
      </w:r>
      <w:r w:rsidRPr="00096526">
        <w:t xml:space="preserve"> unless such mistakes could</w:t>
      </w:r>
      <w:r>
        <w:t xml:space="preserve"> have</w:t>
      </w:r>
      <w:r w:rsidRPr="00096526">
        <w:t xml:space="preserve"> result</w:t>
      </w:r>
      <w:r>
        <w:t>ed</w:t>
      </w:r>
      <w:r w:rsidRPr="00096526">
        <w:t xml:space="preserve"> in a </w:t>
      </w:r>
      <w:r w:rsidR="00A779D6">
        <w:t>breach</w:t>
      </w:r>
      <w:r w:rsidRPr="00096526">
        <w:t xml:space="preserve"> of the rights and freedoms guaranteed by the Convention. Moreover, although Article 6 of the Convention guarantee</w:t>
      </w:r>
      <w:r>
        <w:t>d</w:t>
      </w:r>
      <w:r w:rsidRPr="00096526">
        <w:t xml:space="preserve"> the right to a fair trial</w:t>
      </w:r>
      <w:r w:rsidR="003D48BF">
        <w:t>,</w:t>
      </w:r>
      <w:r w:rsidRPr="00096526">
        <w:t xml:space="preserve"> it </w:t>
      </w:r>
      <w:r>
        <w:t>did</w:t>
      </w:r>
      <w:r w:rsidRPr="00096526">
        <w:t xml:space="preserve"> not lay down any rules on the admissibility of evidence or its </w:t>
      </w:r>
      <w:r>
        <w:t>assessment</w:t>
      </w:r>
      <w:r w:rsidRPr="00096526">
        <w:t xml:space="preserve">, which </w:t>
      </w:r>
      <w:r>
        <w:t>was</w:t>
      </w:r>
      <w:r w:rsidRPr="00096526">
        <w:t xml:space="preserve"> therefore primarily a matter for regulation under national law by the domestic courts. Accordingly, when examining decisions of domestic courts on the amount </w:t>
      </w:r>
      <w:r w:rsidR="003D48BF">
        <w:t>awarded for</w:t>
      </w:r>
      <w:r w:rsidRPr="00096526">
        <w:t xml:space="preserve"> non-pecuniary damage </w:t>
      </w:r>
      <w:r w:rsidR="003D48BF">
        <w:t>arising from</w:t>
      </w:r>
      <w:r w:rsidRPr="00096526">
        <w:t xml:space="preserve"> delays in proceedings, the Court should leave enough room for the courts</w:t>
      </w:r>
      <w:r w:rsidR="00C01D3E">
        <w:t>’</w:t>
      </w:r>
      <w:r w:rsidRPr="00096526">
        <w:t xml:space="preserve"> discretion in this respect </w:t>
      </w:r>
      <w:r>
        <w:t>since the domestic courts decided</w:t>
      </w:r>
      <w:r w:rsidRPr="00096526">
        <w:t xml:space="preserve"> on delays in the proceedings on the basis of</w:t>
      </w:r>
      <w:r>
        <w:t xml:space="preserve"> the same criteria as the Court – and were</w:t>
      </w:r>
      <w:r w:rsidRPr="00096526">
        <w:t xml:space="preserve"> in a better position </w:t>
      </w:r>
      <w:r>
        <w:t xml:space="preserve">to analyse the causes and consequences and thus to determine the </w:t>
      </w:r>
      <w:r w:rsidRPr="00096526">
        <w:t xml:space="preserve">non-pecuniary damage on </w:t>
      </w:r>
      <w:r>
        <w:t>an equitable</w:t>
      </w:r>
      <w:r w:rsidRPr="00096526">
        <w:t xml:space="preserve"> basis.</w:t>
      </w:r>
    </w:p>
    <w:p w:rsidRPr="00A72CD6" w:rsidR="00B66328" w:rsidP="008C6CE3" w:rsidRDefault="00B66328">
      <w:pPr>
        <w:pStyle w:val="JuPara"/>
        <w:keepLines/>
        <w:rPr>
          <w:szCs w:val="24"/>
        </w:rPr>
      </w:pPr>
      <w:r>
        <w:rPr>
          <w:szCs w:val="24"/>
        </w:rPr>
        <w:fldChar w:fldCharType="begin"/>
      </w:r>
      <w:r w:rsidRPr="00DB5F9E">
        <w:rPr>
          <w:szCs w:val="24"/>
        </w:rPr>
        <w:instrText xml:space="preserve"> SEQ level0 \*arabic </w:instrText>
      </w:r>
      <w:r>
        <w:rPr>
          <w:szCs w:val="24"/>
        </w:rPr>
        <w:fldChar w:fldCharType="separate"/>
      </w:r>
      <w:r w:rsidR="006D3397">
        <w:rPr>
          <w:noProof/>
          <w:szCs w:val="24"/>
        </w:rPr>
        <w:t>64</w:t>
      </w:r>
      <w:r>
        <w:rPr>
          <w:szCs w:val="24"/>
        </w:rPr>
        <w:fldChar w:fldCharType="end"/>
      </w:r>
      <w:r w:rsidRPr="00DB5F9E">
        <w:rPr>
          <w:szCs w:val="24"/>
        </w:rPr>
        <w:t>.  </w:t>
      </w:r>
      <w:r w:rsidRPr="00D34D18">
        <w:rPr>
          <w:szCs w:val="24"/>
        </w:rPr>
        <w:t>The</w:t>
      </w:r>
      <w:r>
        <w:rPr>
          <w:szCs w:val="24"/>
        </w:rPr>
        <w:t xml:space="preserve"> Slovak</w:t>
      </w:r>
      <w:r w:rsidR="003D48BF">
        <w:rPr>
          <w:szCs w:val="24"/>
        </w:rPr>
        <w:t>ian</w:t>
      </w:r>
      <w:r>
        <w:rPr>
          <w:szCs w:val="24"/>
        </w:rPr>
        <w:t xml:space="preserve"> Government</w:t>
      </w:r>
      <w:r w:rsidRPr="00D34D18">
        <w:rPr>
          <w:szCs w:val="24"/>
        </w:rPr>
        <w:t xml:space="preserve"> pointed out that </w:t>
      </w:r>
      <w:r w:rsidRPr="00D34D18">
        <w:t xml:space="preserve">the decisions of the </w:t>
      </w:r>
      <w:smartTag w:uri="urn:schemas-microsoft-com:office:smarttags" w:element="Street">
        <w:smartTag w:uri="urn:schemas-microsoft-com:office:smarttags" w:element="address">
          <w:r>
            <w:t>Slovak</w:t>
          </w:r>
          <w:r w:rsidR="003D48BF">
            <w:t>ian</w:t>
          </w:r>
          <w:r>
            <w:t xml:space="preserve"> </w:t>
          </w:r>
          <w:r w:rsidRPr="00D34D18">
            <w:t>Constitutional Court</w:t>
          </w:r>
        </w:smartTag>
      </w:smartTag>
      <w:r w:rsidRPr="00D34D18">
        <w:t xml:space="preserve"> concerning delays in proceeding</w:t>
      </w:r>
      <w:r>
        <w:t>s were much more detailed than the Court</w:t>
      </w:r>
      <w:r w:rsidR="00C01D3E">
        <w:t>’</w:t>
      </w:r>
      <w:r>
        <w:t>s de</w:t>
      </w:r>
      <w:r w:rsidRPr="00D34D18">
        <w:t xml:space="preserve">cisions. </w:t>
      </w:r>
      <w:r w:rsidRPr="00407AD3">
        <w:t xml:space="preserve">In their submission, the Court should examine the decisions of the domestic courts </w:t>
      </w:r>
      <w:r>
        <w:t>relating to</w:t>
      </w:r>
      <w:r w:rsidRPr="00407AD3">
        <w:t xml:space="preserve"> the amounts awarded for non-pecuniary damage</w:t>
      </w:r>
      <w:r>
        <w:t xml:space="preserve"> only</w:t>
      </w:r>
      <w:r w:rsidRPr="00407AD3">
        <w:t xml:space="preserve"> with regard to whether t</w:t>
      </w:r>
      <w:r>
        <w:t>hese dec</w:t>
      </w:r>
      <w:r w:rsidRPr="00407AD3">
        <w:t>isions</w:t>
      </w:r>
      <w:r>
        <w:t xml:space="preserve"> were manifestly arbitrary and unfair and not whether the amounts awarded by the Court in</w:t>
      </w:r>
      <w:r w:rsidRPr="00407AD3">
        <w:t xml:space="preserve"> </w:t>
      </w:r>
      <w:r>
        <w:t>similar circumstances were</w:t>
      </w:r>
      <w:r w:rsidRPr="00407AD3">
        <w:t xml:space="preserve"> </w:t>
      </w:r>
      <w:r>
        <w:t>substantially higher</w:t>
      </w:r>
      <w:r w:rsidRPr="00407AD3">
        <w:t xml:space="preserve">. </w:t>
      </w:r>
      <w:r w:rsidRPr="00A72CD6">
        <w:t xml:space="preserve">Moreover, the </w:t>
      </w:r>
      <w:r w:rsidR="007C4610">
        <w:t>Slovak</w:t>
      </w:r>
      <w:r w:rsidR="003D48BF">
        <w:t>ian</w:t>
      </w:r>
      <w:r w:rsidR="007C4610">
        <w:t xml:space="preserve"> </w:t>
      </w:r>
      <w:r w:rsidRPr="00A72CD6">
        <w:t xml:space="preserve">Government found it logical that the amounts awarded by the domestic courts for </w:t>
      </w:r>
      <w:r>
        <w:t xml:space="preserve">protractedness </w:t>
      </w:r>
      <w:r w:rsidRPr="00A72CD6">
        <w:t>o</w:t>
      </w:r>
      <w:r>
        <w:t>f</w:t>
      </w:r>
      <w:r w:rsidRPr="00A72CD6">
        <w:t xml:space="preserve"> proceedings were less than the amou</w:t>
      </w:r>
      <w:r>
        <w:t xml:space="preserve">nts awarded by the Court because injured </w:t>
      </w:r>
      <w:r w:rsidRPr="00A72CD6">
        <w:t>person</w:t>
      </w:r>
      <w:r>
        <w:t>s could obtain e</w:t>
      </w:r>
      <w:r w:rsidRPr="00A72CD6">
        <w:t xml:space="preserve">ffective </w:t>
      </w:r>
      <w:r>
        <w:t>and</w:t>
      </w:r>
      <w:r w:rsidRPr="00A72CD6">
        <w:t xml:space="preserve"> rapid</w:t>
      </w:r>
      <w:r>
        <w:t xml:space="preserve"> compensation in their own country without having to bring their case to the international court</w:t>
      </w:r>
      <w:r w:rsidRPr="00A72CD6">
        <w:t>.</w:t>
      </w:r>
    </w:p>
    <w:p w:rsidR="00B66328" w:rsidP="008C6CE3" w:rsidRDefault="008C6CE3">
      <w:pPr>
        <w:pStyle w:val="JuH1"/>
        <w:keepNext w:val="0"/>
        <w:keepLines w:val="0"/>
        <w:ind w:left="431" w:firstLine="0"/>
      </w:pPr>
      <w:r>
        <w:t>4.  </w:t>
      </w:r>
      <w:r w:rsidR="00B66328">
        <w:t>The Court</w:t>
      </w:r>
      <w:r w:rsidR="00C01D3E">
        <w:t>’</w:t>
      </w:r>
      <w:r w:rsidR="00B66328">
        <w:t>s assessment</w:t>
      </w:r>
    </w:p>
    <w:p w:rsidRPr="00A83024" w:rsidR="00B66328" w:rsidP="00B66328" w:rsidRDefault="003D48BF">
      <w:pPr>
        <w:pStyle w:val="JuHa0"/>
      </w:pPr>
      <w:r>
        <w:t>(</w:t>
      </w:r>
      <w:r w:rsidR="008C6CE3">
        <w:t>a)  </w:t>
      </w:r>
      <w:r w:rsidRPr="00A83024" w:rsidR="00B66328">
        <w:t>Reiteration of the context peculiar to length-of-proceedings cases</w:t>
      </w:r>
    </w:p>
    <w:p w:rsidR="00B66328" w:rsidP="002B78DA" w:rsidRDefault="00B66328">
      <w:pPr>
        <w:pStyle w:val="JuPara"/>
      </w:pPr>
      <w:r>
        <w:fldChar w:fldCharType="begin"/>
      </w:r>
      <w:r w:rsidRPr="00DB5F9E">
        <w:instrText xml:space="preserve"> SEQ level0 \*arabic </w:instrText>
      </w:r>
      <w:r>
        <w:fldChar w:fldCharType="separate"/>
      </w:r>
      <w:r w:rsidR="006D3397">
        <w:rPr>
          <w:noProof/>
        </w:rPr>
        <w:t>65</w:t>
      </w:r>
      <w:r>
        <w:fldChar w:fldCharType="end"/>
      </w:r>
      <w:r w:rsidRPr="00DB5F9E">
        <w:t>.  </w:t>
      </w:r>
      <w:r>
        <w:t>T</w:t>
      </w:r>
      <w:r w:rsidRPr="008043C2">
        <w:t xml:space="preserve">he Court </w:t>
      </w:r>
      <w:r>
        <w:t>will begin by responding</w:t>
      </w:r>
      <w:r w:rsidRPr="008043C2">
        <w:t xml:space="preserve"> to the </w:t>
      </w:r>
      <w:r>
        <w:t>observations of</w:t>
      </w:r>
      <w:r w:rsidRPr="008043C2">
        <w:t xml:space="preserve"> the </w:t>
      </w:r>
      <w:r>
        <w:t>different</w:t>
      </w:r>
      <w:r w:rsidRPr="008043C2">
        <w:t xml:space="preserve"> Governments regarding the lack of precision in </w:t>
      </w:r>
      <w:r w:rsidR="0070435C">
        <w:t>its</w:t>
      </w:r>
      <w:r w:rsidRPr="008043C2">
        <w:t xml:space="preserve"> judgments</w:t>
      </w:r>
      <w:r w:rsidRPr="00BB4E56" w:rsidR="00BB4E56">
        <w:t xml:space="preserve"> </w:t>
      </w:r>
      <w:r w:rsidR="00BB4E56">
        <w:t>both</w:t>
      </w:r>
      <w:r>
        <w:t xml:space="preserve"> in respect of</w:t>
      </w:r>
      <w:r w:rsidR="00A779D6">
        <w:t xml:space="preserve"> the reasons leading to a</w:t>
      </w:r>
      <w:r>
        <w:t xml:space="preserve"> finding of a violation and </w:t>
      </w:r>
      <w:r w:rsidRPr="00FA262D">
        <w:t xml:space="preserve">awards </w:t>
      </w:r>
      <w:r w:rsidRPr="00FA262D" w:rsidR="006F1D54">
        <w:t xml:space="preserve">in respect of </w:t>
      </w:r>
      <w:r w:rsidRPr="00FA262D">
        <w:t>non-pecuniary damage.</w:t>
      </w:r>
    </w:p>
    <w:p w:rsidRPr="00F559D6" w:rsidR="00B66328" w:rsidP="002B78DA" w:rsidRDefault="00B66328">
      <w:pPr>
        <w:pStyle w:val="JuPara"/>
      </w:pPr>
      <w:r>
        <w:t>It feels it impo</w:t>
      </w:r>
      <w:r w:rsidRPr="008C6CE3">
        <w:rPr>
          <w:rStyle w:val="JuParaChar1"/>
        </w:rPr>
        <w:t>r</w:t>
      </w:r>
      <w:r>
        <w:t xml:space="preserve">tant to point out that the </w:t>
      </w:r>
      <w:r w:rsidRPr="00F559D6">
        <w:t xml:space="preserve">reason it has </w:t>
      </w:r>
      <w:r>
        <w:t>been led</w:t>
      </w:r>
      <w:r w:rsidRPr="00F559D6">
        <w:t xml:space="preserve"> to rule on so many length-of-proceedings cases is because </w:t>
      </w:r>
      <w:r w:rsidRPr="00FA262D" w:rsidR="003D3B82">
        <w:t>certain</w:t>
      </w:r>
      <w:r w:rsidRPr="00F559D6">
        <w:t xml:space="preserve"> </w:t>
      </w:r>
      <w:r>
        <w:t xml:space="preserve">Contracting Parties have for years </w:t>
      </w:r>
      <w:r w:rsidRPr="00FA262D" w:rsidR="002167CD">
        <w:t>failed</w:t>
      </w:r>
      <w:r w:rsidRPr="00FA262D">
        <w:t xml:space="preserve"> to comply with</w:t>
      </w:r>
      <w:r>
        <w:t xml:space="preserve"> the “reasonable</w:t>
      </w:r>
      <w:r w:rsidR="003D48BF">
        <w:t xml:space="preserve"> </w:t>
      </w:r>
      <w:r>
        <w:t xml:space="preserve">time” requirement under Article 6 § 1 and </w:t>
      </w:r>
      <w:r w:rsidRPr="00FA262D">
        <w:t xml:space="preserve">have not provided </w:t>
      </w:r>
      <w:r w:rsidRPr="002A0715">
        <w:t>a domestic remedy for this type of complaint</w:t>
      </w:r>
      <w:r>
        <w:t>.</w:t>
      </w:r>
    </w:p>
    <w:p w:rsidR="00B66328" w:rsidP="008C6CE3" w:rsidRDefault="00B66328">
      <w:pPr>
        <w:pStyle w:val="JuPara"/>
      </w:pPr>
      <w:r>
        <w:fldChar w:fldCharType="begin"/>
      </w:r>
      <w:r>
        <w:instrText xml:space="preserve"> SEQ level0 \*arabic </w:instrText>
      </w:r>
      <w:r>
        <w:fldChar w:fldCharType="separate"/>
      </w:r>
      <w:r w:rsidR="006D3397">
        <w:rPr>
          <w:noProof/>
        </w:rPr>
        <w:t>66</w:t>
      </w:r>
      <w:r>
        <w:fldChar w:fldCharType="end"/>
      </w:r>
      <w:r>
        <w:t xml:space="preserve">.  The situation has worsened on account of the large number of cases coming from certain countries, of which </w:t>
      </w:r>
      <w:smartTag w:uri="urn:schemas-microsoft-com:office:smarttags" w:element="place">
        <w:smartTag w:uri="urn:schemas-microsoft-com:office:smarttags" w:element="country-region">
          <w:r>
            <w:t>Italy</w:t>
          </w:r>
        </w:smartTag>
      </w:smartTag>
      <w:r>
        <w:t xml:space="preserve"> is one. </w:t>
      </w:r>
      <w:r w:rsidRPr="00F559D6">
        <w:t xml:space="preserve">The Court has </w:t>
      </w:r>
      <w:r>
        <w:t>already had occasion</w:t>
      </w:r>
      <w:r w:rsidRPr="00F559D6">
        <w:t xml:space="preserve"> to </w:t>
      </w:r>
      <w:r>
        <w:t>stress</w:t>
      </w:r>
      <w:r w:rsidRPr="00F559D6">
        <w:t xml:space="preserve"> the serious </w:t>
      </w:r>
      <w:r>
        <w:t>difficulties it has had as a result of Italy</w:t>
      </w:r>
      <w:r w:rsidR="00C01D3E">
        <w:t>’</w:t>
      </w:r>
      <w:r>
        <w:t>s inability to resolve the</w:t>
      </w:r>
      <w:r w:rsidRPr="00F559D6">
        <w:t xml:space="preserve"> situation</w:t>
      </w:r>
      <w:r>
        <w:t>. It has expressed itself on the subject in the following terms</w:t>
      </w:r>
      <w:r w:rsidRPr="00F559D6">
        <w:t>:</w:t>
      </w:r>
    </w:p>
    <w:p w:rsidR="00B66328" w:rsidP="00B66328" w:rsidRDefault="00B66328">
      <w:pPr>
        <w:pStyle w:val="JuQuot"/>
      </w:pPr>
      <w:r>
        <w:t xml:space="preserve">“The Court next draws attention to the fact that since 25 June 1987, the date of the </w:t>
      </w:r>
      <w:r w:rsidRPr="00333F3E">
        <w:rPr>
          <w:i/>
        </w:rPr>
        <w:t xml:space="preserve">Capuano v. Italy </w:t>
      </w:r>
      <w:r>
        <w:t xml:space="preserve">judgment (Series A no. 119), it has already delivered 65 judgments in which it has found violations of Article 6 § 1 in proceedings exceeding a “reasonable time” in the civil courts of the various regions of Italy. Similarly, under former Articles 31 and 32 of the Convention, more than 1,400 reports of the Commission resulted in resolutions by the Committee of Ministers finding </w:t>
      </w:r>
      <w:smartTag w:uri="urn:schemas-microsoft-com:office:smarttags" w:element="place">
        <w:smartTag w:uri="urn:schemas-microsoft-com:office:smarttags" w:element="country-region">
          <w:r>
            <w:t>Italy</w:t>
          </w:r>
        </w:smartTag>
      </w:smartTag>
      <w:r>
        <w:t xml:space="preserve"> in breach of Article</w:t>
      </w:r>
      <w:r w:rsidR="002A7BAA">
        <w:t xml:space="preserve"> </w:t>
      </w:r>
      <w:r>
        <w:t>6 for the same reason.</w:t>
      </w:r>
    </w:p>
    <w:p w:rsidR="00B66328" w:rsidP="00B66328" w:rsidRDefault="00B66328">
      <w:pPr>
        <w:pStyle w:val="JuQuot"/>
      </w:pPr>
      <w:r>
        <w:t>The frequency with which violations are found shows that there is an accumulation of identical breaches which are sufficiently numerous to amount not merely to isolated incidents. Such breaches reflect a continuing situation that has not yet been remedied and in respect of which litigants have no domestic remedy.</w:t>
      </w:r>
    </w:p>
    <w:p w:rsidRPr="00F559D6" w:rsidR="00B66328" w:rsidP="00333F3E" w:rsidRDefault="00B66328">
      <w:pPr>
        <w:pStyle w:val="JuQuot"/>
      </w:pPr>
      <w:r>
        <w:t>This accumulation of breaches accordingly constitutes a practice that is incompatible with the Convention.”</w:t>
      </w:r>
      <w:r w:rsidR="00333F3E">
        <w:t xml:space="preserve"> </w:t>
      </w:r>
      <w:r>
        <w:t xml:space="preserve">(see </w:t>
      </w:r>
      <w:r w:rsidRPr="00104DC4">
        <w:rPr>
          <w:i/>
        </w:rPr>
        <w:t xml:space="preserve">Bottazzi v. Italy </w:t>
      </w:r>
      <w:r w:rsidRPr="00104DC4">
        <w:t xml:space="preserve">[GC], no. 34884/97, § </w:t>
      </w:r>
      <w:r>
        <w:t>22,</w:t>
      </w:r>
      <w:r w:rsidRPr="00104DC4">
        <w:t xml:space="preserve"> ECHR 1999</w:t>
      </w:r>
      <w:r w:rsidRPr="00104DC4">
        <w:noBreakHyphen/>
        <w:t>V</w:t>
      </w:r>
      <w:r>
        <w:t>;</w:t>
      </w:r>
      <w:r w:rsidRPr="00F559D6">
        <w:rPr>
          <w:i/>
        </w:rPr>
        <w:t xml:space="preserve"> </w:t>
      </w:r>
      <w:r>
        <w:rPr>
          <w:i/>
        </w:rPr>
        <w:t>Ferrari v.</w:t>
      </w:r>
      <w:r w:rsidR="00333F3E">
        <w:rPr>
          <w:i/>
        </w:rPr>
        <w:t xml:space="preserve"> </w:t>
      </w:r>
      <w:r w:rsidRPr="00104DC4">
        <w:rPr>
          <w:i/>
        </w:rPr>
        <w:t>Italy</w:t>
      </w:r>
      <w:r w:rsidRPr="00104DC4">
        <w:t xml:space="preserve"> [GC], no. 33440/96, § </w:t>
      </w:r>
      <w:r>
        <w:t>21</w:t>
      </w:r>
      <w:r w:rsidRPr="00104DC4">
        <w:t xml:space="preserve">, </w:t>
      </w:r>
      <w:smartTag w:uri="urn:schemas-microsoft-com:office:smarttags" w:element="date">
        <w:smartTagPr>
          <w:attr w:name="Month" w:val="7"/>
          <w:attr w:name="Day" w:val="28"/>
          <w:attr w:name="Year" w:val="1999"/>
        </w:smartTagPr>
        <w:r w:rsidRPr="00104DC4">
          <w:t>28 July 1999</w:t>
        </w:r>
      </w:smartTag>
      <w:r>
        <w:t xml:space="preserve">; </w:t>
      </w:r>
      <w:r w:rsidRPr="00104DC4">
        <w:rPr>
          <w:i/>
          <w:szCs w:val="24"/>
        </w:rPr>
        <w:t>A</w:t>
      </w:r>
      <w:r>
        <w:rPr>
          <w:i/>
          <w:szCs w:val="24"/>
        </w:rPr>
        <w:t>.P.</w:t>
      </w:r>
      <w:r w:rsidRPr="00104DC4">
        <w:rPr>
          <w:i/>
          <w:szCs w:val="24"/>
        </w:rPr>
        <w:t xml:space="preserve"> v. Italy</w:t>
      </w:r>
      <w:r>
        <w:rPr>
          <w:i/>
          <w:szCs w:val="24"/>
        </w:rPr>
        <w:t xml:space="preserve"> </w:t>
      </w:r>
      <w:r w:rsidRPr="00E93BB5">
        <w:rPr>
          <w:szCs w:val="24"/>
        </w:rPr>
        <w:t>[GC]</w:t>
      </w:r>
      <w:r>
        <w:rPr>
          <w:szCs w:val="24"/>
        </w:rPr>
        <w:t>, no.</w:t>
      </w:r>
      <w:r w:rsidR="00333F3E">
        <w:rPr>
          <w:szCs w:val="24"/>
        </w:rPr>
        <w:t xml:space="preserve"> </w:t>
      </w:r>
      <w:r>
        <w:rPr>
          <w:szCs w:val="24"/>
        </w:rPr>
        <w:t>35265/97, §</w:t>
      </w:r>
      <w:r w:rsidR="002A7BAA">
        <w:rPr>
          <w:szCs w:val="24"/>
        </w:rPr>
        <w:t xml:space="preserve"> </w:t>
      </w:r>
      <w:r>
        <w:rPr>
          <w:szCs w:val="24"/>
        </w:rPr>
        <w:t>18</w:t>
      </w:r>
      <w:r w:rsidRPr="00104DC4">
        <w:rPr>
          <w:szCs w:val="24"/>
        </w:rPr>
        <w:t xml:space="preserve">, </w:t>
      </w:r>
      <w:r>
        <w:rPr>
          <w:szCs w:val="24"/>
        </w:rPr>
        <w:t xml:space="preserve">28 July 1999; and </w:t>
      </w:r>
      <w:r w:rsidRPr="00104DC4">
        <w:rPr>
          <w:i/>
        </w:rPr>
        <w:t>Di Mauro v. Italy</w:t>
      </w:r>
      <w:r>
        <w:t xml:space="preserve"> [GC], no.</w:t>
      </w:r>
      <w:r w:rsidR="00333F3E">
        <w:t xml:space="preserve"> </w:t>
      </w:r>
      <w:r w:rsidRPr="00104DC4">
        <w:t>34256/96, §</w:t>
      </w:r>
      <w:r w:rsidR="00333F3E">
        <w:t> </w:t>
      </w:r>
      <w:r>
        <w:t>23</w:t>
      </w:r>
      <w:r w:rsidRPr="00104DC4">
        <w:t>, ECHR 1999</w:t>
      </w:r>
      <w:r w:rsidRPr="00104DC4">
        <w:noBreakHyphen/>
        <w:t>V</w:t>
      </w:r>
      <w:r>
        <w:t>)</w:t>
      </w:r>
    </w:p>
    <w:p w:rsidRPr="0014553E" w:rsidR="00B66328" w:rsidP="00A94C91" w:rsidRDefault="00B66328">
      <w:pPr>
        <w:pStyle w:val="JuPara"/>
      </w:pPr>
      <w:r>
        <w:fldChar w:fldCharType="begin"/>
      </w:r>
      <w:r>
        <w:instrText xml:space="preserve"> SEQ level0 \*arabic </w:instrText>
      </w:r>
      <w:r>
        <w:fldChar w:fldCharType="separate"/>
      </w:r>
      <w:r w:rsidR="006D3397">
        <w:rPr>
          <w:noProof/>
        </w:rPr>
        <w:t>67</w:t>
      </w:r>
      <w:r>
        <w:fldChar w:fldCharType="end"/>
      </w:r>
      <w:r>
        <w:t>.  </w:t>
      </w:r>
      <w:r w:rsidRPr="00FA262D" w:rsidR="007F14DA">
        <w:t>Thus</w:t>
      </w:r>
      <w:r w:rsidR="007F14DA">
        <w:t xml:space="preserve"> </w:t>
      </w:r>
      <w:r w:rsidRPr="0014553E">
        <w:t xml:space="preserve">the Court, like the Commission, after </w:t>
      </w:r>
      <w:r>
        <w:t xml:space="preserve">years </w:t>
      </w:r>
      <w:r w:rsidR="00BB4E56">
        <w:t xml:space="preserve">of </w:t>
      </w:r>
      <w:r w:rsidRPr="00FA262D" w:rsidR="003D3B82">
        <w:t>examining the reasons</w:t>
      </w:r>
      <w:r w:rsidRPr="00FA262D">
        <w:t xml:space="preserve"> for</w:t>
      </w:r>
      <w:r w:rsidRPr="00FA262D" w:rsidR="006F1D54">
        <w:t xml:space="preserve"> the </w:t>
      </w:r>
      <w:r w:rsidRPr="00FA262D">
        <w:t>delays</w:t>
      </w:r>
      <w:r w:rsidRPr="0014553E">
        <w:t xml:space="preserve"> attributable to the parties </w:t>
      </w:r>
      <w:r>
        <w:t>under</w:t>
      </w:r>
      <w:r w:rsidRPr="0014553E">
        <w:t xml:space="preserve"> </w:t>
      </w:r>
      <w:r>
        <w:t xml:space="preserve">the </w:t>
      </w:r>
      <w:r w:rsidRPr="0014553E">
        <w:t xml:space="preserve">Italian procedural rules, has had to </w:t>
      </w:r>
      <w:r>
        <w:t>resolve to standardi</w:t>
      </w:r>
      <w:r w:rsidR="00333F3E">
        <w:t>s</w:t>
      </w:r>
      <w:r>
        <w:t xml:space="preserve">e its judgments and decisions. This has allowed it to adopt more than </w:t>
      </w:r>
      <w:r>
        <w:rPr>
          <w:szCs w:val="24"/>
        </w:rPr>
        <w:t>1,</w:t>
      </w:r>
      <w:r w:rsidRPr="0014553E">
        <w:rPr>
          <w:szCs w:val="24"/>
        </w:rPr>
        <w:t xml:space="preserve">000 </w:t>
      </w:r>
      <w:r>
        <w:rPr>
          <w:szCs w:val="24"/>
        </w:rPr>
        <w:t xml:space="preserve">judgments against </w:t>
      </w:r>
      <w:smartTag w:uri="urn:schemas-microsoft-com:office:smarttags" w:element="place">
        <w:smartTag w:uri="urn:schemas-microsoft-com:office:smarttags" w:element="country-region">
          <w:r>
            <w:rPr>
              <w:szCs w:val="24"/>
            </w:rPr>
            <w:t>Italy</w:t>
          </w:r>
        </w:smartTag>
      </w:smartTag>
      <w:r w:rsidRPr="0014553E">
        <w:t xml:space="preserve"> </w:t>
      </w:r>
      <w:r>
        <w:t>since</w:t>
      </w:r>
      <w:r w:rsidRPr="0014553E">
        <w:rPr>
          <w:szCs w:val="24"/>
        </w:rPr>
        <w:t xml:space="preserve"> 1999 </w:t>
      </w:r>
      <w:r>
        <w:rPr>
          <w:szCs w:val="24"/>
        </w:rPr>
        <w:t>in civil length-of-proceedings cases</w:t>
      </w:r>
      <w:r w:rsidRPr="0014553E">
        <w:t xml:space="preserve">. That approach has made it necessary to </w:t>
      </w:r>
      <w:r w:rsidRPr="00FA262D">
        <w:t xml:space="preserve">establish </w:t>
      </w:r>
      <w:r w:rsidRPr="00FA262D" w:rsidR="007F14DA">
        <w:t>scales</w:t>
      </w:r>
      <w:r w:rsidRPr="00FA262D">
        <w:t xml:space="preserve"> on equitable principles </w:t>
      </w:r>
      <w:r w:rsidRPr="00FA262D" w:rsidR="007F14DA">
        <w:t>for</w:t>
      </w:r>
      <w:r w:rsidRPr="00FA262D">
        <w:t xml:space="preserve"> awards </w:t>
      </w:r>
      <w:r w:rsidRPr="00FA262D" w:rsidR="001E0A11">
        <w:t>in respect of</w:t>
      </w:r>
      <w:r w:rsidRPr="00FA262D">
        <w:t xml:space="preserve"> non-pecuniary damage under Article 41, in order to arrive at equivalent results </w:t>
      </w:r>
      <w:r w:rsidRPr="00FA262D" w:rsidR="002167CD">
        <w:t>in similar</w:t>
      </w:r>
      <w:r w:rsidRPr="00FA262D">
        <w:t xml:space="preserve"> case</w:t>
      </w:r>
      <w:r w:rsidRPr="00FA262D" w:rsidR="002167CD">
        <w:t>s</w:t>
      </w:r>
      <w:r w:rsidRPr="00FA262D">
        <w:t>.</w:t>
      </w:r>
    </w:p>
    <w:p w:rsidR="00B66328" w:rsidP="008C6CE3" w:rsidRDefault="00B66328">
      <w:pPr>
        <w:pStyle w:val="JuPara"/>
      </w:pPr>
      <w:r>
        <w:t>All this</w:t>
      </w:r>
      <w:r w:rsidRPr="0014553E">
        <w:t xml:space="preserve"> has led the Court to award higher levels of compensation tha</w:t>
      </w:r>
      <w:r>
        <w:t>n</w:t>
      </w:r>
      <w:r w:rsidRPr="0014553E">
        <w:t xml:space="preserve"> those </w:t>
      </w:r>
      <w:r>
        <w:t xml:space="preserve">awarded </w:t>
      </w:r>
      <w:r w:rsidRPr="0014553E">
        <w:t xml:space="preserve">by the Convention </w:t>
      </w:r>
      <w:r>
        <w:t>institutions prior to 19</w:t>
      </w:r>
      <w:r w:rsidRPr="0014553E">
        <w:t>99</w:t>
      </w:r>
      <w:r w:rsidR="00333F3E">
        <w:t>,</w:t>
      </w:r>
      <w:r w:rsidRPr="0014553E">
        <w:t xml:space="preserve"> </w:t>
      </w:r>
      <w:r>
        <w:t>and which may differ from those applied in the event of a finding of other</w:t>
      </w:r>
      <w:r w:rsidRPr="0014553E">
        <w:t xml:space="preserve"> violations. This increase</w:t>
      </w:r>
      <w:r>
        <w:t>,</w:t>
      </w:r>
      <w:r w:rsidRPr="0014553E">
        <w:t xml:space="preserve"> </w:t>
      </w:r>
      <w:r>
        <w:t>far from</w:t>
      </w:r>
      <w:r w:rsidRPr="0014553E">
        <w:t xml:space="preserve"> </w:t>
      </w:r>
      <w:r>
        <w:t xml:space="preserve">being a </w:t>
      </w:r>
      <w:r w:rsidRPr="0014553E">
        <w:t>punitive measure</w:t>
      </w:r>
      <w:r>
        <w:t xml:space="preserve">, was intended to </w:t>
      </w:r>
      <w:r w:rsidR="00333F3E">
        <w:t>serve</w:t>
      </w:r>
      <w:r>
        <w:t xml:space="preserve"> two purposes. On the one hand it encourage</w:t>
      </w:r>
      <w:r w:rsidR="00333F3E">
        <w:t>d</w:t>
      </w:r>
      <w:r>
        <w:t xml:space="preserve"> States to find their own, universally accessible, solution to the problem</w:t>
      </w:r>
      <w:r w:rsidR="00333F3E">
        <w:t>,</w:t>
      </w:r>
      <w:r>
        <w:t xml:space="preserve"> and on the other hand it allowed applicants to avoid being penalised for the lack of domestic remedies.</w:t>
      </w:r>
    </w:p>
    <w:p w:rsidR="00A31EB8" w:rsidP="008C6CE3" w:rsidRDefault="00B66328">
      <w:pPr>
        <w:pStyle w:val="JuPara"/>
      </w:pPr>
      <w:r>
        <w:fldChar w:fldCharType="begin"/>
      </w:r>
      <w:r>
        <w:instrText xml:space="preserve"> SEQ level0 \*arabic </w:instrText>
      </w:r>
      <w:r>
        <w:fldChar w:fldCharType="separate"/>
      </w:r>
      <w:r w:rsidR="006D3397">
        <w:rPr>
          <w:noProof/>
        </w:rPr>
        <w:t>68</w:t>
      </w:r>
      <w:r>
        <w:fldChar w:fldCharType="end"/>
      </w:r>
      <w:r>
        <w:t>.  The Court also considers it important to point out that, contrary to the Government</w:t>
      </w:r>
      <w:r w:rsidR="00C01D3E">
        <w:t>’</w:t>
      </w:r>
      <w:r>
        <w:t>s assertion, the Chamber has not in any way departed from its constant practice either regarding the assessment of the delays or regarding just satisfaction. Concerning</w:t>
      </w:r>
      <w:r w:rsidRPr="0014553E">
        <w:t xml:space="preserve"> the question of exceeding a reasonable time, it reiterates that regard must be had to the circumstances of the case and the criteria laid down in the Court</w:t>
      </w:r>
      <w:r w:rsidR="00C01D3E">
        <w:t>’</w:t>
      </w:r>
      <w:r w:rsidRPr="0014553E">
        <w:t>s case-law, in particular the complexity o</w:t>
      </w:r>
      <w:r>
        <w:t>f the case, the applicant</w:t>
      </w:r>
      <w:r w:rsidR="00C01D3E">
        <w:t>’</w:t>
      </w:r>
      <w:r>
        <w:t>s</w:t>
      </w:r>
      <w:r w:rsidRPr="0014553E">
        <w:t xml:space="preserve"> conduct and that of the competent authorities, and the importance of what was at stake for the applicant in the </w:t>
      </w:r>
      <w:r>
        <w:t>dispute</w:t>
      </w:r>
      <w:r w:rsidRPr="0014553E">
        <w:t xml:space="preserve"> (</w:t>
      </w:r>
      <w:r>
        <w:t>see</w:t>
      </w:r>
      <w:r w:rsidRPr="0014553E">
        <w:t xml:space="preserve">, </w:t>
      </w:r>
      <w:r>
        <w:t>among many other authorities,</w:t>
      </w:r>
      <w:r w:rsidRPr="00A83024">
        <w:rPr>
          <w:i/>
          <w:lang w:eastAsia="en-US"/>
        </w:rPr>
        <w:t xml:space="preserve"> </w:t>
      </w:r>
      <w:r>
        <w:rPr>
          <w:i/>
        </w:rPr>
        <w:t>Comingersoll</w:t>
      </w:r>
      <w:r w:rsidR="00333F3E">
        <w:rPr>
          <w:i/>
        </w:rPr>
        <w:t xml:space="preserve"> S.A.</w:t>
      </w:r>
      <w:r w:rsidRPr="00333F3E">
        <w:t>,</w:t>
      </w:r>
      <w:r>
        <w:rPr>
          <w:i/>
        </w:rPr>
        <w:t xml:space="preserve"> </w:t>
      </w:r>
      <w:r>
        <w:t>cited above</w:t>
      </w:r>
      <w:r w:rsidRPr="0014553E">
        <w:t xml:space="preserve">, § 19). </w:t>
      </w:r>
      <w:r>
        <w:t>Furthermore</w:t>
      </w:r>
      <w:r w:rsidRPr="005C294C">
        <w:t xml:space="preserve">, a closer analysis of the many judgments which post-date </w:t>
      </w:r>
      <w:r w:rsidRPr="005C294C">
        <w:rPr>
          <w:i/>
        </w:rPr>
        <w:t xml:space="preserve">Bottazzi </w:t>
      </w:r>
      <w:r w:rsidRPr="005C294C">
        <w:t xml:space="preserve">will enable the Government to see that there is </w:t>
      </w:r>
      <w:r>
        <w:t xml:space="preserve">a clear pattern in the amounts awarded in </w:t>
      </w:r>
      <w:r w:rsidR="00CE5123">
        <w:t>its</w:t>
      </w:r>
      <w:r>
        <w:t xml:space="preserve"> judgments, since the amounts differ only in respect of the particular facts of each case.</w:t>
      </w:r>
    </w:p>
    <w:p w:rsidR="00B66328" w:rsidP="008C6CE3" w:rsidRDefault="00333F3E">
      <w:pPr>
        <w:pStyle w:val="JuHa0"/>
        <w:keepNext w:val="0"/>
        <w:keepLines w:val="0"/>
        <w:tabs>
          <w:tab w:val="clear" w:pos="975"/>
        </w:tabs>
        <w:ind w:left="635" w:firstLine="0"/>
      </w:pPr>
      <w:r>
        <w:t>(</w:t>
      </w:r>
      <w:r w:rsidR="008C6CE3">
        <w:t>b)  </w:t>
      </w:r>
      <w:r w:rsidR="00B66328">
        <w:t>Principles established under the Court</w:t>
      </w:r>
      <w:r w:rsidR="00C01D3E">
        <w:t>’</w:t>
      </w:r>
      <w:r w:rsidR="00B66328">
        <w:t>s case-law</w:t>
      </w:r>
    </w:p>
    <w:p w:rsidRPr="005958A6" w:rsidR="00B66328" w:rsidP="008C6CE3" w:rsidRDefault="00B66328">
      <w:pPr>
        <w:pStyle w:val="JuPara"/>
      </w:pPr>
      <w:r>
        <w:fldChar w:fldCharType="begin"/>
      </w:r>
      <w:r w:rsidRPr="00DB5F9E">
        <w:instrText xml:space="preserve"> SEQ level0 \*arabic </w:instrText>
      </w:r>
      <w:r>
        <w:fldChar w:fldCharType="separate"/>
      </w:r>
      <w:r w:rsidR="006D3397">
        <w:rPr>
          <w:noProof/>
        </w:rPr>
        <w:t>69</w:t>
      </w:r>
      <w:r>
        <w:fldChar w:fldCharType="end"/>
      </w:r>
      <w:r w:rsidRPr="00DB5F9E">
        <w:t>.  </w:t>
      </w:r>
      <w:r w:rsidRPr="005958A6">
        <w:t xml:space="preserve">With regard to the </w:t>
      </w:r>
      <w:r>
        <w:t>observations</w:t>
      </w:r>
      <w:r w:rsidRPr="005958A6">
        <w:t xml:space="preserve"> </w:t>
      </w:r>
      <w:r>
        <w:t xml:space="preserve">concerning </w:t>
      </w:r>
      <w:r w:rsidRPr="005958A6">
        <w:t xml:space="preserve">the subsidiarity principle, also </w:t>
      </w:r>
      <w:r w:rsidR="008F51E8">
        <w:t>made</w:t>
      </w:r>
      <w:r w:rsidRPr="005958A6">
        <w:t xml:space="preserve"> by the third parties, the </w:t>
      </w:r>
      <w:r w:rsidR="00CE5123">
        <w:t>Court notes that</w:t>
      </w:r>
      <w:r w:rsidR="008C6CE3">
        <w:t xml:space="preserve"> under Article </w:t>
      </w:r>
      <w:r w:rsidR="00CE5123">
        <w:t>34 of the Convention</w:t>
      </w:r>
      <w:r w:rsidRPr="005958A6">
        <w:t xml:space="preserve"> </w:t>
      </w:r>
      <w:r w:rsidR="007C4610">
        <w:t>it</w:t>
      </w:r>
      <w:r w:rsidRPr="005958A6">
        <w:t xml:space="preserve"> </w:t>
      </w:r>
      <w:r w:rsidR="007C4610">
        <w:t>“</w:t>
      </w:r>
      <w:r w:rsidR="00333F3E">
        <w:t xml:space="preserve">... </w:t>
      </w:r>
      <w:r w:rsidRPr="005958A6">
        <w:t xml:space="preserve">may receive applications from any person </w:t>
      </w:r>
      <w:r w:rsidR="00204CB7">
        <w:t>...</w:t>
      </w:r>
      <w:r>
        <w:t xml:space="preserve"> </w:t>
      </w:r>
      <w:r w:rsidRPr="005958A6">
        <w:t>claiming to be the victim of a violation by one of the High Contracting Parties of the rights set forth in the Convention or the Protocols thereto. ...</w:t>
      </w:r>
      <w:r>
        <w:t>”</w:t>
      </w:r>
      <w:r w:rsidR="00333F3E">
        <w:t>.</w:t>
      </w:r>
    </w:p>
    <w:p w:rsidR="00B66328" w:rsidP="008C6CE3" w:rsidRDefault="00B66328">
      <w:pPr>
        <w:pStyle w:val="JuPara"/>
      </w:pPr>
      <w:r>
        <w:fldChar w:fldCharType="begin"/>
      </w:r>
      <w:r w:rsidRPr="00DB5F9E">
        <w:instrText xml:space="preserve"> SEQ level0 \*arabic </w:instrText>
      </w:r>
      <w:r>
        <w:fldChar w:fldCharType="separate"/>
      </w:r>
      <w:r w:rsidR="006D3397">
        <w:rPr>
          <w:noProof/>
        </w:rPr>
        <w:t>70</w:t>
      </w:r>
      <w:r>
        <w:fldChar w:fldCharType="end"/>
      </w:r>
      <w:r w:rsidRPr="00DB5F9E">
        <w:t xml:space="preserve">.  The Court reiterates that it falls first to the national authorities to redress any alleged violation of the Convention. In this regard, the question whether an applicant can claim to be </w:t>
      </w:r>
      <w:r>
        <w:t>a</w:t>
      </w:r>
      <w:r w:rsidRPr="00DB5F9E">
        <w:t xml:space="preserve"> victim of the violation alleged is relevant at all stages of the proceedings under the Convention</w:t>
      </w:r>
      <w:r>
        <w:t xml:space="preserve"> (see </w:t>
      </w:r>
      <w:r w:rsidRPr="00DB5F9E">
        <w:rPr>
          <w:i/>
        </w:rPr>
        <w:t>Burdov v. Russia</w:t>
      </w:r>
      <w:r>
        <w:t>, no. 59498/00, § 30, ECHR 2002-III).</w:t>
      </w:r>
    </w:p>
    <w:p w:rsidR="00B66328" w:rsidP="008C6CE3" w:rsidRDefault="00B66328">
      <w:pPr>
        <w:pStyle w:val="JuPara"/>
      </w:pPr>
      <w:r>
        <w:fldChar w:fldCharType="begin"/>
      </w:r>
      <w:r w:rsidRPr="00F2215C">
        <w:instrText xml:space="preserve"> SEQ level0 \*arabic </w:instrText>
      </w:r>
      <w:r>
        <w:fldChar w:fldCharType="separate"/>
      </w:r>
      <w:r w:rsidR="006D3397">
        <w:rPr>
          <w:noProof/>
        </w:rPr>
        <w:t>71</w:t>
      </w:r>
      <w:r>
        <w:fldChar w:fldCharType="end"/>
      </w:r>
      <w:r w:rsidRPr="00F2215C">
        <w:t>.  </w:t>
      </w:r>
      <w:r w:rsidRPr="00DB5F9E">
        <w:t>The</w:t>
      </w:r>
      <w:r>
        <w:t xml:space="preserve"> Court also reiterates that </w:t>
      </w:r>
      <w:r w:rsidRPr="00DB5F9E">
        <w:t xml:space="preserve">a decision or measure favourable to the applicant is not in principle sufficient to </w:t>
      </w:r>
      <w:r>
        <w:t>deprive him of his status as a “victim”</w:t>
      </w:r>
      <w:r w:rsidRPr="00DB5F9E">
        <w:t xml:space="preserve"> unless the national authorities have acknowledged, either expressly or in substance, and then afforded redress for</w:t>
      </w:r>
      <w:r>
        <w:t xml:space="preserve">, the breach of the Convention </w:t>
      </w:r>
      <w:r w:rsidRPr="00DB5F9E">
        <w:t>(</w:t>
      </w:r>
      <w:r>
        <w:t>see</w:t>
      </w:r>
      <w:r w:rsidRPr="00DB5F9E">
        <w:t xml:space="preserve">, </w:t>
      </w:r>
      <w:r>
        <w:t>for</w:t>
      </w:r>
      <w:r w:rsidRPr="00DB5F9E">
        <w:t xml:space="preserve"> ex</w:t>
      </w:r>
      <w:r>
        <w:t>a</w:t>
      </w:r>
      <w:r w:rsidRPr="00DB5F9E">
        <w:t xml:space="preserve">mple, </w:t>
      </w:r>
      <w:r w:rsidRPr="00DB5F9E">
        <w:rPr>
          <w:i/>
        </w:rPr>
        <w:t xml:space="preserve">Eckle </w:t>
      </w:r>
      <w:r>
        <w:rPr>
          <w:i/>
        </w:rPr>
        <w:t>v</w:t>
      </w:r>
      <w:r w:rsidRPr="00DB5F9E">
        <w:rPr>
          <w:i/>
        </w:rPr>
        <w:t xml:space="preserve">. </w:t>
      </w:r>
      <w:r>
        <w:rPr>
          <w:i/>
        </w:rPr>
        <w:t>Germany</w:t>
      </w:r>
      <w:r w:rsidRPr="00DB5F9E">
        <w:t xml:space="preserve">, 15 </w:t>
      </w:r>
      <w:r>
        <w:t>July</w:t>
      </w:r>
      <w:r w:rsidRPr="00DB5F9E">
        <w:t xml:space="preserve"> 1982, </w:t>
      </w:r>
      <w:r w:rsidRPr="00DB5F9E" w:rsidR="00333F3E">
        <w:t xml:space="preserve">§§ 69 </w:t>
      </w:r>
      <w:r w:rsidR="00333F3E">
        <w:t xml:space="preserve">et seq., </w:t>
      </w:r>
      <w:r>
        <w:t xml:space="preserve">Series A no. </w:t>
      </w:r>
      <w:r w:rsidRPr="00DB5F9E">
        <w:t>51</w:t>
      </w:r>
      <w:r>
        <w:t>;</w:t>
      </w:r>
      <w:r w:rsidRPr="00DB5F9E">
        <w:t xml:space="preserve"> </w:t>
      </w:r>
      <w:r w:rsidRPr="00104DC4">
        <w:rPr>
          <w:i/>
        </w:rPr>
        <w:t>Amuur v. France</w:t>
      </w:r>
      <w:r w:rsidRPr="00104DC4">
        <w:t xml:space="preserve">, </w:t>
      </w:r>
      <w:smartTag w:uri="urn:schemas-microsoft-com:office:smarttags" w:element="date">
        <w:smartTagPr>
          <w:attr w:name="Month" w:val="6"/>
          <w:attr w:name="Day" w:val="25"/>
          <w:attr w:name="Year" w:val="1996"/>
        </w:smartTagPr>
        <w:r w:rsidRPr="00104DC4">
          <w:t>25 June 1996</w:t>
        </w:r>
      </w:smartTag>
      <w:r w:rsidRPr="00104DC4">
        <w:t xml:space="preserve">, </w:t>
      </w:r>
      <w:r w:rsidRPr="00104DC4" w:rsidR="00333F3E">
        <w:t xml:space="preserve">§ </w:t>
      </w:r>
      <w:r w:rsidR="00333F3E">
        <w:t xml:space="preserve">36, </w:t>
      </w:r>
      <w:r w:rsidRPr="00104DC4">
        <w:rPr>
          <w:i/>
        </w:rPr>
        <w:t xml:space="preserve">Reports </w:t>
      </w:r>
      <w:r w:rsidRPr="00104DC4">
        <w:t>1996</w:t>
      </w:r>
      <w:r w:rsidRPr="00104DC4">
        <w:noBreakHyphen/>
        <w:t>III</w:t>
      </w:r>
      <w:r>
        <w:t xml:space="preserve">; </w:t>
      </w:r>
      <w:r w:rsidRPr="00104DC4">
        <w:rPr>
          <w:i/>
        </w:rPr>
        <w:t xml:space="preserve">Dalban v. </w:t>
      </w:r>
      <w:smartTag w:uri="urn:schemas-microsoft-com:office:smarttags" w:element="country-region">
        <w:smartTag w:uri="urn:schemas-microsoft-com:office:smarttags" w:element="place">
          <w:r w:rsidRPr="00104DC4">
            <w:rPr>
              <w:i/>
            </w:rPr>
            <w:t>Romania</w:t>
          </w:r>
        </w:smartTag>
      </w:smartTag>
      <w:r w:rsidRPr="00104DC4">
        <w:t xml:space="preserve"> [GC], no. 28114/95, § </w:t>
      </w:r>
      <w:r w:rsidRPr="00DB5F9E">
        <w:t xml:space="preserve">44, </w:t>
      </w:r>
      <w:r w:rsidRPr="00104DC4">
        <w:t>ECHR 1999</w:t>
      </w:r>
      <w:r w:rsidRPr="00104DC4">
        <w:noBreakHyphen/>
        <w:t>VI</w:t>
      </w:r>
      <w:r>
        <w:t>; and</w:t>
      </w:r>
      <w:r w:rsidRPr="00DB5F9E">
        <w:t xml:space="preserve"> </w:t>
      </w:r>
      <w:r w:rsidRPr="00104DC4">
        <w:rPr>
          <w:i/>
        </w:rPr>
        <w:t xml:space="preserve">Jensen v. </w:t>
      </w:r>
      <w:smartTag w:uri="urn:schemas-microsoft-com:office:smarttags" w:element="country-region">
        <w:smartTag w:uri="urn:schemas-microsoft-com:office:smarttags" w:element="place">
          <w:r w:rsidRPr="00104DC4">
            <w:rPr>
              <w:i/>
            </w:rPr>
            <w:t>Denmark</w:t>
          </w:r>
        </w:smartTag>
      </w:smartTag>
      <w:r>
        <w:t xml:space="preserve"> (dec.), no. 48470/99, </w:t>
      </w:r>
      <w:r w:rsidRPr="00104DC4">
        <w:t>ECHR 2001</w:t>
      </w:r>
      <w:r w:rsidRPr="00104DC4">
        <w:noBreakHyphen/>
        <w:t>X</w:t>
      </w:r>
      <w:r w:rsidRPr="00DB5F9E">
        <w:t>)</w:t>
      </w:r>
      <w:r>
        <w:t>.</w:t>
      </w:r>
    </w:p>
    <w:p w:rsidR="00B66328" w:rsidP="008C6CE3" w:rsidRDefault="00B66328">
      <w:pPr>
        <w:pStyle w:val="JuPara"/>
      </w:pPr>
      <w:r>
        <w:fldChar w:fldCharType="begin"/>
      </w:r>
      <w:r>
        <w:instrText xml:space="preserve"> SEQ level0 \*arabic </w:instrText>
      </w:r>
      <w:r>
        <w:fldChar w:fldCharType="separate"/>
      </w:r>
      <w:r w:rsidR="006D3397">
        <w:rPr>
          <w:noProof/>
        </w:rPr>
        <w:t>72</w:t>
      </w:r>
      <w:r>
        <w:fldChar w:fldCharType="end"/>
      </w:r>
      <w:r>
        <w:t>.  </w:t>
      </w:r>
      <w:r w:rsidRPr="00F2215C">
        <w:t xml:space="preserve">The issue </w:t>
      </w:r>
      <w:r>
        <w:t>as to</w:t>
      </w:r>
      <w:r w:rsidRPr="00F2215C">
        <w:t xml:space="preserve"> whether a person may still claim to be the victim of an alleged violation of the Convention essentially entails on the part of the Court an </w:t>
      </w:r>
      <w:r w:rsidRPr="00B107DB">
        <w:rPr>
          <w:i/>
        </w:rPr>
        <w:t>ex post facto</w:t>
      </w:r>
      <w:r w:rsidRPr="00F2215C">
        <w:t xml:space="preserve"> examination of his or her situation. As it has already held in other length-of-proceedings cases, the question whether he or she has received reparation for</w:t>
      </w:r>
      <w:r>
        <w:t xml:space="preserve"> the</w:t>
      </w:r>
      <w:r w:rsidRPr="00F2215C">
        <w:t xml:space="preserve"> damage caused – comparable to just satisfaction as provided for under Article 41 of the Convention – is an important issue. </w:t>
      </w:r>
      <w:r w:rsidRPr="00365A06">
        <w:t>It is the Court</w:t>
      </w:r>
      <w:r w:rsidR="00C01D3E">
        <w:t>’</w:t>
      </w:r>
      <w:r w:rsidRPr="00365A06">
        <w:t xml:space="preserve">s settled case-law that where the national authorities have found a violation and their decision constitutes appropriate and sufficient redress, the party concerned can no longer claim to be a victim within the meaning of Article 34 of the </w:t>
      </w:r>
      <w:r>
        <w:t xml:space="preserve">Convention (see </w:t>
      </w:r>
      <w:r>
        <w:rPr>
          <w:i/>
        </w:rPr>
        <w:t>Holzinger v.</w:t>
      </w:r>
      <w:r w:rsidR="002A7BAA">
        <w:rPr>
          <w:i/>
        </w:rPr>
        <w:t xml:space="preserve"> </w:t>
      </w:r>
      <w:r w:rsidRPr="00104DC4">
        <w:rPr>
          <w:i/>
        </w:rPr>
        <w:t>Austria (no. 1)</w:t>
      </w:r>
      <w:r w:rsidRPr="00104DC4">
        <w:t xml:space="preserve">, no. 23459/94, § </w:t>
      </w:r>
      <w:r>
        <w:t>21, E</w:t>
      </w:r>
      <w:r w:rsidRPr="00104DC4">
        <w:t>CHR 2001</w:t>
      </w:r>
      <w:r w:rsidRPr="00104DC4">
        <w:noBreakHyphen/>
        <w:t>I</w:t>
      </w:r>
      <w:r>
        <w:t>).</w:t>
      </w:r>
    </w:p>
    <w:p w:rsidR="00B66328" w:rsidP="008C6CE3" w:rsidRDefault="00B66328">
      <w:pPr>
        <w:pStyle w:val="JuPara"/>
      </w:pPr>
      <w:r>
        <w:fldChar w:fldCharType="begin"/>
      </w:r>
      <w:r w:rsidRPr="00D30E23">
        <w:instrText xml:space="preserve"> SEQ level0 \*arabic </w:instrText>
      </w:r>
      <w:r>
        <w:fldChar w:fldCharType="separate"/>
      </w:r>
      <w:r w:rsidR="006D3397">
        <w:rPr>
          <w:noProof/>
        </w:rPr>
        <w:t>73</w:t>
      </w:r>
      <w:r>
        <w:fldChar w:fldCharType="end"/>
      </w:r>
      <w:r w:rsidRPr="00D30E23">
        <w:t>.  </w:t>
      </w:r>
      <w:r w:rsidRPr="00365A06">
        <w:t>In so far as the parties appear to link the issue of victim status to the more general question</w:t>
      </w:r>
      <w:r>
        <w:t xml:space="preserve"> of effectiveness of the remedy</w:t>
      </w:r>
      <w:r w:rsidRPr="00365A06">
        <w:t xml:space="preserve"> and seek guidelines </w:t>
      </w:r>
      <w:r>
        <w:t xml:space="preserve">on </w:t>
      </w:r>
      <w:r w:rsidR="00333F3E">
        <w:t>providing</w:t>
      </w:r>
      <w:r w:rsidRPr="00365A06">
        <w:t xml:space="preserve"> the most effective domestic remedies possible, </w:t>
      </w:r>
      <w:r>
        <w:t>the</w:t>
      </w:r>
      <w:r w:rsidRPr="00365A06">
        <w:t xml:space="preserve"> </w:t>
      </w:r>
      <w:r>
        <w:t>Court proposes to address the</w:t>
      </w:r>
      <w:r w:rsidRPr="00365A06">
        <w:t xml:space="preserve"> question</w:t>
      </w:r>
      <w:r>
        <w:t xml:space="preserve"> in a wider context by giving</w:t>
      </w:r>
      <w:r w:rsidRPr="00365A06">
        <w:t xml:space="preserve"> certain indications </w:t>
      </w:r>
      <w:r>
        <w:t>as to the characteristics such a domestic remedy should have,</w:t>
      </w:r>
      <w:r w:rsidRPr="008176D9">
        <w:t xml:space="preserve"> </w:t>
      </w:r>
      <w:r w:rsidRPr="00365A06">
        <w:t>having regard to the fact that, in this type of case, the applicant</w:t>
      </w:r>
      <w:r w:rsidR="00C01D3E">
        <w:t>’</w:t>
      </w:r>
      <w:r w:rsidRPr="00365A06">
        <w:t>s ability to claim to be a victim</w:t>
      </w:r>
      <w:r>
        <w:t xml:space="preserve"> will depend on the redress the domestic remedy will have </w:t>
      </w:r>
      <w:r w:rsidR="00333F3E">
        <w:t>afforded</w:t>
      </w:r>
      <w:r>
        <w:t xml:space="preserve"> him or her</w:t>
      </w:r>
      <w:r w:rsidRPr="00365A06">
        <w:t>.</w:t>
      </w:r>
    </w:p>
    <w:p w:rsidR="00B66328" w:rsidP="00A94C91" w:rsidRDefault="00B66328">
      <w:pPr>
        <w:pStyle w:val="JuPara"/>
      </w:pPr>
      <w:r w:rsidRPr="00FA262D">
        <w:fldChar w:fldCharType="begin"/>
      </w:r>
      <w:r w:rsidRPr="00FA262D">
        <w:instrText xml:space="preserve"> SEQ level0 \*arabic </w:instrText>
      </w:r>
      <w:r w:rsidRPr="00FA262D">
        <w:fldChar w:fldCharType="separate"/>
      </w:r>
      <w:r w:rsidR="006D3397">
        <w:rPr>
          <w:noProof/>
        </w:rPr>
        <w:t>74</w:t>
      </w:r>
      <w:r w:rsidRPr="00FA262D">
        <w:fldChar w:fldCharType="end"/>
      </w:r>
      <w:r w:rsidRPr="00FA262D">
        <w:t xml:space="preserve">.  The best </w:t>
      </w:r>
      <w:r w:rsidRPr="00FA262D" w:rsidR="007F14DA">
        <w:t>solution</w:t>
      </w:r>
      <w:r w:rsidRPr="00FA262D">
        <w:t xml:space="preserve"> in absolute terms is indisputably, as in many spheres, prevention. </w:t>
      </w:r>
      <w:r w:rsidRPr="00FA262D" w:rsidR="00422543">
        <w:t xml:space="preserve">The Court </w:t>
      </w:r>
      <w:r w:rsidR="00333F3E">
        <w:t>observes</w:t>
      </w:r>
      <w:r w:rsidRPr="00FA262D" w:rsidR="00422543">
        <w:t xml:space="preserve"> that it has stated on many occasions that Article 6 § 1 imposes on the Contracting States the duty to organise their judicial systems in such a way that their courts can meet each of its requirements, including the obligation to hear cases within a reasonable time (see, among many other authorities, </w:t>
      </w:r>
      <w:r w:rsidRPr="00FA262D" w:rsidR="00422543">
        <w:rPr>
          <w:i/>
        </w:rPr>
        <w:t>Süßmann v. Germany</w:t>
      </w:r>
      <w:r w:rsidRPr="00FA262D" w:rsidR="00422543">
        <w:t xml:space="preserve">, 16 September 1996, </w:t>
      </w:r>
      <w:r w:rsidRPr="00FA262D" w:rsidR="00393A86">
        <w:t>§ 55</w:t>
      </w:r>
      <w:r w:rsidR="00393A86">
        <w:t xml:space="preserve">, </w:t>
      </w:r>
      <w:r w:rsidRPr="00FA262D" w:rsidR="00422543">
        <w:rPr>
          <w:i/>
        </w:rPr>
        <w:t xml:space="preserve">Reports </w:t>
      </w:r>
      <w:r w:rsidRPr="00FA262D" w:rsidR="00422543">
        <w:t>1996</w:t>
      </w:r>
      <w:r w:rsidRPr="00FA262D" w:rsidR="00422543">
        <w:noBreakHyphen/>
        <w:t xml:space="preserve">IV, and </w:t>
      </w:r>
      <w:r w:rsidRPr="00FA262D" w:rsidR="00422543">
        <w:rPr>
          <w:i/>
        </w:rPr>
        <w:t>Bottazzi</w:t>
      </w:r>
      <w:r w:rsidRPr="00FA262D" w:rsidR="00422543">
        <w:t xml:space="preserve">, cited above, § 22). </w:t>
      </w:r>
      <w:r w:rsidRPr="00FA262D" w:rsidR="007F14DA">
        <w:t xml:space="preserve">Where the judicial system is </w:t>
      </w:r>
      <w:r w:rsidRPr="00FA262D" w:rsidR="00422543">
        <w:t>deficient in this respect</w:t>
      </w:r>
      <w:r w:rsidRPr="00FA262D" w:rsidR="007F14DA">
        <w:t>, a remedy</w:t>
      </w:r>
      <w:r w:rsidRPr="00FA262D">
        <w:t xml:space="preserve"> designed to expedite the proceedings in order to prevent them fr</w:t>
      </w:r>
      <w:r w:rsidRPr="00FA262D" w:rsidR="00422543">
        <w:t>om becoming excessively lengthy</w:t>
      </w:r>
      <w:r w:rsidRPr="00FA262D">
        <w:t xml:space="preserve"> </w:t>
      </w:r>
      <w:r w:rsidRPr="00FA262D" w:rsidR="007F14DA">
        <w:t>is the most effective solution</w:t>
      </w:r>
      <w:r w:rsidR="00393A86">
        <w:t>.</w:t>
      </w:r>
      <w:r w:rsidRPr="00FA262D" w:rsidR="007F14DA">
        <w:t xml:space="preserve"> Such a remedy offers an undeniable advantage over</w:t>
      </w:r>
      <w:r w:rsidRPr="00FA262D" w:rsidR="002878F6">
        <w:t xml:space="preserve"> a remedy affording only compensation since it a</w:t>
      </w:r>
      <w:r w:rsidRPr="00FA262D">
        <w:t xml:space="preserve">lso prevents a finding of successive violations in respect of the same set of proceedings and does not merely repair the breach </w:t>
      </w:r>
      <w:r w:rsidRPr="00FA262D">
        <w:rPr>
          <w:i/>
          <w:iCs/>
        </w:rPr>
        <w:t>a posteriori</w:t>
      </w:r>
      <w:r w:rsidRPr="00393A86">
        <w:rPr>
          <w:iCs/>
        </w:rPr>
        <w:t>,</w:t>
      </w:r>
      <w:r w:rsidRPr="00FA262D">
        <w:rPr>
          <w:i/>
          <w:iCs/>
        </w:rPr>
        <w:t xml:space="preserve"> </w:t>
      </w:r>
      <w:r w:rsidRPr="00FA262D">
        <w:t>as does a</w:t>
      </w:r>
      <w:r w:rsidRPr="00FA262D" w:rsidR="002878F6">
        <w:t xml:space="preserve"> compensatory</w:t>
      </w:r>
      <w:r w:rsidRPr="00FA262D">
        <w:t xml:space="preserve"> remedy </w:t>
      </w:r>
      <w:r w:rsidRPr="00FA262D" w:rsidR="002878F6">
        <w:t>of the type</w:t>
      </w:r>
      <w:r w:rsidRPr="00FA262D">
        <w:t xml:space="preserve"> provided for under Italian law</w:t>
      </w:r>
      <w:r w:rsidR="0008493D">
        <w:t>,</w:t>
      </w:r>
      <w:r w:rsidRPr="00FA262D">
        <w:t xml:space="preserve"> for example.</w:t>
      </w:r>
    </w:p>
    <w:p w:rsidR="00B66328" w:rsidP="00D64793" w:rsidRDefault="00B66328">
      <w:pPr>
        <w:pStyle w:val="JuPara"/>
        <w:rPr>
          <w:color w:val="000000"/>
          <w:szCs w:val="24"/>
        </w:rPr>
      </w:pPr>
      <w:r>
        <w:fldChar w:fldCharType="begin"/>
      </w:r>
      <w:r w:rsidRPr="00672D5B">
        <w:instrText xml:space="preserve"> SEQ level0 \*arabic </w:instrText>
      </w:r>
      <w:r>
        <w:fldChar w:fldCharType="separate"/>
      </w:r>
      <w:r w:rsidR="006D3397">
        <w:rPr>
          <w:noProof/>
        </w:rPr>
        <w:t>75</w:t>
      </w:r>
      <w:r>
        <w:fldChar w:fldCharType="end"/>
      </w:r>
      <w:r w:rsidRPr="00672D5B">
        <w:t>.  </w:t>
      </w:r>
      <w:r w:rsidRPr="00214547">
        <w:t xml:space="preserve">The Court has on many occasions acknowledged </w:t>
      </w:r>
      <w:r>
        <w:t>that</w:t>
      </w:r>
      <w:r w:rsidRPr="00214547">
        <w:t xml:space="preserve"> this type of remedy is </w:t>
      </w:r>
      <w:r>
        <w:t>“</w:t>
      </w:r>
      <w:r w:rsidRPr="00214547">
        <w:t>effective</w:t>
      </w:r>
      <w:r>
        <w:t>”</w:t>
      </w:r>
      <w:r w:rsidRPr="00214547">
        <w:t xml:space="preserve"> in so far as it </w:t>
      </w:r>
      <w:r w:rsidR="00393A86">
        <w:t>hastens the</w:t>
      </w:r>
      <w:r>
        <w:t xml:space="preserve"> decision by the court concerned (see, among other authorities, </w:t>
      </w:r>
      <w:r>
        <w:rPr>
          <w:i/>
          <w:iCs/>
        </w:rPr>
        <w:t>Bacchini v. Switzerland</w:t>
      </w:r>
      <w:r>
        <w:t xml:space="preserve"> (dec.), no.</w:t>
      </w:r>
      <w:r w:rsidR="00393A86">
        <w:t> </w:t>
      </w:r>
      <w:r>
        <w:t xml:space="preserve">62915/00, 21 June 2005; </w:t>
      </w:r>
      <w:r>
        <w:rPr>
          <w:i/>
          <w:iCs/>
        </w:rPr>
        <w:t>Kunz v. Switzerland</w:t>
      </w:r>
      <w:r>
        <w:t xml:space="preserve"> (dec.), no. 623/02, 21 June 2005;</w:t>
      </w:r>
      <w:r>
        <w:rPr>
          <w:i/>
          <w:iCs/>
        </w:rPr>
        <w:t xml:space="preserve"> Fehr and Lauterburg v. Switzerland</w:t>
      </w:r>
      <w:r>
        <w:t xml:space="preserve"> (dec.), no</w:t>
      </w:r>
      <w:r w:rsidR="00393A86">
        <w:t>s</w:t>
      </w:r>
      <w:r>
        <w:t>.</w:t>
      </w:r>
      <w:r w:rsidR="002A7BAA">
        <w:t xml:space="preserve"> </w:t>
      </w:r>
      <w:r>
        <w:t>708/02 and 1095/02, 21</w:t>
      </w:r>
      <w:r w:rsidR="002A7BAA">
        <w:t xml:space="preserve"> </w:t>
      </w:r>
      <w:r>
        <w:t>June 2005</w:t>
      </w:r>
      <w:r w:rsidRPr="00E31FCA">
        <w:t>;</w:t>
      </w:r>
      <w:r>
        <w:t xml:space="preserve"> </w:t>
      </w:r>
      <w:r>
        <w:rPr>
          <w:i/>
          <w:iCs/>
          <w:color w:val="000000"/>
          <w:szCs w:val="24"/>
        </w:rPr>
        <w:t>Gonzalez Marin v.</w:t>
      </w:r>
      <w:r w:rsidR="002A7BAA">
        <w:rPr>
          <w:i/>
          <w:iCs/>
          <w:color w:val="000000"/>
          <w:szCs w:val="24"/>
        </w:rPr>
        <w:t xml:space="preserve"> </w:t>
      </w:r>
      <w:r>
        <w:rPr>
          <w:i/>
          <w:iCs/>
          <w:color w:val="000000"/>
          <w:szCs w:val="24"/>
        </w:rPr>
        <w:t>Spain</w:t>
      </w:r>
      <w:r>
        <w:rPr>
          <w:color w:val="000000"/>
          <w:szCs w:val="24"/>
        </w:rPr>
        <w:t xml:space="preserve"> (dec.), no.</w:t>
      </w:r>
      <w:r w:rsidR="002A7BAA">
        <w:rPr>
          <w:color w:val="000000"/>
          <w:szCs w:val="24"/>
        </w:rPr>
        <w:t xml:space="preserve"> </w:t>
      </w:r>
      <w:r>
        <w:rPr>
          <w:color w:val="000000"/>
          <w:szCs w:val="24"/>
        </w:rPr>
        <w:t>39521/98, ECHR 1999</w:t>
      </w:r>
      <w:r>
        <w:rPr>
          <w:color w:val="000000"/>
          <w:szCs w:val="24"/>
        </w:rPr>
        <w:noBreakHyphen/>
        <w:t xml:space="preserve">VII; </w:t>
      </w:r>
      <w:r>
        <w:rPr>
          <w:i/>
        </w:rPr>
        <w:t>Tomé Mota v.</w:t>
      </w:r>
      <w:r w:rsidR="002A7BAA">
        <w:rPr>
          <w:i/>
        </w:rPr>
        <w:t xml:space="preserve"> </w:t>
      </w:r>
      <w:r>
        <w:rPr>
          <w:i/>
        </w:rPr>
        <w:t>Portugal</w:t>
      </w:r>
      <w:r>
        <w:t xml:space="preserve"> (dec.), no.</w:t>
      </w:r>
      <w:r w:rsidR="00393A86">
        <w:t xml:space="preserve"> </w:t>
      </w:r>
      <w:r>
        <w:t>32082/96, ECHR 1999-IX</w:t>
      </w:r>
      <w:r w:rsidR="0008493D">
        <w:t xml:space="preserve">; and </w:t>
      </w:r>
      <w:r w:rsidRPr="00E31FCA" w:rsidR="0008493D">
        <w:rPr>
          <w:i/>
        </w:rPr>
        <w:t>Holzinger (n</w:t>
      </w:r>
      <w:r w:rsidR="0008493D">
        <w:rPr>
          <w:i/>
        </w:rPr>
        <w:t>o.</w:t>
      </w:r>
      <w:r w:rsidRPr="00E31FCA" w:rsidR="0008493D">
        <w:rPr>
          <w:i/>
        </w:rPr>
        <w:t xml:space="preserve"> 1)</w:t>
      </w:r>
      <w:r w:rsidR="0008493D">
        <w:t>, cited above,</w:t>
      </w:r>
      <w:r w:rsidRPr="00E31FCA" w:rsidR="0008493D">
        <w:t xml:space="preserve"> § 22</w:t>
      </w:r>
      <w:r>
        <w:rPr>
          <w:color w:val="000000"/>
          <w:szCs w:val="24"/>
        </w:rPr>
        <w:t>).</w:t>
      </w:r>
    </w:p>
    <w:p w:rsidRPr="00FA262D" w:rsidR="00422543" w:rsidP="00A94C91" w:rsidRDefault="00422543">
      <w:pPr>
        <w:pStyle w:val="JuPara"/>
        <w:rPr>
          <w:color w:val="000000"/>
          <w:szCs w:val="24"/>
        </w:rPr>
      </w:pPr>
      <w:r>
        <w:rPr>
          <w:color w:val="000000"/>
          <w:szCs w:val="24"/>
        </w:rPr>
        <w:fldChar w:fldCharType="begin"/>
      </w:r>
      <w:r>
        <w:rPr>
          <w:color w:val="000000"/>
          <w:szCs w:val="24"/>
        </w:rPr>
        <w:instrText xml:space="preserve"> SEQ level0 \*arabic </w:instrText>
      </w:r>
      <w:r>
        <w:rPr>
          <w:color w:val="000000"/>
          <w:szCs w:val="24"/>
        </w:rPr>
        <w:fldChar w:fldCharType="separate"/>
      </w:r>
      <w:r w:rsidR="006D3397">
        <w:rPr>
          <w:noProof/>
          <w:color w:val="000000"/>
          <w:szCs w:val="24"/>
        </w:rPr>
        <w:t>76</w:t>
      </w:r>
      <w:r>
        <w:rPr>
          <w:color w:val="000000"/>
          <w:szCs w:val="24"/>
        </w:rPr>
        <w:fldChar w:fldCharType="end"/>
      </w:r>
      <w:r>
        <w:rPr>
          <w:color w:val="000000"/>
          <w:szCs w:val="24"/>
        </w:rPr>
        <w:t>.  </w:t>
      </w:r>
      <w:r>
        <w:t xml:space="preserve">It is also clear that for countries where length-of-proceedings violations already exist, a remedy </w:t>
      </w:r>
      <w:r w:rsidRPr="000E5248">
        <w:t>designed</w:t>
      </w:r>
      <w:r>
        <w:t xml:space="preserve"> </w:t>
      </w:r>
      <w:r w:rsidRPr="00FA262D">
        <w:t>only</w:t>
      </w:r>
      <w:r w:rsidRPr="000E5248">
        <w:t xml:space="preserve"> to expedite the proceedings</w:t>
      </w:r>
      <w:r>
        <w:t xml:space="preserve"> – although desirable for the future – may not be adequate to redress a situation </w:t>
      </w:r>
      <w:r w:rsidRPr="00FA262D">
        <w:t xml:space="preserve">in which the proceedings have </w:t>
      </w:r>
      <w:r w:rsidR="00393A86">
        <w:t xml:space="preserve">clearly </w:t>
      </w:r>
      <w:r w:rsidRPr="00FA262D">
        <w:t>already been excessively long.</w:t>
      </w:r>
    </w:p>
    <w:p w:rsidR="00B66328" w:rsidP="00A94C91" w:rsidRDefault="00B66328">
      <w:pPr>
        <w:pStyle w:val="JuPara"/>
      </w:pPr>
      <w:r w:rsidRPr="00FA262D">
        <w:rPr>
          <w:color w:val="000000"/>
          <w:szCs w:val="24"/>
        </w:rPr>
        <w:fldChar w:fldCharType="begin"/>
      </w:r>
      <w:r w:rsidRPr="00FA262D">
        <w:rPr>
          <w:color w:val="000000"/>
          <w:szCs w:val="24"/>
        </w:rPr>
        <w:instrText xml:space="preserve"> SEQ level0 \*arabic </w:instrText>
      </w:r>
      <w:r w:rsidRPr="00FA262D">
        <w:rPr>
          <w:color w:val="000000"/>
          <w:szCs w:val="24"/>
        </w:rPr>
        <w:fldChar w:fldCharType="separate"/>
      </w:r>
      <w:r w:rsidR="006D3397">
        <w:rPr>
          <w:noProof/>
          <w:color w:val="000000"/>
          <w:szCs w:val="24"/>
        </w:rPr>
        <w:t>77</w:t>
      </w:r>
      <w:r w:rsidRPr="00FA262D">
        <w:rPr>
          <w:color w:val="000000"/>
          <w:szCs w:val="24"/>
        </w:rPr>
        <w:fldChar w:fldCharType="end"/>
      </w:r>
      <w:r w:rsidRPr="00FA262D">
        <w:rPr>
          <w:color w:val="000000"/>
          <w:szCs w:val="24"/>
        </w:rPr>
        <w:t>.  </w:t>
      </w:r>
      <w:r w:rsidRPr="00FA262D" w:rsidR="00422543">
        <w:rPr>
          <w:color w:val="000000"/>
          <w:szCs w:val="24"/>
        </w:rPr>
        <w:t>Different</w:t>
      </w:r>
      <w:r w:rsidRPr="00FA262D">
        <w:rPr>
          <w:color w:val="000000"/>
          <w:szCs w:val="24"/>
        </w:rPr>
        <w:t xml:space="preserve"> types of remedy may redress the violation</w:t>
      </w:r>
      <w:r w:rsidRPr="00FA262D">
        <w:t xml:space="preserve"> appropriately</w:t>
      </w:r>
      <w:r w:rsidRPr="00672D5B">
        <w:t xml:space="preserve">. The Court has already affirmed this in </w:t>
      </w:r>
      <w:r>
        <w:t xml:space="preserve">respect of </w:t>
      </w:r>
      <w:r w:rsidRPr="00672D5B">
        <w:t xml:space="preserve">criminal proceedings, </w:t>
      </w:r>
      <w:r>
        <w:t>where it was satisfied that the length of proceedings had been taken into account when reducing the sentence in an express and measurable manner</w:t>
      </w:r>
      <w:r w:rsidRPr="00672D5B">
        <w:t xml:space="preserve"> </w:t>
      </w:r>
      <w:r w:rsidRPr="007420ED">
        <w:rPr>
          <w:lang w:eastAsia="en-US"/>
        </w:rPr>
        <w:t>(</w:t>
      </w:r>
      <w:r w:rsidRPr="00B107DB">
        <w:rPr>
          <w:lang w:eastAsia="en-US"/>
        </w:rPr>
        <w:t>see</w:t>
      </w:r>
      <w:r>
        <w:rPr>
          <w:i/>
          <w:lang w:eastAsia="en-US"/>
        </w:rPr>
        <w:t xml:space="preserve"> </w:t>
      </w:r>
      <w:r w:rsidRPr="00672D5B">
        <w:rPr>
          <w:i/>
          <w:lang w:eastAsia="en-US"/>
        </w:rPr>
        <w:t xml:space="preserve">Beck </w:t>
      </w:r>
      <w:r>
        <w:rPr>
          <w:i/>
          <w:lang w:eastAsia="en-US"/>
        </w:rPr>
        <w:t>v</w:t>
      </w:r>
      <w:r w:rsidRPr="00672D5B">
        <w:rPr>
          <w:i/>
          <w:lang w:eastAsia="en-US"/>
        </w:rPr>
        <w:t xml:space="preserve">. </w:t>
      </w:r>
      <w:r>
        <w:rPr>
          <w:i/>
          <w:lang w:eastAsia="en-US"/>
        </w:rPr>
        <w:t>Norway</w:t>
      </w:r>
      <w:r w:rsidRPr="00672D5B">
        <w:rPr>
          <w:lang w:eastAsia="en-US"/>
        </w:rPr>
        <w:t>,</w:t>
      </w:r>
      <w:r>
        <w:rPr>
          <w:lang w:eastAsia="en-US"/>
        </w:rPr>
        <w:t xml:space="preserve"> no.</w:t>
      </w:r>
      <w:r w:rsidRPr="00672D5B">
        <w:rPr>
          <w:lang w:eastAsia="en-US"/>
        </w:rPr>
        <w:t xml:space="preserve"> 26390/95, § 27, </w:t>
      </w:r>
      <w:smartTag w:uri="urn:schemas-microsoft-com:office:smarttags" w:element="date">
        <w:smartTagPr>
          <w:attr w:name="Month" w:val="6"/>
          <w:attr w:name="Day" w:val="26"/>
          <w:attr w:name="Year" w:val="2001"/>
        </w:smartTagPr>
        <w:r w:rsidRPr="00672D5B">
          <w:rPr>
            <w:lang w:eastAsia="en-US"/>
          </w:rPr>
          <w:t xml:space="preserve">26 </w:t>
        </w:r>
        <w:r>
          <w:rPr>
            <w:lang w:eastAsia="en-US"/>
          </w:rPr>
          <w:t>June</w:t>
        </w:r>
        <w:r w:rsidRPr="00672D5B">
          <w:rPr>
            <w:lang w:eastAsia="en-US"/>
          </w:rPr>
          <w:t xml:space="preserve"> 2001</w:t>
        </w:r>
      </w:smartTag>
      <w:r w:rsidRPr="00672D5B">
        <w:t>).</w:t>
      </w:r>
    </w:p>
    <w:p w:rsidR="00B66328" w:rsidP="00E71EDB" w:rsidRDefault="00422543">
      <w:pPr>
        <w:pStyle w:val="JuPara"/>
      </w:pPr>
      <w:r>
        <w:t>Moreover, s</w:t>
      </w:r>
      <w:r w:rsidR="00B66328">
        <w:t xml:space="preserve">ome States, such as Austria, Croatia, Spain, Poland and </w:t>
      </w:r>
      <w:r w:rsidR="00393A86">
        <w:t>Slovakia</w:t>
      </w:r>
      <w:r w:rsidR="00B66328">
        <w:t>, have understood the situation</w:t>
      </w:r>
      <w:r w:rsidRPr="003D7587" w:rsidR="00B66328">
        <w:t xml:space="preserve"> </w:t>
      </w:r>
      <w:r w:rsidR="00B66328">
        <w:t xml:space="preserve">perfectly by choosing to combine two types of remedy, one designed to expedite the proceedings and the other to afford compensation (see, for example, </w:t>
      </w:r>
      <w:r w:rsidRPr="00104DC4" w:rsidR="00B66328">
        <w:rPr>
          <w:i/>
        </w:rPr>
        <w:t>Holzinger (no. 1)</w:t>
      </w:r>
      <w:r w:rsidRPr="00104DC4" w:rsidR="00B66328">
        <w:t xml:space="preserve">, </w:t>
      </w:r>
      <w:r w:rsidR="00B66328">
        <w:t>cited above, §</w:t>
      </w:r>
      <w:r w:rsidR="00393A86">
        <w:t> </w:t>
      </w:r>
      <w:r w:rsidR="00B66328">
        <w:t xml:space="preserve">22; </w:t>
      </w:r>
      <w:r w:rsidRPr="00104DC4" w:rsidR="00B66328">
        <w:rPr>
          <w:i/>
        </w:rPr>
        <w:t>Slavi</w:t>
      </w:r>
      <w:r w:rsidR="0027239F">
        <w:rPr>
          <w:i/>
        </w:rPr>
        <w:t>č</w:t>
      </w:r>
      <w:r w:rsidRPr="00104DC4" w:rsidR="00B66328">
        <w:rPr>
          <w:i/>
        </w:rPr>
        <w:t xml:space="preserve">ek v. </w:t>
      </w:r>
      <w:smartTag w:uri="urn:schemas-microsoft-com:office:smarttags" w:element="place">
        <w:smartTag w:uri="urn:schemas-microsoft-com:office:smarttags" w:element="country-region">
          <w:r w:rsidR="00B66328" w:rsidRPr="00104DC4">
            <w:rPr>
              <w:i/>
            </w:rPr>
            <w:t>Croatia</w:t>
          </w:r>
        </w:smartTag>
      </w:smartTag>
      <w:r w:rsidRPr="00104DC4" w:rsidR="00B66328">
        <w:t xml:space="preserve"> (dec.), no. 20862/02, ECHR 2002</w:t>
      </w:r>
      <w:r w:rsidRPr="00104DC4" w:rsidR="00B66328">
        <w:noBreakHyphen/>
        <w:t>VII</w:t>
      </w:r>
      <w:r w:rsidR="00B66328">
        <w:t xml:space="preserve">; </w:t>
      </w:r>
      <w:r w:rsidRPr="00104DC4" w:rsidR="00B66328">
        <w:rPr>
          <w:i/>
        </w:rPr>
        <w:t>Fern</w:t>
      </w:r>
      <w:r w:rsidR="0008493D">
        <w:rPr>
          <w:i/>
        </w:rPr>
        <w:t>á</w:t>
      </w:r>
      <w:r w:rsidRPr="00104DC4" w:rsidR="00B66328">
        <w:rPr>
          <w:i/>
        </w:rPr>
        <w:t>ndez-Molina Gonz</w:t>
      </w:r>
      <w:r w:rsidR="0008493D">
        <w:rPr>
          <w:i/>
        </w:rPr>
        <w:t>á</w:t>
      </w:r>
      <w:r w:rsidRPr="00104DC4" w:rsidR="00B66328">
        <w:rPr>
          <w:i/>
        </w:rPr>
        <w:t xml:space="preserve">lez and Others v. </w:t>
      </w:r>
      <w:smartTag w:uri="urn:schemas-microsoft-com:office:smarttags" w:element="place">
        <w:smartTag w:uri="urn:schemas-microsoft-com:office:smarttags" w:element="country-region">
          <w:r w:rsidR="00B66328" w:rsidRPr="00104DC4">
            <w:rPr>
              <w:i/>
            </w:rPr>
            <w:t>Spain</w:t>
          </w:r>
        </w:smartTag>
      </w:smartTag>
      <w:r w:rsidRPr="00104DC4" w:rsidR="00B66328">
        <w:t xml:space="preserve"> (dec.), no. 64359/01, ECHR 2002</w:t>
      </w:r>
      <w:r w:rsidRPr="00104DC4" w:rsidR="00B66328">
        <w:noBreakHyphen/>
        <w:t>IX</w:t>
      </w:r>
      <w:r w:rsidR="00B66328">
        <w:t xml:space="preserve">; </w:t>
      </w:r>
      <w:r w:rsidRPr="00393A86" w:rsidR="00B66328">
        <w:rPr>
          <w:i/>
        </w:rPr>
        <w:t>Michalak v. Poland</w:t>
      </w:r>
      <w:r w:rsidR="00B66328">
        <w:t xml:space="preserve"> (dec.), no. 24549/03, 1 March 2005; </w:t>
      </w:r>
      <w:r w:rsidR="00393A86">
        <w:t xml:space="preserve">and </w:t>
      </w:r>
      <w:r w:rsidRPr="00104DC4" w:rsidR="00B66328">
        <w:rPr>
          <w:i/>
        </w:rPr>
        <w:t xml:space="preserve">Andrášik and Others v. </w:t>
      </w:r>
      <w:smartTag w:uri="urn:schemas-microsoft-com:office:smarttags" w:element="place">
        <w:smartTag w:uri="urn:schemas-microsoft-com:office:smarttags" w:element="country-region">
          <w:r w:rsidR="00B66328" w:rsidRPr="00104DC4">
            <w:rPr>
              <w:i/>
            </w:rPr>
            <w:t>Slovakia</w:t>
          </w:r>
        </w:smartTag>
      </w:smartTag>
      <w:r w:rsidRPr="00104DC4" w:rsidR="00B66328">
        <w:t xml:space="preserve"> (dec.), nos. 57984/00, 60237/00, 60242/00, 60679/00, 60680/00</w:t>
      </w:r>
      <w:r w:rsidR="00393A86">
        <w:t>,</w:t>
      </w:r>
      <w:r w:rsidRPr="00104DC4" w:rsidR="00B66328">
        <w:t xml:space="preserve"> 68563/01</w:t>
      </w:r>
      <w:r w:rsidR="00393A86">
        <w:t xml:space="preserve"> and </w:t>
      </w:r>
      <w:r w:rsidRPr="00104DC4" w:rsidR="00393A86">
        <w:t>60226/00,</w:t>
      </w:r>
      <w:r w:rsidRPr="00104DC4" w:rsidR="00B66328">
        <w:t xml:space="preserve"> ECHR 2002</w:t>
      </w:r>
      <w:r w:rsidRPr="00104DC4" w:rsidR="00B66328">
        <w:noBreakHyphen/>
        <w:t>IX</w:t>
      </w:r>
      <w:r w:rsidR="00B66328">
        <w:t>).</w:t>
      </w:r>
    </w:p>
    <w:p w:rsidR="00B66328" w:rsidP="00E71EDB" w:rsidRDefault="00422543">
      <w:pPr>
        <w:pStyle w:val="JuPara"/>
      </w:pPr>
      <w:r>
        <w:fldChar w:fldCharType="begin"/>
      </w:r>
      <w:r>
        <w:instrText xml:space="preserve"> SEQ level0 \*arabic </w:instrText>
      </w:r>
      <w:r>
        <w:fldChar w:fldCharType="separate"/>
      </w:r>
      <w:r w:rsidR="006D3397">
        <w:rPr>
          <w:noProof/>
        </w:rPr>
        <w:t>78</w:t>
      </w:r>
      <w:r>
        <w:fldChar w:fldCharType="end"/>
      </w:r>
      <w:r>
        <w:t>.  </w:t>
      </w:r>
      <w:r w:rsidR="00B66328">
        <w:t xml:space="preserve">However, States can also choose to introduce only a compensatory remedy, as </w:t>
      </w:r>
      <w:smartTag w:uri="urn:schemas-microsoft-com:office:smarttags" w:element="place">
        <w:smartTag w:uri="urn:schemas-microsoft-com:office:smarttags" w:element="country-region">
          <w:r w:rsidR="00B66328">
            <w:t>Italy</w:t>
          </w:r>
        </w:smartTag>
      </w:smartTag>
      <w:r w:rsidR="00B66328">
        <w:t xml:space="preserve"> has done, without that remedy </w:t>
      </w:r>
      <w:r w:rsidRPr="00FA262D" w:rsidR="001A332F">
        <w:t>being regarded as in</w:t>
      </w:r>
      <w:r w:rsidRPr="00FA262D" w:rsidR="00B66328">
        <w:t>effective</w:t>
      </w:r>
      <w:r w:rsidR="00B66328">
        <w:t xml:space="preserve"> (see </w:t>
      </w:r>
      <w:r w:rsidRPr="000C6739" w:rsidR="00B66328">
        <w:rPr>
          <w:i/>
        </w:rPr>
        <w:t>Mifsud</w:t>
      </w:r>
      <w:r w:rsidR="00B66328">
        <w:t>, cited above).</w:t>
      </w:r>
    </w:p>
    <w:p w:rsidR="00B66328" w:rsidP="00E71EDB" w:rsidRDefault="00B66328">
      <w:pPr>
        <w:pStyle w:val="JuPara"/>
      </w:pPr>
      <w:r>
        <w:fldChar w:fldCharType="begin"/>
      </w:r>
      <w:r>
        <w:instrText xml:space="preserve"> SEQ level0 \*arabic </w:instrText>
      </w:r>
      <w:r>
        <w:fldChar w:fldCharType="separate"/>
      </w:r>
      <w:r w:rsidR="006D3397">
        <w:rPr>
          <w:noProof/>
        </w:rPr>
        <w:t>79</w:t>
      </w:r>
      <w:r>
        <w:fldChar w:fldCharType="end"/>
      </w:r>
      <w:r>
        <w:t>.  </w:t>
      </w:r>
      <w:r w:rsidR="00393A86">
        <w:t>In</w:t>
      </w:r>
      <w:r w:rsidRPr="00393A86" w:rsidR="00393A86">
        <w:rPr>
          <w:i/>
          <w:lang w:eastAsia="en-US"/>
        </w:rPr>
        <w:t xml:space="preserve"> </w:t>
      </w:r>
      <w:r w:rsidR="00393A86">
        <w:rPr>
          <w:i/>
          <w:lang w:eastAsia="en-US"/>
        </w:rPr>
        <w:t>Kudła</w:t>
      </w:r>
      <w:r w:rsidR="00393A86">
        <w:t xml:space="preserve"> (cited above, §§ 154-55) </w:t>
      </w:r>
      <w:r w:rsidR="0008493D">
        <w:t>t</w:t>
      </w:r>
      <w:r>
        <w:t xml:space="preserve">he Court already had occasion to reiterate that, subject to compliance with the requirements of the Convention, the Contracting States are afforded some discretion as to the manner in which they provide individuals with the relief required by Article 13 and conform to their Convention obligation under that provision. It has also stressed the importance of the rules relating to the subsidiarity principle so that individuals are not systematically forced to refer to the Court in </w:t>
      </w:r>
      <w:smartTag w:uri="urn:schemas-microsoft-com:office:smarttags" w:element="place">
        <w:smartTag w:uri="urn:schemas-microsoft-com:office:smarttags" w:element="City">
          <w:r>
            <w:t>Strasbourg</w:t>
          </w:r>
        </w:smartTag>
      </w:smartTag>
      <w:r>
        <w:t xml:space="preserve"> complaints that could otherwise, and in the Court</w:t>
      </w:r>
      <w:r w:rsidR="00C01D3E">
        <w:t>’</w:t>
      </w:r>
      <w:r>
        <w:t>s opinion more appropriately, have been addressed in the first place within the national legal system.</w:t>
      </w:r>
    </w:p>
    <w:p w:rsidR="00B66328" w:rsidP="00E71EDB" w:rsidRDefault="00B66328">
      <w:pPr>
        <w:pStyle w:val="JuPara"/>
      </w:pPr>
      <w:r>
        <w:fldChar w:fldCharType="begin"/>
      </w:r>
      <w:r>
        <w:instrText xml:space="preserve"> SEQ level0 \*arabic </w:instrText>
      </w:r>
      <w:r>
        <w:fldChar w:fldCharType="separate"/>
      </w:r>
      <w:r w:rsidR="006D3397">
        <w:rPr>
          <w:noProof/>
        </w:rPr>
        <w:t>80</w:t>
      </w:r>
      <w:r>
        <w:fldChar w:fldCharType="end"/>
      </w:r>
      <w:r w:rsidR="00E71EDB">
        <w:t>.  </w:t>
      </w:r>
      <w:r>
        <w:t xml:space="preserve">Accordingly, where the legislature or the domestic courts have agreed to play their </w:t>
      </w:r>
      <w:r w:rsidR="005820BB">
        <w:t>proper</w:t>
      </w:r>
      <w:r>
        <w:t xml:space="preserve"> role by introducing a domestic remedy</w:t>
      </w:r>
      <w:r w:rsidR="005820BB">
        <w:t>,</w:t>
      </w:r>
      <w:r>
        <w:t xml:space="preserve"> the Court will clearly have to draw certain conclusions from this. Where a State has </w:t>
      </w:r>
      <w:r w:rsidR="005820BB">
        <w:t>taken</w:t>
      </w:r>
      <w:r>
        <w:t xml:space="preserve"> a significant </w:t>
      </w:r>
      <w:r w:rsidR="005820BB">
        <w:t>step</w:t>
      </w:r>
      <w:r>
        <w:t xml:space="preserve"> by introducing a compensatory remedy, the Court must leave a wider margin of appreciation to the State to allow it to organise the remedy in a manner consistent with its own legal system and traditions</w:t>
      </w:r>
      <w:r w:rsidRPr="00504D32">
        <w:t xml:space="preserve"> </w:t>
      </w:r>
      <w:r>
        <w:t xml:space="preserve">and consonant with the standard of living in the country concerned. It will, in particular, be easier for the domestic courts </w:t>
      </w:r>
      <w:r w:rsidRPr="005856F4">
        <w:t xml:space="preserve">to </w:t>
      </w:r>
      <w:r w:rsidRPr="005856F4" w:rsidR="001A332F">
        <w:t>refer to</w:t>
      </w:r>
      <w:r>
        <w:t xml:space="preserve"> the amounts awarded at domestic level for other types of damage – personal injury, damage relating to a relative</w:t>
      </w:r>
      <w:r w:rsidR="00C01D3E">
        <w:t>’</w:t>
      </w:r>
      <w:r>
        <w:t>s death or damage in defamation cases</w:t>
      </w:r>
      <w:r w:rsidR="0008493D">
        <w:t>,</w:t>
      </w:r>
      <w:r>
        <w:t xml:space="preserve"> for example – and rely on their innermost conviction, even if that results in awards of amounts that are</w:t>
      </w:r>
      <w:r w:rsidRPr="000243EF">
        <w:t xml:space="preserve"> </w:t>
      </w:r>
      <w:r>
        <w:t>lower than those fixed by the Court in similar cases.</w:t>
      </w:r>
    </w:p>
    <w:p w:rsidR="00B66328" w:rsidP="00E71EDB" w:rsidRDefault="00B66328">
      <w:pPr>
        <w:pStyle w:val="JuPara"/>
      </w:pPr>
      <w:r>
        <w:fldChar w:fldCharType="begin"/>
      </w:r>
      <w:r>
        <w:instrText xml:space="preserve"> SEQ level0 \*arabic </w:instrText>
      </w:r>
      <w:r>
        <w:fldChar w:fldCharType="separate"/>
      </w:r>
      <w:r w:rsidR="006D3397">
        <w:rPr>
          <w:noProof/>
        </w:rPr>
        <w:t>81</w:t>
      </w:r>
      <w:r>
        <w:fldChar w:fldCharType="end"/>
      </w:r>
      <w:r w:rsidR="00E71EDB">
        <w:t>.  </w:t>
      </w:r>
      <w:r>
        <w:t>In accordance with its case-law on the interpretation and application of domestic law, while the Court</w:t>
      </w:r>
      <w:r w:rsidR="00C01D3E">
        <w:t>’</w:t>
      </w:r>
      <w:r>
        <w:t>s duty, under Article 19 of the Convention, is to ensure the observance of the engagements undertaken by the Contracting Parties to the Convention, it is not its function to deal with errors of fact or law allegedly committed by a national court unless and in so far as they may have infringed rights and freedoms protected by the Convention.</w:t>
      </w:r>
      <w:r w:rsidR="005820BB">
        <w:t xml:space="preserve"> </w:t>
      </w:r>
      <w:r>
        <w:t>Moreover, it is primarily for the national authorities, notably the courts, to interpret and apply domestic law (see</w:t>
      </w:r>
      <w:r w:rsidRPr="00DC6EA1">
        <w:rPr>
          <w:i/>
        </w:rPr>
        <w:t xml:space="preserve"> </w:t>
      </w:r>
      <w:r w:rsidRPr="004A1C48">
        <w:rPr>
          <w:i/>
          <w:szCs w:val="24"/>
        </w:rPr>
        <w:t xml:space="preserve">Jahn and Others v. Germany </w:t>
      </w:r>
      <w:r w:rsidRPr="004A1C48">
        <w:rPr>
          <w:szCs w:val="24"/>
        </w:rPr>
        <w:t xml:space="preserve">[GC], nos. 46720/99, 72203/01 and 72552/01, </w:t>
      </w:r>
      <w:r>
        <w:rPr>
          <w:szCs w:val="24"/>
        </w:rPr>
        <w:t>§ 86, ECHR 2005</w:t>
      </w:r>
      <w:r w:rsidR="005820BB">
        <w:rPr>
          <w:szCs w:val="24"/>
        </w:rPr>
        <w:t>-VI</w:t>
      </w:r>
      <w:r>
        <w:t>).</w:t>
      </w:r>
    </w:p>
    <w:p w:rsidR="00B66328" w:rsidP="00E71EDB" w:rsidRDefault="00B66328">
      <w:pPr>
        <w:pStyle w:val="JuPara"/>
      </w:pPr>
      <w:r>
        <w:fldChar w:fldCharType="begin"/>
      </w:r>
      <w:r>
        <w:instrText xml:space="preserve"> SEQ level0 \*arabic </w:instrText>
      </w:r>
      <w:r>
        <w:fldChar w:fldCharType="separate"/>
      </w:r>
      <w:r w:rsidR="006D3397">
        <w:rPr>
          <w:noProof/>
        </w:rPr>
        <w:t>82</w:t>
      </w:r>
      <w:r>
        <w:fldChar w:fldCharType="end"/>
      </w:r>
      <w:r>
        <w:t>.  The Court is therefore required to verify whether the way in which the domestic law is interpreted and applied produces consequences that are consistent with the principles of the Convention as interpreted in the light of the Court</w:t>
      </w:r>
      <w:r w:rsidR="00C01D3E">
        <w:t>’</w:t>
      </w:r>
      <w:r>
        <w:t xml:space="preserve">s case-law. </w:t>
      </w:r>
      <w:r w:rsidR="00567A69">
        <w:t xml:space="preserve">This is especially true where, as the Italian Court of Cassation has quite rightly </w:t>
      </w:r>
      <w:r w:rsidRPr="005856F4" w:rsidR="00567A69">
        <w:t>observed (see paragraph 25 above), the</w:t>
      </w:r>
      <w:r w:rsidR="00567A69">
        <w:t xml:space="preserve"> domestic law refers explicitly to the provisions of the Convention</w:t>
      </w:r>
      <w:r>
        <w:t xml:space="preserve">. This </w:t>
      </w:r>
      <w:r w:rsidR="006F1D54">
        <w:t>supervisory</w:t>
      </w:r>
      <w:r>
        <w:t xml:space="preserve"> role should be easier in respect of States that have effectively incorporated the Convention into their legal system and consider the rules to be directly applicable</w:t>
      </w:r>
      <w:r w:rsidR="005820BB">
        <w:t>,</w:t>
      </w:r>
      <w:r>
        <w:t xml:space="preserve"> since the highest courts of these States will normally assume responsibility for enforcing the principles determined by the Court.</w:t>
      </w:r>
    </w:p>
    <w:p w:rsidR="00B66328" w:rsidP="00E71EDB" w:rsidRDefault="00B66328">
      <w:pPr>
        <w:pStyle w:val="JuPara"/>
      </w:pPr>
      <w:r>
        <w:t>Accordingly, a clear error in assessment on the part of the domestic courts may also arise as a result of a misapplication or misinterpretation of the Court</w:t>
      </w:r>
      <w:r w:rsidR="00C01D3E">
        <w:t>’</w:t>
      </w:r>
      <w:r>
        <w:t>s case-law.</w:t>
      </w:r>
    </w:p>
    <w:p w:rsidR="00B66328" w:rsidP="00E71EDB" w:rsidRDefault="00B66328">
      <w:pPr>
        <w:pStyle w:val="JuPara"/>
      </w:pPr>
      <w:r>
        <w:fldChar w:fldCharType="begin"/>
      </w:r>
      <w:r>
        <w:instrText xml:space="preserve"> SEQ level0 \*arabic </w:instrText>
      </w:r>
      <w:r>
        <w:fldChar w:fldCharType="separate"/>
      </w:r>
      <w:r w:rsidR="006D3397">
        <w:rPr>
          <w:noProof/>
        </w:rPr>
        <w:t>83</w:t>
      </w:r>
      <w:r>
        <w:fldChar w:fldCharType="end"/>
      </w:r>
      <w:r w:rsidR="00E71EDB">
        <w:t>.  </w:t>
      </w:r>
      <w:r>
        <w:t>The principle of subsidiarity does not mean renouncing all supervision of the result obtained from using domestic remedies, otherwise the rights guaranteed by Article 6 would be devoid of any substance. In that connection it should be reiterated that the Convention is intended to guarantee not theoretical or illusory rights, but rights that are practical and effective (see</w:t>
      </w:r>
      <w:r w:rsidRPr="00580223">
        <w:rPr>
          <w:i/>
        </w:rPr>
        <w:t xml:space="preserve"> </w:t>
      </w:r>
      <w:r>
        <w:rPr>
          <w:i/>
        </w:rPr>
        <w:t>Prince Hans-</w:t>
      </w:r>
      <w:r w:rsidRPr="00104DC4">
        <w:rPr>
          <w:i/>
        </w:rPr>
        <w:t xml:space="preserve">Adam II of Liechtenstein v. </w:t>
      </w:r>
      <w:smartTag w:uri="urn:schemas-microsoft-com:office:smarttags" w:element="place">
        <w:smartTag w:uri="urn:schemas-microsoft-com:office:smarttags" w:element="country-region">
          <w:r w:rsidRPr="00104DC4">
            <w:rPr>
              <w:i/>
            </w:rPr>
            <w:t>Germany</w:t>
          </w:r>
        </w:smartTag>
      </w:smartTag>
      <w:r w:rsidRPr="00104DC4">
        <w:t xml:space="preserve"> [GC], no.</w:t>
      </w:r>
      <w:r w:rsidR="005820BB">
        <w:t> </w:t>
      </w:r>
      <w:r w:rsidRPr="00104DC4">
        <w:t xml:space="preserve">42527/98, § </w:t>
      </w:r>
      <w:r>
        <w:t>45,</w:t>
      </w:r>
      <w:r w:rsidRPr="00104DC4">
        <w:t xml:space="preserve"> ECHR 2001</w:t>
      </w:r>
      <w:r w:rsidRPr="00104DC4">
        <w:noBreakHyphen/>
        <w:t>VIII</w:t>
      </w:r>
      <w:r>
        <w:t xml:space="preserve">). This is particularly true for the guarantees enshrined in Article </w:t>
      </w:r>
      <w:smartTag w:uri="urn:schemas-microsoft-com:office:smarttags" w:element="metricconverter">
        <w:smartTagPr>
          <w:attr w:name="ProductID" w:val="6, in"/>
        </w:smartTagPr>
        <w:r>
          <w:t>6, in</w:t>
        </w:r>
      </w:smartTag>
      <w:r>
        <w:t xml:space="preserve"> view of the prominent place held in a democratic society by the right to a fair trial</w:t>
      </w:r>
      <w:r w:rsidRPr="00366540">
        <w:t xml:space="preserve"> </w:t>
      </w:r>
      <w:r>
        <w:t>with all the guarantees under Article 6 (</w:t>
      </w:r>
      <w:r w:rsidR="005820BB">
        <w:t>ibid.</w:t>
      </w:r>
      <w:r>
        <w:t>).</w:t>
      </w:r>
    </w:p>
    <w:p w:rsidR="00B66328" w:rsidP="00E71EDB" w:rsidRDefault="005820BB">
      <w:pPr>
        <w:pStyle w:val="JuHa0"/>
      </w:pPr>
      <w:r>
        <w:t>(</w:t>
      </w:r>
      <w:r w:rsidR="00E71EDB">
        <w:t>c)  </w:t>
      </w:r>
      <w:r w:rsidR="00B66328">
        <w:t>Application of the foregoing principles</w:t>
      </w:r>
    </w:p>
    <w:p w:rsidR="00B66328" w:rsidP="00E71EDB" w:rsidRDefault="00B66328">
      <w:pPr>
        <w:pStyle w:val="JuPara"/>
      </w:pPr>
      <w:r>
        <w:fldChar w:fldCharType="begin"/>
      </w:r>
      <w:r>
        <w:instrText xml:space="preserve"> SEQ level0 \*arabic </w:instrText>
      </w:r>
      <w:r>
        <w:fldChar w:fldCharType="separate"/>
      </w:r>
      <w:r w:rsidR="006D3397">
        <w:rPr>
          <w:noProof/>
        </w:rPr>
        <w:t>84</w:t>
      </w:r>
      <w:r>
        <w:fldChar w:fldCharType="end"/>
      </w:r>
      <w:r w:rsidR="00E71EDB">
        <w:t>.  </w:t>
      </w:r>
      <w:r>
        <w:t>It follows from the foregoing principles that the Court is required to verify that there has been an acknowledgment, at least in substance, by the authorities of a violation of a right protected by the Convention and whether the redress can be considered as appropriate and sufficient (see</w:t>
      </w:r>
      <w:r w:rsidRPr="00A70B2B">
        <w:t>,</w:t>
      </w:r>
      <w:r w:rsidRPr="00A70B2B">
        <w:rPr>
          <w:i/>
        </w:rPr>
        <w:t xml:space="preserve"> inter alia</w:t>
      </w:r>
      <w:r>
        <w:t xml:space="preserve">, </w:t>
      </w:r>
      <w:r w:rsidRPr="00104DC4">
        <w:rPr>
          <w:i/>
        </w:rPr>
        <w:t xml:space="preserve">Normann v. Denmark </w:t>
      </w:r>
      <w:r w:rsidRPr="00104DC4">
        <w:t>(</w:t>
      </w:r>
      <w:r>
        <w:t>dec.</w:t>
      </w:r>
      <w:r w:rsidRPr="00104DC4">
        <w:t xml:space="preserve">), no. </w:t>
      </w:r>
      <w:r>
        <w:t>44704/98, 14 June 2001;</w:t>
      </w:r>
      <w:r w:rsidRPr="00A70B2B">
        <w:rPr>
          <w:i/>
        </w:rPr>
        <w:t xml:space="preserve"> </w:t>
      </w:r>
      <w:r w:rsidRPr="00104DC4">
        <w:rPr>
          <w:i/>
        </w:rPr>
        <w:t xml:space="preserve">Jensen </w:t>
      </w:r>
      <w:r w:rsidR="005820BB">
        <w:rPr>
          <w:i/>
        </w:rPr>
        <w:t xml:space="preserve">and Rasmussen </w:t>
      </w:r>
      <w:r w:rsidRPr="00104DC4">
        <w:rPr>
          <w:i/>
        </w:rPr>
        <w:t>v.</w:t>
      </w:r>
      <w:r w:rsidR="002A7BAA">
        <w:rPr>
          <w:i/>
        </w:rPr>
        <w:t xml:space="preserve"> </w:t>
      </w:r>
      <w:r w:rsidRPr="00104DC4">
        <w:rPr>
          <w:i/>
        </w:rPr>
        <w:t>Denmark</w:t>
      </w:r>
      <w:r w:rsidRPr="00104DC4">
        <w:t xml:space="preserve"> (dec.), no. </w:t>
      </w:r>
      <w:r w:rsidR="005820BB">
        <w:t>52620/99</w:t>
      </w:r>
      <w:r w:rsidRPr="00104DC4">
        <w:t xml:space="preserve">, </w:t>
      </w:r>
      <w:r>
        <w:t xml:space="preserve">20 March 2003; and </w:t>
      </w:r>
      <w:r w:rsidRPr="00104DC4">
        <w:rPr>
          <w:i/>
        </w:rPr>
        <w:t>Nardone v. Italy</w:t>
      </w:r>
      <w:r w:rsidR="005820BB">
        <w:rPr>
          <w:i/>
        </w:rPr>
        <w:t xml:space="preserve"> </w:t>
      </w:r>
      <w:r w:rsidR="005820BB">
        <w:t xml:space="preserve">(dec.), no. </w:t>
      </w:r>
      <w:r>
        <w:t>34368</w:t>
      </w:r>
      <w:r w:rsidRPr="00104DC4">
        <w:t>/</w:t>
      </w:r>
      <w:r w:rsidR="005820BB">
        <w:t>02</w:t>
      </w:r>
      <w:r w:rsidRPr="00104DC4">
        <w:t>, 2</w:t>
      </w:r>
      <w:r>
        <w:t>5 November</w:t>
      </w:r>
      <w:r w:rsidRPr="00104DC4">
        <w:t xml:space="preserve"> 200</w:t>
      </w:r>
      <w:r>
        <w:t>4).</w:t>
      </w:r>
    </w:p>
    <w:p w:rsidRPr="00A83024" w:rsidR="00B66328" w:rsidP="00B66328" w:rsidRDefault="005820BB">
      <w:pPr>
        <w:pStyle w:val="JuHi"/>
        <w:keepNext w:val="0"/>
        <w:keepLines w:val="0"/>
      </w:pPr>
      <w:r>
        <w:t>(</w:t>
      </w:r>
      <w:r w:rsidRPr="00A83024" w:rsidR="00B66328">
        <w:t>i</w:t>
      </w:r>
      <w:r>
        <w:t>)</w:t>
      </w:r>
      <w:r w:rsidR="00E71EDB">
        <w:t>  </w:t>
      </w:r>
      <w:r w:rsidRPr="00A83024" w:rsidR="00B66328">
        <w:t>The finding of a violation</w:t>
      </w:r>
    </w:p>
    <w:p w:rsidR="00A31EB8" w:rsidP="00E71EDB" w:rsidRDefault="00B66328">
      <w:pPr>
        <w:pStyle w:val="JuPara"/>
      </w:pPr>
      <w:r>
        <w:fldChar w:fldCharType="begin"/>
      </w:r>
      <w:r>
        <w:instrText xml:space="preserve"> SEQ level0 \*arabic </w:instrText>
      </w:r>
      <w:r>
        <w:fldChar w:fldCharType="separate"/>
      </w:r>
      <w:r w:rsidR="006D3397">
        <w:rPr>
          <w:noProof/>
        </w:rPr>
        <w:t>85</w:t>
      </w:r>
      <w:r>
        <w:fldChar w:fldCharType="end"/>
      </w:r>
      <w:r>
        <w:t xml:space="preserve">.  The first condition, which is the finding of a violation by the national authorities, is </w:t>
      </w:r>
      <w:r w:rsidRPr="00386210">
        <w:t xml:space="preserve">not in </w:t>
      </w:r>
      <w:r>
        <w:t>issue since if an appeal</w:t>
      </w:r>
      <w:r w:rsidRPr="00C629BC">
        <w:t xml:space="preserve"> </w:t>
      </w:r>
      <w:r>
        <w:t xml:space="preserve">court were to award damages without having first expressly found a violation, the Court would necessarily conclude that such a finding had been made in substance as, under the Pinto Act, an appeal court cannot make an award unless a reasonable time has been exceeded (see </w:t>
      </w:r>
      <w:r w:rsidRPr="008048FA">
        <w:rPr>
          <w:i/>
        </w:rPr>
        <w:t>Capogrossi v. Italy</w:t>
      </w:r>
      <w:r>
        <w:t xml:space="preserve"> (dec.), no. 62253/00, 21 October 2004).</w:t>
      </w:r>
    </w:p>
    <w:p w:rsidR="00B66328" w:rsidP="00B66328" w:rsidRDefault="005820BB">
      <w:pPr>
        <w:pStyle w:val="JuHi"/>
        <w:keepNext w:val="0"/>
        <w:keepLines w:val="0"/>
      </w:pPr>
      <w:r>
        <w:t>(</w:t>
      </w:r>
      <w:r w:rsidR="00E71EDB">
        <w:t>ii</w:t>
      </w:r>
      <w:r>
        <w:t>)</w:t>
      </w:r>
      <w:r w:rsidR="00E71EDB">
        <w:t>  </w:t>
      </w:r>
      <w:r w:rsidRPr="00C629BC" w:rsidR="00B66328">
        <w:t xml:space="preserve">The </w:t>
      </w:r>
      <w:r w:rsidR="00B66328">
        <w:t>characteristics of the redress</w:t>
      </w:r>
    </w:p>
    <w:p w:rsidR="00B66328" w:rsidP="00E71EDB" w:rsidRDefault="00B66328">
      <w:pPr>
        <w:pStyle w:val="JuPara"/>
      </w:pPr>
      <w:r>
        <w:fldChar w:fldCharType="begin"/>
      </w:r>
      <w:r>
        <w:instrText xml:space="preserve"> SEQ level0 \*arabic </w:instrText>
      </w:r>
      <w:r>
        <w:fldChar w:fldCharType="separate"/>
      </w:r>
      <w:r w:rsidR="006D3397">
        <w:rPr>
          <w:noProof/>
        </w:rPr>
        <w:t>86</w:t>
      </w:r>
      <w:r>
        <w:fldChar w:fldCharType="end"/>
      </w:r>
      <w:r>
        <w:t xml:space="preserve">.  With regard to the second condition, namely, appropriate and sufficient redress, the Court has already indicated that even if a remedy is “effective” in that it allows for an earlier decision by the courts to which the case has been referred or </w:t>
      </w:r>
      <w:r w:rsidR="005820BB">
        <w:t xml:space="preserve">for </w:t>
      </w:r>
      <w:r>
        <w:t xml:space="preserve">the aggrieved party </w:t>
      </w:r>
      <w:r w:rsidR="005820BB">
        <w:t>to be</w:t>
      </w:r>
      <w:r>
        <w:t xml:space="preserve"> given adequate compensation for the delays that have already occurred, that conclusion applies only on condition that an application for compensation remains itself an effective, adequate and accessible remedy in respect of the excessive length of judicial proceedings (see </w:t>
      </w:r>
      <w:r w:rsidRPr="00733898">
        <w:rPr>
          <w:i/>
        </w:rPr>
        <w:t>Mifsud</w:t>
      </w:r>
      <w:r>
        <w:t>, cited above).</w:t>
      </w:r>
    </w:p>
    <w:p w:rsidR="00B66328" w:rsidP="00E71EDB" w:rsidRDefault="00B66328">
      <w:pPr>
        <w:pStyle w:val="JuPara"/>
        <w:rPr>
          <w:szCs w:val="24"/>
        </w:rPr>
      </w:pPr>
      <w:r>
        <w:t xml:space="preserve">Indeed, it cannot be ruled out that excessive delays in an action for compensation will </w:t>
      </w:r>
      <w:r w:rsidR="00A33957">
        <w:t>render</w:t>
      </w:r>
      <w:r>
        <w:t xml:space="preserve"> the remedy </w:t>
      </w:r>
      <w:r w:rsidR="00A33957">
        <w:t>in</w:t>
      </w:r>
      <w:r>
        <w:t xml:space="preserve">adequate (see </w:t>
      </w:r>
      <w:r w:rsidRPr="00104DC4">
        <w:rPr>
          <w:i/>
        </w:rPr>
        <w:t>Paulino Tom</w:t>
      </w:r>
      <w:r w:rsidR="00A33957">
        <w:rPr>
          <w:i/>
        </w:rPr>
        <w:t>á</w:t>
      </w:r>
      <w:r w:rsidR="0008493D">
        <w:rPr>
          <w:i/>
        </w:rPr>
        <w:t>s</w:t>
      </w:r>
      <w:r w:rsidRPr="00104DC4">
        <w:rPr>
          <w:i/>
        </w:rPr>
        <w:t xml:space="preserve"> v.</w:t>
      </w:r>
      <w:r w:rsidR="002A7BAA">
        <w:rPr>
          <w:i/>
        </w:rPr>
        <w:t xml:space="preserve"> </w:t>
      </w:r>
      <w:r w:rsidRPr="00104DC4">
        <w:rPr>
          <w:i/>
        </w:rPr>
        <w:t xml:space="preserve">Portugal </w:t>
      </w:r>
      <w:r w:rsidRPr="00104DC4">
        <w:t>(dec.), no. 58698/00, ECHR 2003</w:t>
      </w:r>
      <w:r w:rsidRPr="00104DC4">
        <w:noBreakHyphen/>
        <w:t>VIII</w:t>
      </w:r>
      <w:r>
        <w:t xml:space="preserve">; </w:t>
      </w:r>
      <w:r w:rsidRPr="00104DC4">
        <w:rPr>
          <w:i/>
        </w:rPr>
        <w:t>Belinger v. Slovenia</w:t>
      </w:r>
      <w:r w:rsidRPr="00104DC4">
        <w:t xml:space="preserve"> </w:t>
      </w:r>
      <w:r>
        <w:t>(dec.)</w:t>
      </w:r>
      <w:r w:rsidR="0008493D">
        <w:t>,</w:t>
      </w:r>
      <w:r>
        <w:t xml:space="preserve"> </w:t>
      </w:r>
      <w:r w:rsidRPr="00104DC4">
        <w:t xml:space="preserve">no. 42320/98, </w:t>
      </w:r>
      <w:r>
        <w:t xml:space="preserve">2 October 2001; and, </w:t>
      </w:r>
      <w:r w:rsidRPr="00352AD9">
        <w:rPr>
          <w:i/>
        </w:rPr>
        <w:t>mutatis mutandis</w:t>
      </w:r>
      <w:r>
        <w:t xml:space="preserve">, </w:t>
      </w:r>
      <w:r>
        <w:rPr>
          <w:i/>
          <w:szCs w:val="24"/>
        </w:rPr>
        <w:t>Öneryıldız v.</w:t>
      </w:r>
      <w:r w:rsidR="002A7BAA">
        <w:rPr>
          <w:i/>
          <w:szCs w:val="24"/>
        </w:rPr>
        <w:t xml:space="preserve"> </w:t>
      </w:r>
      <w:r w:rsidRPr="00104DC4">
        <w:rPr>
          <w:i/>
          <w:szCs w:val="24"/>
        </w:rPr>
        <w:t xml:space="preserve">Turkey </w:t>
      </w:r>
      <w:r w:rsidRPr="00104DC4">
        <w:rPr>
          <w:szCs w:val="24"/>
        </w:rPr>
        <w:t xml:space="preserve">[GC], no. 48939/99, § </w:t>
      </w:r>
      <w:r>
        <w:rPr>
          <w:szCs w:val="24"/>
        </w:rPr>
        <w:t>156</w:t>
      </w:r>
      <w:r w:rsidRPr="00104DC4">
        <w:rPr>
          <w:szCs w:val="24"/>
        </w:rPr>
        <w:t xml:space="preserve">, </w:t>
      </w:r>
      <w:r w:rsidRPr="00104DC4">
        <w:t>ECHR 2004</w:t>
      </w:r>
      <w:r w:rsidRPr="00104DC4">
        <w:noBreakHyphen/>
      </w:r>
      <w:r>
        <w:t>XII).</w:t>
      </w:r>
    </w:p>
    <w:p w:rsidR="00B66328" w:rsidP="00E71EDB" w:rsidRDefault="00B66328">
      <w:pPr>
        <w:pStyle w:val="JuPara"/>
      </w:pPr>
      <w:r>
        <w:fldChar w:fldCharType="begin"/>
      </w:r>
      <w:r>
        <w:instrText xml:space="preserve"> SEQ level0 \*arabic </w:instrText>
      </w:r>
      <w:r>
        <w:fldChar w:fldCharType="separate"/>
      </w:r>
      <w:r w:rsidR="006D3397">
        <w:rPr>
          <w:noProof/>
        </w:rPr>
        <w:t>87</w:t>
      </w:r>
      <w:r>
        <w:fldChar w:fldCharType="end"/>
      </w:r>
      <w:r>
        <w:t>.  In that connection the Court reiterates its case-law to the effect that the right of access to a tribunal guaranteed by Article 6 § 1 of the Convention would be illusory if a Contracting State</w:t>
      </w:r>
      <w:r w:rsidR="00C01D3E">
        <w:t>’</w:t>
      </w:r>
      <w:r>
        <w:t xml:space="preserve">s domestic legal system allowed a final, binding judicial decision to remain inoperative to the detriment of one party. Execution of a judgment given by any court must therefore be regarded as an integral part of the “trial” for the purposes of Article 6 (see, </w:t>
      </w:r>
      <w:r w:rsidRPr="00D92E54">
        <w:rPr>
          <w:i/>
        </w:rPr>
        <w:t>inter alia</w:t>
      </w:r>
      <w:r>
        <w:t xml:space="preserve">, </w:t>
      </w:r>
      <w:r w:rsidRPr="00104DC4">
        <w:rPr>
          <w:i/>
        </w:rPr>
        <w:t>Hornsby v. Greece</w:t>
      </w:r>
      <w:r w:rsidRPr="00104DC4">
        <w:t xml:space="preserve">, 19 March 1997, </w:t>
      </w:r>
      <w:r w:rsidR="00A33957">
        <w:t>§</w:t>
      </w:r>
      <w:r w:rsidRPr="00104DC4" w:rsidR="00A33957">
        <w:t xml:space="preserve">§ </w:t>
      </w:r>
      <w:r w:rsidR="00A33957">
        <w:t xml:space="preserve">40 et seq., </w:t>
      </w:r>
      <w:r w:rsidRPr="00104DC4">
        <w:rPr>
          <w:i/>
        </w:rPr>
        <w:t xml:space="preserve">Reports </w:t>
      </w:r>
      <w:r w:rsidRPr="00104DC4">
        <w:t>1997</w:t>
      </w:r>
      <w:r w:rsidRPr="00104DC4">
        <w:noBreakHyphen/>
        <w:t>II</w:t>
      </w:r>
      <w:r>
        <w:t xml:space="preserve">, and </w:t>
      </w:r>
      <w:r w:rsidRPr="00104DC4">
        <w:rPr>
          <w:i/>
        </w:rPr>
        <w:t>Metaxas v. Greece</w:t>
      </w:r>
      <w:r w:rsidRPr="00104DC4">
        <w:t>, no.</w:t>
      </w:r>
      <w:r w:rsidR="00A33957">
        <w:t xml:space="preserve"> </w:t>
      </w:r>
      <w:r w:rsidRPr="00104DC4">
        <w:t xml:space="preserve">8415/02, § </w:t>
      </w:r>
      <w:r>
        <w:t>25</w:t>
      </w:r>
      <w:r w:rsidRPr="00104DC4">
        <w:t>, 27 May 2004</w:t>
      </w:r>
      <w:r>
        <w:t>).</w:t>
      </w:r>
    </w:p>
    <w:p w:rsidR="00B66328" w:rsidP="00E71EDB" w:rsidRDefault="00B66328">
      <w:pPr>
        <w:pStyle w:val="JuPara"/>
      </w:pPr>
      <w:r>
        <w:fldChar w:fldCharType="begin"/>
      </w:r>
      <w:r>
        <w:instrText xml:space="preserve"> SEQ level0 \*arabic </w:instrText>
      </w:r>
      <w:r>
        <w:fldChar w:fldCharType="separate"/>
      </w:r>
      <w:r w:rsidR="006D3397">
        <w:rPr>
          <w:noProof/>
        </w:rPr>
        <w:t>88</w:t>
      </w:r>
      <w:r>
        <w:fldChar w:fldCharType="end"/>
      </w:r>
      <w:r>
        <w:t xml:space="preserve">.  The Court has pointed out in civil length-of-proceedings cases that the enforcement proceedings </w:t>
      </w:r>
      <w:r w:rsidR="00D22646">
        <w:t>are</w:t>
      </w:r>
      <w:r>
        <w:t xml:space="preserve"> the second stage of the proceedings and that the right asserted does not actually bec</w:t>
      </w:r>
      <w:r w:rsidR="00D22646">
        <w:t>ome effective until enforcement</w:t>
      </w:r>
      <w:r>
        <w:t xml:space="preserve"> </w:t>
      </w:r>
      <w:r w:rsidR="00A42C02">
        <w:t>(see,</w:t>
      </w:r>
      <w:r w:rsidR="00D22646">
        <w:t xml:space="preserve"> among other authorities, </w:t>
      </w:r>
      <w:r w:rsidRPr="00104DC4">
        <w:rPr>
          <w:i/>
        </w:rPr>
        <w:t>Di Pede v. Italy</w:t>
      </w:r>
      <w:r>
        <w:t xml:space="preserve"> and </w:t>
      </w:r>
      <w:r w:rsidRPr="00BD38EB">
        <w:rPr>
          <w:i/>
        </w:rPr>
        <w:t>Zappia v. Italy</w:t>
      </w:r>
      <w:r w:rsidRPr="00104DC4">
        <w:t>, 26</w:t>
      </w:r>
      <w:r w:rsidR="00A33957">
        <w:t> </w:t>
      </w:r>
      <w:r w:rsidRPr="00104DC4">
        <w:t>September 1996,</w:t>
      </w:r>
      <w:r w:rsidRPr="00104DC4" w:rsidR="00A33957">
        <w:t xml:space="preserve"> §</w:t>
      </w:r>
      <w:r w:rsidR="00A33957">
        <w:t xml:space="preserve">§ 22, 24 and 26 and §§ 18, 20 and 22 respectively, </w:t>
      </w:r>
      <w:r w:rsidRPr="00104DC4">
        <w:rPr>
          <w:i/>
        </w:rPr>
        <w:t xml:space="preserve">Reports </w:t>
      </w:r>
      <w:r w:rsidRPr="00104DC4">
        <w:t>1996</w:t>
      </w:r>
      <w:r w:rsidRPr="00104DC4">
        <w:noBreakHyphen/>
        <w:t>IV</w:t>
      </w:r>
      <w:r>
        <w:t xml:space="preserve">, and, </w:t>
      </w:r>
      <w:r w:rsidRPr="00BD38EB">
        <w:rPr>
          <w:i/>
        </w:rPr>
        <w:t>mutatis mutandis</w:t>
      </w:r>
      <w:r>
        <w:t xml:space="preserve">, </w:t>
      </w:r>
      <w:r w:rsidRPr="00104DC4">
        <w:rPr>
          <w:i/>
        </w:rPr>
        <w:t>Silva Pontes v. Portugal</w:t>
      </w:r>
      <w:r w:rsidRPr="00104DC4">
        <w:t xml:space="preserve">, </w:t>
      </w:r>
      <w:smartTag w:uri="urn:schemas-microsoft-com:office:smarttags" w:element="date">
        <w:smartTagPr>
          <w:attr w:name="Month" w:val="3"/>
          <w:attr w:name="Day" w:val="23"/>
          <w:attr w:name="Year" w:val="1994"/>
        </w:smartTagPr>
        <w:r w:rsidRPr="00104DC4">
          <w:t>23 March 1994</w:t>
        </w:r>
      </w:smartTag>
      <w:r w:rsidRPr="00104DC4">
        <w:t xml:space="preserve">, </w:t>
      </w:r>
      <w:r w:rsidRPr="00104DC4" w:rsidR="0027239F">
        <w:t xml:space="preserve">§ </w:t>
      </w:r>
      <w:r w:rsidR="0027239F">
        <w:t xml:space="preserve">33, </w:t>
      </w:r>
      <w:r w:rsidRPr="00104DC4">
        <w:t>Series A no. 286</w:t>
      </w:r>
      <w:r w:rsidRPr="00104DC4">
        <w:noBreakHyphen/>
        <w:t>A</w:t>
      </w:r>
      <w:r>
        <w:t>).</w:t>
      </w:r>
    </w:p>
    <w:p w:rsidR="00B66328" w:rsidP="00E71EDB" w:rsidRDefault="00B66328">
      <w:pPr>
        <w:pStyle w:val="JuPara"/>
      </w:pPr>
      <w:r>
        <w:fldChar w:fldCharType="begin"/>
      </w:r>
      <w:r>
        <w:instrText xml:space="preserve"> SEQ level0 \*arabic </w:instrText>
      </w:r>
      <w:r>
        <w:fldChar w:fldCharType="separate"/>
      </w:r>
      <w:r w:rsidR="006D3397">
        <w:rPr>
          <w:noProof/>
        </w:rPr>
        <w:t>89</w:t>
      </w:r>
      <w:r>
        <w:fldChar w:fldCharType="end"/>
      </w:r>
      <w:r>
        <w:t>.  The Court has also stated that it is inappropriate to require an individual who has obtained judgment against the State at the end of legal proceedings to then bring enforcement proceedings to obtain satisfaction.</w:t>
      </w:r>
      <w:r w:rsidR="002A7BAA">
        <w:t xml:space="preserve"> </w:t>
      </w:r>
      <w:r>
        <w:t>It follows that the late payment, following enforcement proceedings, of amounts owing to the applicant cannot cure the national authorities</w:t>
      </w:r>
      <w:r w:rsidR="00C01D3E">
        <w:t>’</w:t>
      </w:r>
      <w:r>
        <w:t xml:space="preserve"> long-standing failure to comply with a judgment and does not afford adequate redress (see</w:t>
      </w:r>
      <w:r w:rsidRPr="00A33E4D">
        <w:rPr>
          <w:i/>
        </w:rPr>
        <w:t xml:space="preserve"> </w:t>
      </w:r>
      <w:r w:rsidRPr="00B73531">
        <w:rPr>
          <w:i/>
        </w:rPr>
        <w:t>Metaxas</w:t>
      </w:r>
      <w:r>
        <w:t xml:space="preserve">, cited above, § 19, and </w:t>
      </w:r>
      <w:r w:rsidRPr="00BA3FD9">
        <w:rPr>
          <w:i/>
        </w:rPr>
        <w:t>Karahalios</w:t>
      </w:r>
      <w:r w:rsidRPr="00104DC4">
        <w:rPr>
          <w:i/>
        </w:rPr>
        <w:t xml:space="preserve"> v. Greece</w:t>
      </w:r>
      <w:r>
        <w:t>, no. </w:t>
      </w:r>
      <w:r w:rsidRPr="00104DC4">
        <w:t xml:space="preserve">62503/00, § </w:t>
      </w:r>
      <w:r>
        <w:t>23</w:t>
      </w:r>
      <w:r w:rsidRPr="00104DC4">
        <w:t>, 11 December 2003</w:t>
      </w:r>
      <w:r>
        <w:t xml:space="preserve">). Moreover, some States, such as </w:t>
      </w:r>
      <w:smartTag w:uri="urn:schemas-microsoft-com:office:smarttags" w:element="country-region">
        <w:r>
          <w:t>Slovakia</w:t>
        </w:r>
      </w:smartTag>
      <w:r>
        <w:t xml:space="preserve"> and </w:t>
      </w:r>
      <w:smartTag w:uri="urn:schemas-microsoft-com:office:smarttags" w:element="place">
        <w:smartTag w:uri="urn:schemas-microsoft-com:office:smarttags" w:element="country-region">
          <w:r>
            <w:t>Croatia</w:t>
          </w:r>
        </w:smartTag>
      </w:smartTag>
      <w:r>
        <w:t xml:space="preserve">, have even stipulated a </w:t>
      </w:r>
      <w:r w:rsidR="0027239F">
        <w:t>time-limit in</w:t>
      </w:r>
      <w:r>
        <w:t xml:space="preserve"> which payment should be made, namely two and three months respectively (see</w:t>
      </w:r>
      <w:r w:rsidRPr="001526F4">
        <w:rPr>
          <w:i/>
        </w:rPr>
        <w:t xml:space="preserve"> </w:t>
      </w:r>
      <w:r w:rsidRPr="00104DC4">
        <w:rPr>
          <w:i/>
        </w:rPr>
        <w:t>Andrášik and Others</w:t>
      </w:r>
      <w:r>
        <w:t xml:space="preserve"> and </w:t>
      </w:r>
      <w:r w:rsidRPr="001526F4">
        <w:rPr>
          <w:i/>
        </w:rPr>
        <w:t>Slavi</w:t>
      </w:r>
      <w:r w:rsidR="0027239F">
        <w:rPr>
          <w:i/>
        </w:rPr>
        <w:t>ček</w:t>
      </w:r>
      <w:r>
        <w:t xml:space="preserve">, </w:t>
      </w:r>
      <w:r w:rsidR="0027239F">
        <w:t xml:space="preserve">both </w:t>
      </w:r>
      <w:r>
        <w:t>cited above).</w:t>
      </w:r>
    </w:p>
    <w:p w:rsidR="00B66328" w:rsidP="00E71EDB" w:rsidRDefault="00B66328">
      <w:pPr>
        <w:pStyle w:val="JuPara"/>
      </w:pPr>
      <w:r>
        <w:t xml:space="preserve">The Court can accept that the authorities need time </w:t>
      </w:r>
      <w:r w:rsidR="00A42C02">
        <w:t>in which to make payment</w:t>
      </w:r>
      <w:r>
        <w:t>. However, in respect of a compensatory remedy designed to redress the consequences of excessively lengthy proceedings</w:t>
      </w:r>
      <w:r w:rsidR="0027239F">
        <w:t>,</w:t>
      </w:r>
      <w:r>
        <w:t xml:space="preserve"> that period should not generally exceed six months from the date on which the decision awarding compensation becomes enforceable.</w:t>
      </w:r>
    </w:p>
    <w:p w:rsidR="00A31EB8" w:rsidP="00E71EDB" w:rsidRDefault="00B66328">
      <w:pPr>
        <w:pStyle w:val="JuPara"/>
      </w:pPr>
      <w:r>
        <w:fldChar w:fldCharType="begin"/>
      </w:r>
      <w:r>
        <w:instrText xml:space="preserve"> SEQ level0 \*arabic </w:instrText>
      </w:r>
      <w:r>
        <w:fldChar w:fldCharType="separate"/>
      </w:r>
      <w:r w:rsidR="006D3397">
        <w:rPr>
          <w:noProof/>
        </w:rPr>
        <w:t>90</w:t>
      </w:r>
      <w:r>
        <w:fldChar w:fldCharType="end"/>
      </w:r>
      <w:r>
        <w:t xml:space="preserve">.  As the Court has already </w:t>
      </w:r>
      <w:r w:rsidR="0027239F">
        <w:t>noted</w:t>
      </w:r>
      <w:r>
        <w:t xml:space="preserve"> on many occasions, it is not open to a State authority to cite lack of funds as an excuse for not honouring a judgment debt (see, among many other authorities, </w:t>
      </w:r>
      <w:r>
        <w:rPr>
          <w:i/>
        </w:rPr>
        <w:t>Burdov</w:t>
      </w:r>
      <w:r>
        <w:t>, cited above, § 35).</w:t>
      </w:r>
    </w:p>
    <w:p w:rsidR="00B66328" w:rsidP="00E71EDB" w:rsidRDefault="00B66328">
      <w:pPr>
        <w:pStyle w:val="JuPara"/>
      </w:pPr>
      <w:r>
        <w:fldChar w:fldCharType="begin"/>
      </w:r>
      <w:r>
        <w:instrText xml:space="preserve"> SEQ level0 \*arabic </w:instrText>
      </w:r>
      <w:r>
        <w:fldChar w:fldCharType="separate"/>
      </w:r>
      <w:r w:rsidR="006D3397">
        <w:rPr>
          <w:noProof/>
        </w:rPr>
        <w:t>91</w:t>
      </w:r>
      <w:r>
        <w:fldChar w:fldCharType="end"/>
      </w:r>
      <w:r>
        <w:t xml:space="preserve">.  With regard to the more or less summary nature of </w:t>
      </w:r>
      <w:r w:rsidRPr="005856F4" w:rsidR="001A332F">
        <w:t>compen</w:t>
      </w:r>
      <w:r w:rsidRPr="005856F4" w:rsidR="006F1D54">
        <w:t>s</w:t>
      </w:r>
      <w:r w:rsidRPr="005856F4" w:rsidR="001A332F">
        <w:t>ation</w:t>
      </w:r>
      <w:r>
        <w:t xml:space="preserve"> proceedings, it should be noted that a remedy affording compensation within a reasonable time may well be subject to procedural rules that are not exactly the same as for ordinary applications for damages. It is for each State to determine, on the basis of the rules applicable in its judicial system, which procedure will best meet the criterion of “effectiveness”, provided that the procedure conforms to the principles of fairness guaranteed by Article 6 of the Convention.</w:t>
      </w:r>
    </w:p>
    <w:p w:rsidR="00B66328" w:rsidP="00E71EDB" w:rsidRDefault="00B66328">
      <w:pPr>
        <w:pStyle w:val="JuPara"/>
      </w:pPr>
      <w:r>
        <w:fldChar w:fldCharType="begin"/>
      </w:r>
      <w:r>
        <w:instrText xml:space="preserve"> SEQ level0 \*arabic </w:instrText>
      </w:r>
      <w:r>
        <w:fldChar w:fldCharType="separate"/>
      </w:r>
      <w:r w:rsidR="006D3397">
        <w:rPr>
          <w:noProof/>
        </w:rPr>
        <w:t>92</w:t>
      </w:r>
      <w:r>
        <w:fldChar w:fldCharType="end"/>
      </w:r>
      <w:r>
        <w:t>.  Lastly, the Court finds it reasonable that in this type of proceedings where the State, on account of the poor organisation of its judicial system, forces litigants – to some extent – to have recourse to a compensatory remedy, the rules regarding legal costs may be different and thus avoid placing an excessive burden on litigants where their action is justified. It might appear paradoxical that, by imposing various taxes – payable prior to the lodging of an application or after the decision – the State tak</w:t>
      </w:r>
      <w:r w:rsidR="00A42C02">
        <w:t>es</w:t>
      </w:r>
      <w:r>
        <w:t xml:space="preserve"> away with one hand what it has awarded with the other to repair a breach of the Convention. Nor should the costs be excessive and constitute an unreasonable restriction on the right to lodge such an application and thus an infringement of the right of access to a tribunal. On this point the Court notes that in </w:t>
      </w:r>
      <w:smartTag w:uri="urn:schemas-microsoft-com:office:smarttags" w:element="place">
        <w:smartTag w:uri="urn:schemas-microsoft-com:office:smarttags" w:element="country-region">
          <w:r>
            <w:t>Poland</w:t>
          </w:r>
        </w:smartTag>
      </w:smartTag>
      <w:r>
        <w:t xml:space="preserve"> applicants are reimbursed the court fee payable on lodging a complaint if their complaint is considered justified (see </w:t>
      </w:r>
      <w:r w:rsidRPr="00FC3F70">
        <w:rPr>
          <w:i/>
        </w:rPr>
        <w:t xml:space="preserve">Charzyński v. Poland </w:t>
      </w:r>
      <w:r w:rsidRPr="00FC3F70">
        <w:t xml:space="preserve">(dec.), no. 15212/03, </w:t>
      </w:r>
      <w:r w:rsidRPr="00FC3F70" w:rsidR="00222571">
        <w:t>ECHR 2005</w:t>
      </w:r>
      <w:r w:rsidR="0027239F">
        <w:t>-V</w:t>
      </w:r>
      <w:r>
        <w:t>).</w:t>
      </w:r>
    </w:p>
    <w:p w:rsidR="00B66328" w:rsidP="00E71EDB" w:rsidRDefault="00B66328">
      <w:pPr>
        <w:pStyle w:val="JuPara"/>
        <w:keepLines/>
      </w:pPr>
      <w:r>
        <w:fldChar w:fldCharType="begin"/>
      </w:r>
      <w:r>
        <w:instrText xml:space="preserve"> SEQ level0 \*arabic </w:instrText>
      </w:r>
      <w:r>
        <w:fldChar w:fldCharType="separate"/>
      </w:r>
      <w:r w:rsidR="006D3397">
        <w:rPr>
          <w:noProof/>
        </w:rPr>
        <w:t>93</w:t>
      </w:r>
      <w:r>
        <w:fldChar w:fldCharType="end"/>
      </w:r>
      <w:r>
        <w:t>.  Regarding violations of the reasonable-time requirement, one of the characteristics of sufficient redress which may remove a litigant</w:t>
      </w:r>
      <w:r w:rsidR="00C01D3E">
        <w:t>’</w:t>
      </w:r>
      <w:r>
        <w:t>s victim status relates to the amount awarded as a result of using the domestic remedy. The Court has already had occasion to indicate that an applicant</w:t>
      </w:r>
      <w:r w:rsidR="00C01D3E">
        <w:t>’</w:t>
      </w:r>
      <w:r>
        <w:t xml:space="preserve">s victim status may also depend on the </w:t>
      </w:r>
      <w:r w:rsidRPr="005856F4" w:rsidR="001A332F">
        <w:t>amount</w:t>
      </w:r>
      <w:r>
        <w:t xml:space="preserve"> of compensation awarded at domestic level on the basis of the facts about which he or she complains before the Court (see </w:t>
      </w:r>
      <w:r w:rsidRPr="00104DC4">
        <w:rPr>
          <w:i/>
        </w:rPr>
        <w:t xml:space="preserve">Normann </w:t>
      </w:r>
      <w:r>
        <w:t xml:space="preserve">and </w:t>
      </w:r>
      <w:r w:rsidRPr="00E85666">
        <w:rPr>
          <w:i/>
        </w:rPr>
        <w:t>Jensen and Rasmussen</w:t>
      </w:r>
      <w:r>
        <w:t xml:space="preserve">, </w:t>
      </w:r>
      <w:r w:rsidR="0027239F">
        <w:t xml:space="preserve">both </w:t>
      </w:r>
      <w:r>
        <w:t>cited above).</w:t>
      </w:r>
    </w:p>
    <w:p w:rsidR="00B66328" w:rsidP="00E71EDB" w:rsidRDefault="00B66328">
      <w:pPr>
        <w:pStyle w:val="JuPara"/>
      </w:pPr>
      <w:r>
        <w:fldChar w:fldCharType="begin"/>
      </w:r>
      <w:r>
        <w:instrText xml:space="preserve"> SEQ level0 \*arabic </w:instrText>
      </w:r>
      <w:r>
        <w:fldChar w:fldCharType="separate"/>
      </w:r>
      <w:r w:rsidR="006D3397">
        <w:rPr>
          <w:noProof/>
        </w:rPr>
        <w:t>94</w:t>
      </w:r>
      <w:r>
        <w:fldChar w:fldCharType="end"/>
      </w:r>
      <w:r>
        <w:t>.  With regard to pecuniary damage, the domestic courts are clearly in a better position to determ</w:t>
      </w:r>
      <w:r w:rsidR="00A779D6">
        <w:t>ine the existence and quantum. Moreover, t</w:t>
      </w:r>
      <w:r>
        <w:t xml:space="preserve">hat point </w:t>
      </w:r>
      <w:r w:rsidR="005856F4">
        <w:t>was</w:t>
      </w:r>
      <w:r>
        <w:t xml:space="preserve"> not disputed by the parties or interveners</w:t>
      </w:r>
      <w:r w:rsidRPr="00B73531">
        <w:t>.</w:t>
      </w:r>
    </w:p>
    <w:p w:rsidR="00B66328" w:rsidP="00E71EDB" w:rsidRDefault="00B66328">
      <w:pPr>
        <w:pStyle w:val="JuPara"/>
      </w:pPr>
      <w:r>
        <w:fldChar w:fldCharType="begin"/>
      </w:r>
      <w:r>
        <w:instrText xml:space="preserve"> SEQ level0 \*arabic </w:instrText>
      </w:r>
      <w:r>
        <w:fldChar w:fldCharType="separate"/>
      </w:r>
      <w:r w:rsidR="006D3397">
        <w:rPr>
          <w:noProof/>
        </w:rPr>
        <w:t>95</w:t>
      </w:r>
      <w:r>
        <w:fldChar w:fldCharType="end"/>
      </w:r>
      <w:r>
        <w:t>.  Regarding non-pecuniary damage, the Court</w:t>
      </w:r>
      <w:r w:rsidR="006D3397">
        <w:t xml:space="preserve"> –</w:t>
      </w:r>
      <w:r>
        <w:t xml:space="preserve"> like the Italian Court of Cassation (see its judgment no. 8568/05, paragraph 3</w:t>
      </w:r>
      <w:r w:rsidR="00A42C02">
        <w:t>1</w:t>
      </w:r>
      <w:r>
        <w:t xml:space="preserve"> above)</w:t>
      </w:r>
      <w:r w:rsidR="006D3397">
        <w:t xml:space="preserve"> –</w:t>
      </w:r>
      <w:r>
        <w:t xml:space="preserve"> assumes that there is a strong but rebuttable presumption that </w:t>
      </w:r>
      <w:r w:rsidR="00A779D6">
        <w:t xml:space="preserve">excessively long proceedings will occasion </w:t>
      </w:r>
      <w:r>
        <w:t xml:space="preserve">non-pecuniary damage. </w:t>
      </w:r>
      <w:r w:rsidR="0027239F">
        <w:t>It</w:t>
      </w:r>
      <w:r>
        <w:t xml:space="preserve"> also accepts that, in some cases, the length of proceedings may result in only minimal non-pecuniary damage or no</w:t>
      </w:r>
      <w:r w:rsidRPr="007E2E4D">
        <w:t xml:space="preserve"> </w:t>
      </w:r>
      <w:r w:rsidR="003D3B82">
        <w:t>non-pecuniary damage at all</w:t>
      </w:r>
      <w:r>
        <w:t xml:space="preserve"> (see </w:t>
      </w:r>
      <w:r w:rsidRPr="007E2E4D">
        <w:rPr>
          <w:i/>
        </w:rPr>
        <w:t>Nardone</w:t>
      </w:r>
      <w:r>
        <w:t>, cited above). The domestic courts will then have to justify their decision by giving sufficient reasons.</w:t>
      </w:r>
    </w:p>
    <w:p w:rsidR="00B66328" w:rsidP="00E71EDB" w:rsidRDefault="00B66328">
      <w:pPr>
        <w:pStyle w:val="JuPara"/>
      </w:pPr>
      <w:r>
        <w:fldChar w:fldCharType="begin"/>
      </w:r>
      <w:r>
        <w:instrText xml:space="preserve"> SEQ level0 \*arabic </w:instrText>
      </w:r>
      <w:r>
        <w:fldChar w:fldCharType="separate"/>
      </w:r>
      <w:r w:rsidR="006D3397">
        <w:rPr>
          <w:noProof/>
        </w:rPr>
        <w:t>96</w:t>
      </w:r>
      <w:r>
        <w:fldChar w:fldCharType="end"/>
      </w:r>
      <w:r>
        <w:t>.  Moreover, in the Court</w:t>
      </w:r>
      <w:r w:rsidR="00C01D3E">
        <w:t>’</w:t>
      </w:r>
      <w:r>
        <w:t>s view, the level of compensation depends on the characteristics and effectiveness of the domestic remedy.</w:t>
      </w:r>
    </w:p>
    <w:p w:rsidR="00B66328" w:rsidP="00E71EDB" w:rsidRDefault="00B66328">
      <w:pPr>
        <w:pStyle w:val="JuPara"/>
      </w:pPr>
      <w:r>
        <w:fldChar w:fldCharType="begin"/>
      </w:r>
      <w:r>
        <w:instrText xml:space="preserve"> SEQ level0 \*arabic </w:instrText>
      </w:r>
      <w:r>
        <w:fldChar w:fldCharType="separate"/>
      </w:r>
      <w:r w:rsidR="006D3397">
        <w:rPr>
          <w:noProof/>
        </w:rPr>
        <w:t>97</w:t>
      </w:r>
      <w:r>
        <w:fldChar w:fldCharType="end"/>
      </w:r>
      <w:r>
        <w:t>.  The Court can also perfectly well</w:t>
      </w:r>
      <w:r w:rsidRPr="001E4835">
        <w:t xml:space="preserve"> </w:t>
      </w:r>
      <w:r>
        <w:t>accept that a State which has introduced a number of remedies, one of which is designed to expedite proceedings and one to afford compensation,</w:t>
      </w:r>
      <w:r w:rsidRPr="0059511F">
        <w:t xml:space="preserve"> </w:t>
      </w:r>
      <w:r>
        <w:t>will award amounts which – while being lower than those awarded by the</w:t>
      </w:r>
      <w:r w:rsidR="00A31EB8">
        <w:t xml:space="preserve"> </w:t>
      </w:r>
      <w:r>
        <w:t xml:space="preserve">Court – are not unreasonable, on condition that the relevant decisions, which must be consonant with the legal tradition and the standard of living in the country concerned, are speedy, reasoned and executed very quickly (see </w:t>
      </w:r>
      <w:r w:rsidRPr="00F55FBB">
        <w:rPr>
          <w:i/>
        </w:rPr>
        <w:t>Dubjakova v. Slovakia</w:t>
      </w:r>
      <w:r>
        <w:t xml:space="preserve"> (dec.), no. 67299/01, 1</w:t>
      </w:r>
      <w:r w:rsidR="0027239F">
        <w:t>9</w:t>
      </w:r>
      <w:r>
        <w:t xml:space="preserve"> October 2004).</w:t>
      </w:r>
    </w:p>
    <w:p w:rsidR="00B66328" w:rsidP="00E71EDB" w:rsidRDefault="00B66328">
      <w:pPr>
        <w:pStyle w:val="JuPara"/>
      </w:pPr>
      <w:r>
        <w:t>However, where the</w:t>
      </w:r>
      <w:r w:rsidR="00A42C02">
        <w:t xml:space="preserve"> domestic</w:t>
      </w:r>
      <w:r>
        <w:t xml:space="preserve"> remedy has not met all the foregoing requirements, it is possible that the threshold in respect of which the amount will still allow a litigant to claim to be a “victim” will be higher.</w:t>
      </w:r>
    </w:p>
    <w:p w:rsidR="00B66328" w:rsidP="00E71EDB" w:rsidRDefault="00B66328">
      <w:pPr>
        <w:pStyle w:val="JuPara"/>
      </w:pPr>
      <w:r>
        <w:fldChar w:fldCharType="begin"/>
      </w:r>
      <w:r>
        <w:instrText xml:space="preserve"> SEQ level0 \*arabic </w:instrText>
      </w:r>
      <w:r>
        <w:fldChar w:fldCharType="separate"/>
      </w:r>
      <w:r w:rsidR="006D3397">
        <w:rPr>
          <w:noProof/>
        </w:rPr>
        <w:t>98</w:t>
      </w:r>
      <w:r>
        <w:fldChar w:fldCharType="end"/>
      </w:r>
      <w:r>
        <w:t>.  It is even conceivable that the court determining the amount of compensation will acknowledge its own delay and that accordingly, and in order not to penalise the applicant later, it will award a particularly high amount of compensation in order to make good the further delay.</w:t>
      </w:r>
    </w:p>
    <w:p w:rsidRPr="00A83024" w:rsidR="00B66328" w:rsidP="00E71EDB" w:rsidRDefault="0027239F">
      <w:pPr>
        <w:pStyle w:val="JuHi"/>
      </w:pPr>
      <w:r>
        <w:t>(</w:t>
      </w:r>
      <w:r w:rsidR="00E71EDB">
        <w:t>iii</w:t>
      </w:r>
      <w:r>
        <w:t>)</w:t>
      </w:r>
      <w:r w:rsidR="00E71EDB">
        <w:t>  </w:t>
      </w:r>
      <w:r w:rsidRPr="00A83024" w:rsidR="00B66328">
        <w:t>Application to the present case</w:t>
      </w:r>
    </w:p>
    <w:p w:rsidR="00B66328" w:rsidP="00E71EDB" w:rsidRDefault="00B66328">
      <w:pPr>
        <w:pStyle w:val="JuPara"/>
      </w:pPr>
      <w:r>
        <w:fldChar w:fldCharType="begin"/>
      </w:r>
      <w:r>
        <w:instrText xml:space="preserve"> SEQ level0 \*arabic </w:instrText>
      </w:r>
      <w:r>
        <w:fldChar w:fldCharType="separate"/>
      </w:r>
      <w:r w:rsidR="006D3397">
        <w:rPr>
          <w:noProof/>
        </w:rPr>
        <w:t>99</w:t>
      </w:r>
      <w:r>
        <w:fldChar w:fldCharType="end"/>
      </w:r>
      <w:r>
        <w:t>.  The four-month period prescribed by the Pinto Act complies with the requirement of speediness necessary for a remedy to be effective. The only obstacle to this may arise with appeals to the Court of</w:t>
      </w:r>
      <w:r w:rsidR="001A332F">
        <w:t xml:space="preserve"> Cassation in respect of which </w:t>
      </w:r>
      <w:r w:rsidRPr="005856F4" w:rsidR="001A332F">
        <w:t>no</w:t>
      </w:r>
      <w:r w:rsidRPr="005856F4">
        <w:t xml:space="preserve"> maximum period for giving a ruling has been fixed</w:t>
      </w:r>
      <w:r>
        <w:t xml:space="preserve">. In the instant case the judicial phase lasted from </w:t>
      </w:r>
      <w:smartTag w:uri="urn:schemas-microsoft-com:office:smarttags" w:element="date">
        <w:smartTagPr>
          <w:attr w:name="Month" w:val="10"/>
          <w:attr w:name="Day" w:val="3"/>
          <w:attr w:name="Year" w:val="2001"/>
        </w:smartTagPr>
        <w:r>
          <w:t>3 October 2001</w:t>
        </w:r>
      </w:smartTag>
      <w:r>
        <w:t xml:space="preserve"> to </w:t>
      </w:r>
      <w:smartTag w:uri="urn:schemas-microsoft-com:office:smarttags" w:element="date">
        <w:smartTagPr>
          <w:attr w:name="Month" w:val="5"/>
          <w:attr w:name="Day" w:val="6"/>
          <w:attr w:name="Year" w:val="2002"/>
        </w:smartTagPr>
        <w:r>
          <w:t>6 May 2002</w:t>
        </w:r>
      </w:smartTag>
      <w:r>
        <w:t>, that is, seven months, which, even if it exceeds the statutory period, is still reasonable.</w:t>
      </w:r>
    </w:p>
    <w:p w:rsidR="00B66328" w:rsidP="00E71EDB" w:rsidRDefault="00B66328">
      <w:pPr>
        <w:pStyle w:val="JuPara"/>
      </w:pPr>
      <w:r>
        <w:fldChar w:fldCharType="begin"/>
      </w:r>
      <w:r>
        <w:instrText xml:space="preserve"> SEQ level0 \*arabic </w:instrText>
      </w:r>
      <w:r>
        <w:fldChar w:fldCharType="separate"/>
      </w:r>
      <w:r w:rsidR="006D3397">
        <w:rPr>
          <w:noProof/>
        </w:rPr>
        <w:t>100</w:t>
      </w:r>
      <w:r>
        <w:fldChar w:fldCharType="end"/>
      </w:r>
      <w:r>
        <w:t>.  However, the Court finds it unacceptable that more than three years after the decision was deposited with the registry the applicant has still not received his compensation and has been obliged to bring enforcement proceedings occasioning him further costs.</w:t>
      </w:r>
    </w:p>
    <w:p w:rsidR="00B66328" w:rsidP="00E71EDB" w:rsidRDefault="00B66328">
      <w:pPr>
        <w:pStyle w:val="JuPara"/>
      </w:pPr>
      <w:r>
        <w:fldChar w:fldCharType="begin"/>
      </w:r>
      <w:r>
        <w:instrText xml:space="preserve"> SEQ level0 \*arabic </w:instrText>
      </w:r>
      <w:r>
        <w:fldChar w:fldCharType="separate"/>
      </w:r>
      <w:r w:rsidR="006D3397">
        <w:rPr>
          <w:noProof/>
        </w:rPr>
        <w:t>101</w:t>
      </w:r>
      <w:r>
        <w:fldChar w:fldCharType="end"/>
      </w:r>
      <w:r>
        <w:t xml:space="preserve">.  The Court would </w:t>
      </w:r>
      <w:r w:rsidR="005D2887">
        <w:t>stress</w:t>
      </w:r>
      <w:r>
        <w:t xml:space="preserve"> the fact that</w:t>
      </w:r>
      <w:r w:rsidR="005D2887">
        <w:t>,</w:t>
      </w:r>
      <w:r>
        <w:t xml:space="preserve"> in order to be effective</w:t>
      </w:r>
      <w:r w:rsidR="005D2887">
        <w:t>,</w:t>
      </w:r>
      <w:r>
        <w:t xml:space="preserve"> a </w:t>
      </w:r>
      <w:r w:rsidR="00BB4E56">
        <w:t xml:space="preserve">compensatory </w:t>
      </w:r>
      <w:r>
        <w:t xml:space="preserve">remedy must be accompanied by adequate budgetary </w:t>
      </w:r>
      <w:r w:rsidRPr="005856F4">
        <w:t>provision</w:t>
      </w:r>
      <w:r>
        <w:t xml:space="preserve"> so that</w:t>
      </w:r>
      <w:r w:rsidR="00BB4E56">
        <w:t xml:space="preserve"> effect can be given</w:t>
      </w:r>
      <w:r w:rsidR="0008493D">
        <w:t>,</w:t>
      </w:r>
      <w:r w:rsidR="00BB4E56">
        <w:t xml:space="preserve"> </w:t>
      </w:r>
      <w:r>
        <w:t>within six months of</w:t>
      </w:r>
      <w:r w:rsidR="003D3B82">
        <w:t xml:space="preserve"> </w:t>
      </w:r>
      <w:r w:rsidRPr="005856F4" w:rsidR="003D3B82">
        <w:t>their being</w:t>
      </w:r>
      <w:r w:rsidRPr="005856F4">
        <w:t xml:space="preserve"> </w:t>
      </w:r>
      <w:r w:rsidRPr="005856F4" w:rsidR="00BB4E56">
        <w:t>deposit</w:t>
      </w:r>
      <w:r w:rsidRPr="005856F4" w:rsidR="003D3B82">
        <w:t>ed</w:t>
      </w:r>
      <w:r w:rsidRPr="00BB4E56" w:rsidR="00BB4E56">
        <w:t xml:space="preserve"> </w:t>
      </w:r>
      <w:r w:rsidR="00BB4E56">
        <w:t>with the registry</w:t>
      </w:r>
      <w:r w:rsidR="0008493D">
        <w:t>,</w:t>
      </w:r>
      <w:r w:rsidR="00BB4E56">
        <w:t xml:space="preserve"> </w:t>
      </w:r>
      <w:r w:rsidR="005D2887">
        <w:t>to decisions of the courts of appeal awarding compensation</w:t>
      </w:r>
      <w:r w:rsidR="00BB4E56">
        <w:t>, which, in accordance with the Pinto Act, are immediately enforceable</w:t>
      </w:r>
      <w:r>
        <w:t xml:space="preserve"> (section 3(6) of the Pinto Act – see paragraph 23 above).</w:t>
      </w:r>
    </w:p>
    <w:p w:rsidR="00B66328" w:rsidP="00E71EDB" w:rsidRDefault="00B66328">
      <w:pPr>
        <w:pStyle w:val="JuPara"/>
      </w:pPr>
      <w:r>
        <w:fldChar w:fldCharType="begin"/>
      </w:r>
      <w:r>
        <w:instrText xml:space="preserve"> SEQ level0 \*arabic </w:instrText>
      </w:r>
      <w:r>
        <w:fldChar w:fldCharType="separate"/>
      </w:r>
      <w:r w:rsidR="006D3397">
        <w:rPr>
          <w:noProof/>
        </w:rPr>
        <w:t>102</w:t>
      </w:r>
      <w:r>
        <w:fldChar w:fldCharType="end"/>
      </w:r>
      <w:r>
        <w:t>.  Similarly, as regards procedural costs, certain fixed expenses (such as</w:t>
      </w:r>
      <w:r w:rsidR="001A332F">
        <w:t xml:space="preserve"> </w:t>
      </w:r>
      <w:r w:rsidRPr="005856F4" w:rsidR="00C653F5">
        <w:t>the fee for</w:t>
      </w:r>
      <w:r w:rsidRPr="005856F4">
        <w:t xml:space="preserve"> regist</w:t>
      </w:r>
      <w:r w:rsidRPr="005856F4" w:rsidR="001A332F">
        <w:t>ering</w:t>
      </w:r>
      <w:r>
        <w:t xml:space="preserve"> the judicial decision) may significantly hamper the efforts made by applicants to obtain compensation. The Court draws the Government</w:t>
      </w:r>
      <w:r w:rsidR="00C01D3E">
        <w:t>’</w:t>
      </w:r>
      <w:r>
        <w:t>s attention to these various aspects with a view to eradicating at the source problems that may give rise to further applications.</w:t>
      </w:r>
    </w:p>
    <w:p w:rsidR="00B66328" w:rsidP="00E71EDB" w:rsidRDefault="00B66328">
      <w:pPr>
        <w:pStyle w:val="JuPara"/>
      </w:pPr>
      <w:r>
        <w:fldChar w:fldCharType="begin"/>
      </w:r>
      <w:r>
        <w:instrText xml:space="preserve"> SEQ level0 \*arabic </w:instrText>
      </w:r>
      <w:r>
        <w:fldChar w:fldCharType="separate"/>
      </w:r>
      <w:r w:rsidR="006D3397">
        <w:rPr>
          <w:noProof/>
        </w:rPr>
        <w:t>103</w:t>
      </w:r>
      <w:r>
        <w:fldChar w:fldCharType="end"/>
      </w:r>
      <w:r>
        <w:t xml:space="preserve">.  In assessing the amount of compensation awarded by the </w:t>
      </w:r>
      <w:r w:rsidR="00A779D6">
        <w:t xml:space="preserve">court of </w:t>
      </w:r>
      <w:r>
        <w:t xml:space="preserve">appeal, the Court </w:t>
      </w:r>
      <w:r w:rsidR="00A779D6">
        <w:t>considers</w:t>
      </w:r>
      <w:r>
        <w:t xml:space="preserve">, on the basis of the material in its possession, what it would have done in the same position for the period taken into account by the </w:t>
      </w:r>
      <w:r w:rsidRPr="005856F4" w:rsidR="00E7504E">
        <w:t>domestic court</w:t>
      </w:r>
      <w:r>
        <w:t>.</w:t>
      </w:r>
    </w:p>
    <w:p w:rsidR="00B66328" w:rsidP="00E71EDB" w:rsidRDefault="00B66328">
      <w:pPr>
        <w:pStyle w:val="JuPara"/>
      </w:pPr>
      <w:r>
        <w:fldChar w:fldCharType="begin"/>
      </w:r>
      <w:r>
        <w:instrText xml:space="preserve"> SEQ level0 \*arabic </w:instrText>
      </w:r>
      <w:r>
        <w:fldChar w:fldCharType="separate"/>
      </w:r>
      <w:r w:rsidR="006D3397">
        <w:rPr>
          <w:noProof/>
        </w:rPr>
        <w:t>104</w:t>
      </w:r>
      <w:r>
        <w:fldChar w:fldCharType="end"/>
      </w:r>
      <w:r>
        <w:t xml:space="preserve">.  According to the documents provided by the Government for the hearing, there is no disproportion in </w:t>
      </w:r>
      <w:smartTag w:uri="urn:schemas-microsoft-com:office:smarttags" w:element="place">
        <w:smartTag w:uri="urn:schemas-microsoft-com:office:smarttags" w:element="country-region">
          <w:r>
            <w:t>Italy</w:t>
          </w:r>
        </w:smartTag>
      </w:smartTag>
      <w:r>
        <w:t xml:space="preserve"> between the amounts awarded</w:t>
      </w:r>
      <w:r w:rsidRPr="00B6343B">
        <w:t xml:space="preserve"> </w:t>
      </w:r>
      <w:r>
        <w:t>to heirs for non-pecuniary damage in the event of a relative</w:t>
      </w:r>
      <w:r w:rsidR="00C01D3E">
        <w:t>’</w:t>
      </w:r>
      <w:r>
        <w:t xml:space="preserve">s death or those awarded for physical injury or in defamation cases and those generally awarded by the Court under Article </w:t>
      </w:r>
      <w:smartTag w:uri="urn:schemas-microsoft-com:office:smarttags" w:element="metricconverter">
        <w:smartTagPr>
          <w:attr w:name="ProductID" w:val="41 in"/>
        </w:smartTagPr>
        <w:r>
          <w:t>41 in</w:t>
        </w:r>
      </w:smartTag>
      <w:r>
        <w:t xml:space="preserve"> </w:t>
      </w:r>
      <w:r w:rsidR="00A42C02">
        <w:t>length-of-proceedings</w:t>
      </w:r>
      <w:r>
        <w:t xml:space="preserve"> case</w:t>
      </w:r>
      <w:r w:rsidR="00A42C02">
        <w:t>s</w:t>
      </w:r>
      <w:r>
        <w:t xml:space="preserve">. Accordingly, the level of compensation generally awarded by the courts of appeal in </w:t>
      </w:r>
      <w:r w:rsidR="00A4260B">
        <w:t>“</w:t>
      </w:r>
      <w:r>
        <w:t>Pinto</w:t>
      </w:r>
      <w:r w:rsidR="00A4260B">
        <w:t>”</w:t>
      </w:r>
      <w:r>
        <w:t xml:space="preserve"> applications cannot be justified by this type of consideration.</w:t>
      </w:r>
    </w:p>
    <w:p w:rsidR="00B66328" w:rsidP="00E71EDB" w:rsidRDefault="00B66328">
      <w:pPr>
        <w:pStyle w:val="JuPara"/>
      </w:pPr>
      <w:r>
        <w:fldChar w:fldCharType="begin"/>
      </w:r>
      <w:r>
        <w:instrText xml:space="preserve"> SEQ level0 \*arabic </w:instrText>
      </w:r>
      <w:r>
        <w:fldChar w:fldCharType="separate"/>
      </w:r>
      <w:r w:rsidR="006D3397">
        <w:rPr>
          <w:noProof/>
        </w:rPr>
        <w:t>105</w:t>
      </w:r>
      <w:r>
        <w:fldChar w:fldCharType="end"/>
      </w:r>
      <w:r>
        <w:t>.  Even if the method of calculation provided for in domestic law does not correspond</w:t>
      </w:r>
      <w:r w:rsidRPr="001F4999">
        <w:t xml:space="preserve"> </w:t>
      </w:r>
      <w:r>
        <w:t>exactly to the criteria established by the Court, an analysis of the Court</w:t>
      </w:r>
      <w:r w:rsidR="00C01D3E">
        <w:t>’</w:t>
      </w:r>
      <w:r>
        <w:t>s case-law</w:t>
      </w:r>
      <w:r w:rsidRPr="00737801">
        <w:t xml:space="preserve"> </w:t>
      </w:r>
      <w:r>
        <w:t>relating to awards of just satisfaction for excessively lengthy proceedings should enable the courts of appeal to award sums that are not unreasonable in comparison with the awards made by the Court in similar cases</w:t>
      </w:r>
      <w:r w:rsidR="006F4414">
        <w:t>.</w:t>
      </w:r>
    </w:p>
    <w:p w:rsidR="00B66328" w:rsidP="00540AF1" w:rsidRDefault="00B66328">
      <w:pPr>
        <w:pStyle w:val="JuPara"/>
      </w:pPr>
      <w:r>
        <w:fldChar w:fldCharType="begin"/>
      </w:r>
      <w:r>
        <w:instrText xml:space="preserve"> SEQ level0 \*arabic </w:instrText>
      </w:r>
      <w:r>
        <w:fldChar w:fldCharType="separate"/>
      </w:r>
      <w:r w:rsidR="006D3397">
        <w:rPr>
          <w:noProof/>
        </w:rPr>
        <w:t>106</w:t>
      </w:r>
      <w:r>
        <w:fldChar w:fldCharType="end"/>
      </w:r>
      <w:r>
        <w:t>.  In the present case, and contrary to the Government</w:t>
      </w:r>
      <w:r w:rsidR="00C01D3E">
        <w:t>’</w:t>
      </w:r>
      <w:r>
        <w:t>s assertion, the Court notes that even the Court of Appeal found, in accordance with the Court</w:t>
      </w:r>
      <w:r w:rsidR="00C01D3E">
        <w:t>’</w:t>
      </w:r>
      <w:r>
        <w:t xml:space="preserve">s case-law, that the proceedings were not complex. Furthermore, there is nothing in the case file or the domestic decisions to suggest that the proceedings were interrupted, but only that the applicant declared his intention to continue the proceedings. As early as 1998 he indicated that he had been unable to declare his intention to continue the proceedings on account of the </w:t>
      </w:r>
      <w:r w:rsidRPr="001057DD" w:rsidR="001A332F">
        <w:t>poor</w:t>
      </w:r>
      <w:r w:rsidR="001A332F">
        <w:t xml:space="preserve"> </w:t>
      </w:r>
      <w:r>
        <w:t>organisation of the registry of the appeal court (see paragraph 17 above). His conduct cannot therefore be regarded as a significant factor justifying a reduction in the compensation. The Court of Appeal</w:t>
      </w:r>
      <w:r w:rsidR="00C01D3E">
        <w:t>’</w:t>
      </w:r>
      <w:r w:rsidR="00E7504E">
        <w:t>s decision,</w:t>
      </w:r>
      <w:r w:rsidRPr="00B6343B">
        <w:t xml:space="preserve"> </w:t>
      </w:r>
      <w:r w:rsidRPr="001057DD">
        <w:t>reason</w:t>
      </w:r>
      <w:r w:rsidRPr="001057DD" w:rsidR="00E7504E">
        <w:t>ed in part</w:t>
      </w:r>
      <w:r>
        <w:t xml:space="preserve">, </w:t>
      </w:r>
      <w:r w:rsidR="006D3397">
        <w:t xml:space="preserve">moreover </w:t>
      </w:r>
      <w:r>
        <w:t>supports this conclusion. It would appear that in awarding EUR</w:t>
      </w:r>
      <w:r w:rsidR="002A7BAA">
        <w:t xml:space="preserve"> </w:t>
      </w:r>
      <w:r>
        <w:t>1,000 for four years</w:t>
      </w:r>
      <w:r w:rsidR="00C01D3E">
        <w:t>’</w:t>
      </w:r>
      <w:r>
        <w:t xml:space="preserve"> delay, the rate per year is EUR</w:t>
      </w:r>
      <w:r w:rsidR="002A7BAA">
        <w:t xml:space="preserve"> </w:t>
      </w:r>
      <w:r>
        <w:t xml:space="preserve">250. </w:t>
      </w:r>
      <w:r w:rsidRPr="004978EE">
        <w:t xml:space="preserve">The Court observes that the amount awarded is approximately 14% of what it generally awards </w:t>
      </w:r>
      <w:r>
        <w:t>in similar Italian cases</w:t>
      </w:r>
      <w:r w:rsidRPr="004978EE">
        <w:t xml:space="preserve">. </w:t>
      </w:r>
      <w:r>
        <w:rPr>
          <w:szCs w:val="24"/>
        </w:rPr>
        <w:t>T</w:t>
      </w:r>
      <w:r w:rsidRPr="00006A1A">
        <w:rPr>
          <w:szCs w:val="24"/>
        </w:rPr>
        <w:t>his</w:t>
      </w:r>
      <w:r>
        <w:rPr>
          <w:szCs w:val="24"/>
        </w:rPr>
        <w:t xml:space="preserve"> factor</w:t>
      </w:r>
      <w:r w:rsidRPr="00006A1A">
        <w:rPr>
          <w:szCs w:val="24"/>
        </w:rPr>
        <w:t xml:space="preserve"> </w:t>
      </w:r>
      <w:r w:rsidR="00540AF1">
        <w:rPr>
          <w:szCs w:val="24"/>
        </w:rPr>
        <w:t>alone</w:t>
      </w:r>
      <w:r w:rsidRPr="00006A1A">
        <w:rPr>
          <w:szCs w:val="24"/>
        </w:rPr>
        <w:t xml:space="preserve"> leads to a result which is manifestly unreasonable </w:t>
      </w:r>
      <w:r>
        <w:rPr>
          <w:szCs w:val="24"/>
        </w:rPr>
        <w:t>having regard to</w:t>
      </w:r>
      <w:r w:rsidRPr="00006A1A">
        <w:rPr>
          <w:szCs w:val="24"/>
        </w:rPr>
        <w:t xml:space="preserve"> </w:t>
      </w:r>
      <w:r>
        <w:rPr>
          <w:szCs w:val="24"/>
        </w:rPr>
        <w:t xml:space="preserve">the </w:t>
      </w:r>
      <w:r w:rsidR="001A332F">
        <w:rPr>
          <w:szCs w:val="24"/>
        </w:rPr>
        <w:t>Court</w:t>
      </w:r>
      <w:r w:rsidR="00C01D3E">
        <w:rPr>
          <w:szCs w:val="24"/>
        </w:rPr>
        <w:t>’</w:t>
      </w:r>
      <w:r w:rsidR="001A332F">
        <w:rPr>
          <w:szCs w:val="24"/>
        </w:rPr>
        <w:t>s</w:t>
      </w:r>
      <w:r w:rsidRPr="00006A1A">
        <w:rPr>
          <w:szCs w:val="24"/>
        </w:rPr>
        <w:t xml:space="preserve"> </w:t>
      </w:r>
      <w:r>
        <w:rPr>
          <w:szCs w:val="24"/>
        </w:rPr>
        <w:t>case-law</w:t>
      </w:r>
      <w:r>
        <w:t xml:space="preserve"> </w:t>
      </w:r>
      <w:r w:rsidR="00A42C02">
        <w:t>in respect of</w:t>
      </w:r>
      <w:r w:rsidRPr="008C6AA7">
        <w:t xml:space="preserve"> proceedings before employment tribunals. </w:t>
      </w:r>
      <w:r>
        <w:t>The Court reiterates in this connection that this type of proceedings, like those concerning the civil status and capacity of persons, must be especially speedy. It will re</w:t>
      </w:r>
      <w:r w:rsidR="0027239F">
        <w:t>turn</w:t>
      </w:r>
      <w:r>
        <w:t xml:space="preserve"> to this matter in the context </w:t>
      </w:r>
      <w:r w:rsidR="001A332F">
        <w:t xml:space="preserve">of Article 41 (see paragraph </w:t>
      </w:r>
      <w:r w:rsidRPr="001057DD" w:rsidR="001A332F">
        <w:t>146</w:t>
      </w:r>
      <w:r>
        <w:t xml:space="preserve"> below).</w:t>
      </w:r>
    </w:p>
    <w:p w:rsidR="00B66328" w:rsidP="00540AF1" w:rsidRDefault="00B66328">
      <w:pPr>
        <w:pStyle w:val="JuPara"/>
      </w:pPr>
      <w:r>
        <w:fldChar w:fldCharType="begin"/>
      </w:r>
      <w:r>
        <w:instrText xml:space="preserve"> SEQ level0 \*arabic </w:instrText>
      </w:r>
      <w:r>
        <w:fldChar w:fldCharType="separate"/>
      </w:r>
      <w:r w:rsidR="006D3397">
        <w:rPr>
          <w:noProof/>
        </w:rPr>
        <w:t>107</w:t>
      </w:r>
      <w:r>
        <w:fldChar w:fldCharType="end"/>
      </w:r>
      <w:r>
        <w:t>.  In conclusion, and having regard to the fact that various requirements have not been satisfied, the Court considers that the redress was insufficient. As the second condition</w:t>
      </w:r>
      <w:r w:rsidR="001A332F">
        <w:t xml:space="preserve"> – appropriate and sufficient redress –</w:t>
      </w:r>
      <w:r>
        <w:t xml:space="preserve"> has not been fulfilled, the Court considers that the applicant can in the instant case still claim to be a “victim” of </w:t>
      </w:r>
      <w:r w:rsidR="002F2B62">
        <w:t xml:space="preserve">a breach of </w:t>
      </w:r>
      <w:r>
        <w:t>the “reasonable</w:t>
      </w:r>
      <w:r w:rsidR="00736420">
        <w:t xml:space="preserve"> </w:t>
      </w:r>
      <w:r>
        <w:t>time” requirement.</w:t>
      </w:r>
    </w:p>
    <w:p w:rsidRPr="00672D5B" w:rsidR="00B66328" w:rsidP="00E71EDB" w:rsidRDefault="00B66328">
      <w:pPr>
        <w:pStyle w:val="JuPara"/>
        <w:rPr>
          <w:szCs w:val="24"/>
        </w:rPr>
      </w:pPr>
      <w:r>
        <w:t xml:space="preserve">Accordingly, this objection by the Government must also be </w:t>
      </w:r>
      <w:r w:rsidR="00A42C02">
        <w:t>dismissed</w:t>
      </w:r>
      <w:r>
        <w:t>.</w:t>
      </w:r>
    </w:p>
    <w:p w:rsidRPr="00A83024" w:rsidR="00B66328" w:rsidP="00B66328" w:rsidRDefault="00B66328">
      <w:pPr>
        <w:pStyle w:val="JuHIRoman"/>
        <w:ind w:left="0" w:firstLine="0"/>
      </w:pPr>
      <w:r w:rsidRPr="00A83024">
        <w:t>II. </w:t>
      </w:r>
      <w:r w:rsidR="00E71EDB">
        <w:t> </w:t>
      </w:r>
      <w:r w:rsidRPr="00A83024">
        <w:t>ALLEGED VIOLATION OF ARTICLE 6 § 1 OF THE CONVENTION</w:t>
      </w:r>
    </w:p>
    <w:p w:rsidR="00B66328" w:rsidP="00E71EDB" w:rsidRDefault="00B66328">
      <w:pPr>
        <w:pStyle w:val="JuPara"/>
      </w:pPr>
      <w:r>
        <w:fldChar w:fldCharType="begin"/>
      </w:r>
      <w:r>
        <w:instrText xml:space="preserve"> SEQ level0 \*arabic </w:instrText>
      </w:r>
      <w:r>
        <w:fldChar w:fldCharType="separate"/>
      </w:r>
      <w:r w:rsidR="006D3397">
        <w:rPr>
          <w:noProof/>
        </w:rPr>
        <w:t>108</w:t>
      </w:r>
      <w:r>
        <w:fldChar w:fldCharType="end"/>
      </w:r>
      <w:r>
        <w:t>.  The applicant complained of a breach of Article 6 § 1 of the Convention, which provides:</w:t>
      </w:r>
    </w:p>
    <w:p w:rsidRPr="008213D8" w:rsidR="00B66328" w:rsidP="00B66328" w:rsidRDefault="00B66328">
      <w:pPr>
        <w:pStyle w:val="JuQuot"/>
      </w:pPr>
      <w:r>
        <w:t>“In the determination of his civil rights and obligations ..., everyone is entitled to a</w:t>
      </w:r>
      <w:r w:rsidR="00E1745D">
        <w:t xml:space="preserve"> </w:t>
      </w:r>
      <w:r>
        <w:t>... hearing within a reasonable time by [a] ... tribunal</w:t>
      </w:r>
      <w:r w:rsidR="00736420">
        <w:t xml:space="preserve"> </w:t>
      </w:r>
      <w:r>
        <w:t>...”</w:t>
      </w:r>
    </w:p>
    <w:p w:rsidR="00B66328" w:rsidP="00E71EDB" w:rsidRDefault="00B66328">
      <w:pPr>
        <w:pStyle w:val="JuPara"/>
      </w:pPr>
      <w:r>
        <w:fldChar w:fldCharType="begin"/>
      </w:r>
      <w:r>
        <w:instrText xml:space="preserve"> SEQ level0 \*arabic </w:instrText>
      </w:r>
      <w:r>
        <w:fldChar w:fldCharType="separate"/>
      </w:r>
      <w:r w:rsidR="006D3397">
        <w:rPr>
          <w:noProof/>
        </w:rPr>
        <w:t>109</w:t>
      </w:r>
      <w:r>
        <w:fldChar w:fldCharType="end"/>
      </w:r>
      <w:r>
        <w:t xml:space="preserve">.  On </w:t>
      </w:r>
      <w:smartTag w:uri="urn:schemas-microsoft-com:office:smarttags" w:element="date">
        <w:smartTagPr>
          <w:attr w:name="Month" w:val="7"/>
          <w:attr w:name="Day" w:val="13"/>
          <w:attr w:name="Year" w:val="2004"/>
        </w:smartTagPr>
        <w:r>
          <w:t>13 July 2004</w:t>
        </w:r>
      </w:smartTag>
      <w:r>
        <w:t xml:space="preserve"> the applicant informed the Court that he was not complaining of the manner in which the Court of Appeal had assessed the delays, but of the derisory amount of damages awarded and still not paid.</w:t>
      </w:r>
    </w:p>
    <w:p w:rsidR="00B66328" w:rsidP="00E71EDB" w:rsidRDefault="00B66328">
      <w:pPr>
        <w:pStyle w:val="JuPara"/>
      </w:pPr>
      <w:r>
        <w:fldChar w:fldCharType="begin"/>
      </w:r>
      <w:r>
        <w:instrText xml:space="preserve"> SEQ level0 \*arabic </w:instrText>
      </w:r>
      <w:r>
        <w:fldChar w:fldCharType="separate"/>
      </w:r>
      <w:r w:rsidR="006D3397">
        <w:rPr>
          <w:noProof/>
        </w:rPr>
        <w:t>110</w:t>
      </w:r>
      <w:r>
        <w:fldChar w:fldCharType="end"/>
      </w:r>
      <w:r>
        <w:t>.  In its judgment, the Chamber found that there had been a breach of Article 6 § 1 because the length of the proceedings did not satisfy the “reasonable</w:t>
      </w:r>
      <w:r w:rsidR="0008493D">
        <w:t xml:space="preserve"> </w:t>
      </w:r>
      <w:r>
        <w:t xml:space="preserve">time” requirement and that this was another example of the </w:t>
      </w:r>
      <w:r w:rsidRPr="00C653F5">
        <w:t>practice</w:t>
      </w:r>
      <w:r>
        <w:t xml:space="preserve"> referred to in the </w:t>
      </w:r>
      <w:r w:rsidRPr="006E2A84">
        <w:rPr>
          <w:i/>
        </w:rPr>
        <w:t>Bottazzi</w:t>
      </w:r>
      <w:r>
        <w:t xml:space="preserve"> judgment (see </w:t>
      </w:r>
      <w:r w:rsidR="00A42C02">
        <w:t>paragraphs</w:t>
      </w:r>
      <w:r>
        <w:t xml:space="preserve"> 22-23 of the Chamber judgment).</w:t>
      </w:r>
    </w:p>
    <w:p w:rsidR="00B66328" w:rsidP="00E71EDB" w:rsidRDefault="00B66328">
      <w:pPr>
        <w:pStyle w:val="JuPara"/>
      </w:pPr>
      <w:r>
        <w:fldChar w:fldCharType="begin"/>
      </w:r>
      <w:r>
        <w:instrText xml:space="preserve"> SEQ level0 \*arabic </w:instrText>
      </w:r>
      <w:r>
        <w:fldChar w:fldCharType="separate"/>
      </w:r>
      <w:r w:rsidR="006D3397">
        <w:rPr>
          <w:noProof/>
        </w:rPr>
        <w:t>111</w:t>
      </w:r>
      <w:r>
        <w:fldChar w:fldCharType="end"/>
      </w:r>
      <w:r>
        <w:t xml:space="preserve">.  According to the applicant, the Pinto Act had been approved hastily in order to stem the tide of applications against </w:t>
      </w:r>
      <w:smartTag w:uri="urn:schemas-microsoft-com:office:smarttags" w:element="country-region">
        <w:r>
          <w:t>Italy</w:t>
        </w:r>
      </w:smartTag>
      <w:r>
        <w:t xml:space="preserve"> and the many judgments finding a violation, which had given rise to the finding of a practice in </w:t>
      </w:r>
      <w:smartTag w:uri="urn:schemas-microsoft-com:office:smarttags" w:element="place">
        <w:smartTag w:uri="urn:schemas-microsoft-com:office:smarttags" w:element="country-region">
          <w:r>
            <w:t>Italy</w:t>
          </w:r>
        </w:smartTag>
      </w:smartTag>
      <w:r>
        <w:t xml:space="preserve"> incompatible with the Convention. By taking some of the</w:t>
      </w:r>
      <w:r w:rsidRPr="00B01AEE">
        <w:t xml:space="preserve"> </w:t>
      </w:r>
      <w:r>
        <w:t>judges off court</w:t>
      </w:r>
      <w:r w:rsidR="00736420">
        <w:t xml:space="preserve"> </w:t>
      </w:r>
      <w:r>
        <w:t>of</w:t>
      </w:r>
      <w:r w:rsidR="00736420">
        <w:t xml:space="preserve"> </w:t>
      </w:r>
      <w:r>
        <w:t xml:space="preserve">appeal cases to work on </w:t>
      </w:r>
      <w:r w:rsidR="00A4260B">
        <w:t>“</w:t>
      </w:r>
      <w:r>
        <w:t>Pinto</w:t>
      </w:r>
      <w:r w:rsidR="00A4260B">
        <w:t>”</w:t>
      </w:r>
      <w:r>
        <w:t xml:space="preserve"> applications, instead of appointing sufficient numbers of new ones, the Government had merely increased the backlog in the courts of appeal. The applicant did not see how that could prevent further violations.</w:t>
      </w:r>
    </w:p>
    <w:p w:rsidR="00B66328" w:rsidP="00E71EDB" w:rsidRDefault="00B66328">
      <w:pPr>
        <w:pStyle w:val="JuPara"/>
        <w:keepLines/>
      </w:pPr>
      <w:r>
        <w:fldChar w:fldCharType="begin"/>
      </w:r>
      <w:r>
        <w:instrText xml:space="preserve"> SEQ level0 \*arabic </w:instrText>
      </w:r>
      <w:r>
        <w:fldChar w:fldCharType="separate"/>
      </w:r>
      <w:r w:rsidR="006D3397">
        <w:rPr>
          <w:noProof/>
        </w:rPr>
        <w:t>112</w:t>
      </w:r>
      <w:r>
        <w:fldChar w:fldCharType="end"/>
      </w:r>
      <w:r>
        <w:t xml:space="preserve">.  The Government disputed the wording adopted in </w:t>
      </w:r>
      <w:r w:rsidRPr="006E2A84">
        <w:rPr>
          <w:i/>
        </w:rPr>
        <w:t>Bottazzi</w:t>
      </w:r>
      <w:r w:rsidR="00A42C02">
        <w:t xml:space="preserve"> (cited above, §</w:t>
      </w:r>
      <w:r w:rsidR="002A7BAA">
        <w:t xml:space="preserve"> </w:t>
      </w:r>
      <w:r>
        <w:t>22) regarding the existence of a “practice”</w:t>
      </w:r>
      <w:r w:rsidR="001A332F">
        <w:t xml:space="preserve"> </w:t>
      </w:r>
      <w:r w:rsidRPr="001057DD" w:rsidR="001A332F">
        <w:t>incompatible with the Convention</w:t>
      </w:r>
      <w:r>
        <w:t xml:space="preserve"> since in the present case there had not been any tolerance on the part of the State, which had taken numerous measures, including the Pinto Act, to prevent further violations.</w:t>
      </w:r>
    </w:p>
    <w:p w:rsidRPr="008213D8" w:rsidR="00B66328" w:rsidP="00B66328" w:rsidRDefault="00B66328">
      <w:pPr>
        <w:pStyle w:val="JuHA"/>
      </w:pPr>
      <w:r w:rsidRPr="008213D8">
        <w:t>A.  </w:t>
      </w:r>
      <w:r>
        <w:t xml:space="preserve">Period to be </w:t>
      </w:r>
      <w:r w:rsidR="007F1D28">
        <w:t>taken into consideration</w:t>
      </w:r>
    </w:p>
    <w:p w:rsidR="00B66328" w:rsidP="00E71EDB" w:rsidRDefault="00B66328">
      <w:pPr>
        <w:pStyle w:val="JuPara"/>
      </w:pPr>
      <w:r>
        <w:fldChar w:fldCharType="begin"/>
      </w:r>
      <w:r>
        <w:instrText xml:space="preserve"> SEQ level0 \*arabic </w:instrText>
      </w:r>
      <w:r>
        <w:fldChar w:fldCharType="separate"/>
      </w:r>
      <w:r w:rsidR="006D3397">
        <w:rPr>
          <w:noProof/>
        </w:rPr>
        <w:t>113</w:t>
      </w:r>
      <w:r>
        <w:fldChar w:fldCharType="end"/>
      </w:r>
      <w:r>
        <w:t xml:space="preserve">.  The Court </w:t>
      </w:r>
      <w:r w:rsidR="007F1D28">
        <w:t>observes</w:t>
      </w:r>
      <w:r>
        <w:t xml:space="preserve"> that its case-law on the intervention of third parties in civil proceedings makes the following distinction: where the applicant has intervened in domestic proceedings only on his or her own behalf the period to be taken into consideration begins to run from that date, whereas if the applicant has declared his or her intention to continue the proceedings as heir he or she can complain of the entire length of the proceedings (see, as the most recent authority, </w:t>
      </w:r>
      <w:r w:rsidRPr="00FE64E6">
        <w:rPr>
          <w:i/>
        </w:rPr>
        <w:t>M.Ö. v. Turkey</w:t>
      </w:r>
      <w:r>
        <w:t>, no. 26136/95, § 25, 19 May 2005).</w:t>
      </w:r>
    </w:p>
    <w:p w:rsidR="00B66328" w:rsidP="00E71EDB" w:rsidRDefault="00B66328">
      <w:pPr>
        <w:pStyle w:val="JuPara"/>
      </w:pPr>
      <w:r>
        <w:fldChar w:fldCharType="begin"/>
      </w:r>
      <w:r>
        <w:instrText xml:space="preserve"> SEQ level0 \*arabic </w:instrText>
      </w:r>
      <w:r>
        <w:fldChar w:fldCharType="separate"/>
      </w:r>
      <w:r w:rsidR="006D3397">
        <w:rPr>
          <w:noProof/>
        </w:rPr>
        <w:t>114</w:t>
      </w:r>
      <w:r>
        <w:fldChar w:fldCharType="end"/>
      </w:r>
      <w:r>
        <w:t xml:space="preserve">.  The period to be taken into consideration therefore began on </w:t>
      </w:r>
      <w:smartTag w:uri="urn:schemas-microsoft-com:office:smarttags" w:element="date">
        <w:smartTagPr>
          <w:attr w:name="Month" w:val="7"/>
          <w:attr w:name="Day" w:val="15"/>
          <w:attr w:name="Year" w:val="1994"/>
        </w:smartTagPr>
        <w:r>
          <w:t>15 July 1994</w:t>
        </w:r>
      </w:smartTag>
      <w:r>
        <w:t xml:space="preserve"> when proceedings were instituted at the registry of </w:t>
      </w:r>
      <w:r w:rsidR="0007632C">
        <w:t xml:space="preserve">the </w:t>
      </w:r>
      <w:r w:rsidRPr="005367BA">
        <w:t xml:space="preserve">Benevento </w:t>
      </w:r>
      <w:r>
        <w:t>M</w:t>
      </w:r>
      <w:r w:rsidRPr="005367BA">
        <w:t>agistrate</w:t>
      </w:r>
      <w:r w:rsidR="00C01D3E">
        <w:t>’</w:t>
      </w:r>
      <w:r w:rsidRPr="005367BA">
        <w:t xml:space="preserve">s </w:t>
      </w:r>
      <w:r>
        <w:t>C</w:t>
      </w:r>
      <w:r w:rsidRPr="005367BA">
        <w:t>ourt</w:t>
      </w:r>
      <w:r>
        <w:t xml:space="preserve">, sitting as an employment tribunal, and ended on </w:t>
      </w:r>
      <w:smartTag w:uri="urn:schemas-microsoft-com:office:smarttags" w:element="date">
        <w:smartTagPr>
          <w:attr w:name="Month" w:val="3"/>
          <w:attr w:name="Day" w:val="21"/>
          <w:attr w:name="Year" w:val="2003"/>
        </w:smartTagPr>
        <w:r>
          <w:t>21</w:t>
        </w:r>
        <w:r w:rsidR="002A7BAA">
          <w:t xml:space="preserve"> </w:t>
        </w:r>
        <w:r>
          <w:t>March 2003</w:t>
        </w:r>
      </w:smartTag>
      <w:r>
        <w:t>, when the appeal judgment was deposited with the registry. It therefore lasted just over eight years and eight months for two levels of jurisdiction.</w:t>
      </w:r>
    </w:p>
    <w:p w:rsidR="00B66328" w:rsidP="00E71EDB" w:rsidRDefault="00B66328">
      <w:pPr>
        <w:pStyle w:val="JuPara"/>
      </w:pPr>
      <w:r>
        <w:fldChar w:fldCharType="begin"/>
      </w:r>
      <w:r>
        <w:instrText xml:space="preserve"> SEQ level0 \*arabic </w:instrText>
      </w:r>
      <w:r>
        <w:fldChar w:fldCharType="separate"/>
      </w:r>
      <w:r w:rsidR="006D3397">
        <w:rPr>
          <w:noProof/>
        </w:rPr>
        <w:t>115</w:t>
      </w:r>
      <w:r>
        <w:fldChar w:fldCharType="end"/>
      </w:r>
      <w:r>
        <w:t xml:space="preserve">.  The Court notes that the Court of Appeal assessed the length of proceedings at the date of its decision, namely, </w:t>
      </w:r>
      <w:smartTag w:uri="urn:schemas-microsoft-com:office:smarttags" w:element="date">
        <w:smartTagPr>
          <w:attr w:name="Month" w:val="3"/>
          <w:attr w:name="Day" w:val="7"/>
          <w:attr w:name="Year" w:val="2002"/>
        </w:smartTagPr>
        <w:r>
          <w:t>7 March 2002</w:t>
        </w:r>
      </w:smartTag>
      <w:r>
        <w:t>. Accordingly, a period of twelve months could not be taken into account by the Court of Appeal.</w:t>
      </w:r>
    </w:p>
    <w:p w:rsidRPr="00104DC4" w:rsidR="00B66328" w:rsidP="00E71EDB" w:rsidRDefault="00B66328">
      <w:pPr>
        <w:pStyle w:val="JuPara"/>
        <w:rPr>
          <w:i/>
        </w:rPr>
      </w:pPr>
      <w:r>
        <w:fldChar w:fldCharType="begin"/>
      </w:r>
      <w:r>
        <w:instrText xml:space="preserve"> SEQ level0 \*arabic </w:instrText>
      </w:r>
      <w:r>
        <w:fldChar w:fldCharType="separate"/>
      </w:r>
      <w:r w:rsidR="006D3397">
        <w:rPr>
          <w:noProof/>
        </w:rPr>
        <w:t>116</w:t>
      </w:r>
      <w:r>
        <w:fldChar w:fldCharType="end"/>
      </w:r>
      <w:r>
        <w:t>.  The Court notes that the Government did not dispute the length of proceedings taken into consideration by the Chamber; that the applicant cannot in any case now go back before a court of appeal to seek application of the new precedent set by the Court of Cassation on 26</w:t>
      </w:r>
      <w:r w:rsidR="002A7BAA">
        <w:t xml:space="preserve"> </w:t>
      </w:r>
      <w:r>
        <w:t xml:space="preserve">January 2004 (see judgment no. 1339); and that the remaining period of twelve months was not sufficient in itself to amount to a second breach </w:t>
      </w:r>
      <w:r w:rsidR="00A42C02">
        <w:t xml:space="preserve">in respect </w:t>
      </w:r>
      <w:r>
        <w:t>of the same set of proceedings (</w:t>
      </w:r>
      <w:r w:rsidR="007F1D28">
        <w:t>contrast</w:t>
      </w:r>
      <w:r>
        <w:t xml:space="preserve"> </w:t>
      </w:r>
      <w:r w:rsidRPr="00104DC4">
        <w:rPr>
          <w:i/>
        </w:rPr>
        <w:t>Rotondi v. Italy</w:t>
      </w:r>
      <w:r>
        <w:t>, no.</w:t>
      </w:r>
      <w:r w:rsidR="002A7BAA">
        <w:t xml:space="preserve"> </w:t>
      </w:r>
      <w:r w:rsidRPr="00104DC4">
        <w:t>38113/97, §</w:t>
      </w:r>
      <w:r>
        <w:t>§ 14</w:t>
      </w:r>
      <w:r w:rsidRPr="002A7BAA" w:rsidR="002A7BAA">
        <w:t>-</w:t>
      </w:r>
      <w:r>
        <w:t>16</w:t>
      </w:r>
      <w:r w:rsidRPr="00104DC4">
        <w:t>, 27 April 2000</w:t>
      </w:r>
      <w:r>
        <w:t xml:space="preserve">, and </w:t>
      </w:r>
      <w:r w:rsidRPr="00104DC4">
        <w:rPr>
          <w:i/>
        </w:rPr>
        <w:t>S.A.GE.MA S.</w:t>
      </w:r>
      <w:r w:rsidR="007F1D28">
        <w:rPr>
          <w:i/>
        </w:rPr>
        <w:t>n</w:t>
      </w:r>
      <w:r w:rsidRPr="00104DC4">
        <w:rPr>
          <w:i/>
        </w:rPr>
        <w:t>.</w:t>
      </w:r>
      <w:r w:rsidR="007F1D28">
        <w:rPr>
          <w:i/>
        </w:rPr>
        <w:t>c</w:t>
      </w:r>
      <w:r w:rsidRPr="00104DC4">
        <w:rPr>
          <w:i/>
        </w:rPr>
        <w:t>. v. Italy</w:t>
      </w:r>
      <w:r>
        <w:t>, no.</w:t>
      </w:r>
      <w:r w:rsidR="002A7BAA">
        <w:t xml:space="preserve"> </w:t>
      </w:r>
      <w:r w:rsidRPr="00104DC4">
        <w:t xml:space="preserve">40184/98, §§ </w:t>
      </w:r>
      <w:r>
        <w:t>12-14</w:t>
      </w:r>
      <w:r w:rsidRPr="00104DC4">
        <w:t>, 27 April 2000</w:t>
      </w:r>
      <w:r>
        <w:t>). Accordingly, the Court considers that since the applicant can claim to be a “victim” of the length of the proceedings, it can take into consideration the entire domestic proceedings on the merits and not only those already examined by the Court of Appeal (</w:t>
      </w:r>
      <w:r w:rsidR="007F1D28">
        <w:t>contrast</w:t>
      </w:r>
      <w:r>
        <w:t xml:space="preserve"> </w:t>
      </w:r>
      <w:r w:rsidRPr="00104DC4">
        <w:rPr>
          <w:i/>
        </w:rPr>
        <w:t>Gattuso v. Italy</w:t>
      </w:r>
      <w:r w:rsidRPr="00104DC4">
        <w:t xml:space="preserve"> </w:t>
      </w:r>
      <w:r>
        <w:t xml:space="preserve">(dec.), </w:t>
      </w:r>
      <w:r w:rsidRPr="00104DC4">
        <w:t xml:space="preserve">no. </w:t>
      </w:r>
      <w:r>
        <w:t>24715/04,</w:t>
      </w:r>
      <w:r w:rsidRPr="00104DC4">
        <w:t xml:space="preserve"> </w:t>
      </w:r>
      <w:r>
        <w:t>18 November</w:t>
      </w:r>
      <w:r w:rsidRPr="00104DC4">
        <w:t xml:space="preserve"> 200</w:t>
      </w:r>
      <w:r>
        <w:t>4).</w:t>
      </w:r>
    </w:p>
    <w:p w:rsidR="00B66328" w:rsidP="00E71EDB" w:rsidRDefault="00B66328">
      <w:pPr>
        <w:pStyle w:val="JuHA"/>
      </w:pPr>
      <w:r w:rsidRPr="008430D7">
        <w:t>B.  </w:t>
      </w:r>
      <w:r>
        <w:t>Reasonableness of the length of the proceedings</w:t>
      </w:r>
    </w:p>
    <w:p w:rsidRPr="003665CE" w:rsidR="00B66328" w:rsidP="00E71EDB" w:rsidRDefault="00B66328">
      <w:pPr>
        <w:pStyle w:val="JuPara"/>
        <w:keepNext/>
        <w:keepLines/>
      </w:pPr>
      <w:r>
        <w:fldChar w:fldCharType="begin"/>
      </w:r>
      <w:r>
        <w:instrText xml:space="preserve"> SEQ level0 \*arabic </w:instrText>
      </w:r>
      <w:r>
        <w:fldChar w:fldCharType="separate"/>
      </w:r>
      <w:r w:rsidR="006D3397">
        <w:rPr>
          <w:noProof/>
        </w:rPr>
        <w:t>117</w:t>
      </w:r>
      <w:r>
        <w:fldChar w:fldCharType="end"/>
      </w:r>
      <w:r>
        <w:t>.  </w:t>
      </w:r>
      <w:r w:rsidRPr="003665CE">
        <w:t xml:space="preserve">The Court has already reiterated the reasons that led it to conclude in the four judgments against </w:t>
      </w:r>
      <w:smartTag w:uri="urn:schemas-microsoft-com:office:smarttags" w:element="country-region">
        <w:r w:rsidRPr="003665CE">
          <w:t>Italy</w:t>
        </w:r>
      </w:smartTag>
      <w:r w:rsidRPr="003665CE">
        <w:t xml:space="preserve"> of </w:t>
      </w:r>
      <w:smartTag w:uri="urn:schemas-microsoft-com:office:smarttags" w:element="date">
        <w:smartTagPr>
          <w:attr w:name="Month" w:val="7"/>
          <w:attr w:name="Day" w:val="28"/>
          <w:attr w:name="Year" w:val="1999"/>
        </w:smartTagPr>
        <w:r w:rsidRPr="003665CE">
          <w:t>28 July 1999</w:t>
        </w:r>
      </w:smartTag>
      <w:r w:rsidRPr="003665CE">
        <w:t xml:space="preserve"> (</w:t>
      </w:r>
      <w:r w:rsidRPr="003665CE">
        <w:rPr>
          <w:i/>
          <w:lang w:eastAsia="en-US"/>
        </w:rPr>
        <w:t>Bottazzi</w:t>
      </w:r>
      <w:r w:rsidRPr="003665CE">
        <w:rPr>
          <w:lang w:eastAsia="en-US"/>
        </w:rPr>
        <w:t xml:space="preserve">, </w:t>
      </w:r>
      <w:r>
        <w:rPr>
          <w:lang w:eastAsia="en-US"/>
        </w:rPr>
        <w:t>§</w:t>
      </w:r>
      <w:r w:rsidR="002A7BAA">
        <w:rPr>
          <w:lang w:eastAsia="en-US"/>
        </w:rPr>
        <w:t xml:space="preserve"> </w:t>
      </w:r>
      <w:r>
        <w:rPr>
          <w:lang w:eastAsia="en-US"/>
        </w:rPr>
        <w:t>22;</w:t>
      </w:r>
      <w:r w:rsidRPr="003665CE">
        <w:rPr>
          <w:i/>
          <w:lang w:eastAsia="en-US"/>
        </w:rPr>
        <w:t xml:space="preserve"> Ferrari</w:t>
      </w:r>
      <w:r w:rsidRPr="003665CE">
        <w:rPr>
          <w:lang w:eastAsia="en-US"/>
        </w:rPr>
        <w:t xml:space="preserve">, </w:t>
      </w:r>
      <w:r>
        <w:rPr>
          <w:lang w:eastAsia="en-US"/>
        </w:rPr>
        <w:t>§</w:t>
      </w:r>
      <w:r w:rsidR="002A7BAA">
        <w:rPr>
          <w:lang w:eastAsia="en-US"/>
        </w:rPr>
        <w:t xml:space="preserve"> </w:t>
      </w:r>
      <w:r>
        <w:rPr>
          <w:lang w:eastAsia="en-US"/>
        </w:rPr>
        <w:t>21;</w:t>
      </w:r>
      <w:r w:rsidRPr="003665CE">
        <w:rPr>
          <w:lang w:eastAsia="en-US"/>
        </w:rPr>
        <w:t xml:space="preserve"> </w:t>
      </w:r>
      <w:r w:rsidRPr="003665CE">
        <w:rPr>
          <w:i/>
          <w:lang w:eastAsia="en-US"/>
        </w:rPr>
        <w:t>A.P</w:t>
      </w:r>
      <w:r w:rsidR="007F1D28">
        <w:rPr>
          <w:i/>
          <w:lang w:eastAsia="en-US"/>
        </w:rPr>
        <w:t xml:space="preserve"> v. Italy</w:t>
      </w:r>
      <w:r w:rsidRPr="003665CE">
        <w:rPr>
          <w:i/>
          <w:lang w:eastAsia="en-US"/>
        </w:rPr>
        <w:t>,</w:t>
      </w:r>
      <w:r>
        <w:rPr>
          <w:lang w:eastAsia="en-US"/>
        </w:rPr>
        <w:t xml:space="preserve"> §</w:t>
      </w:r>
      <w:r w:rsidR="002A7BAA">
        <w:rPr>
          <w:lang w:eastAsia="en-US"/>
        </w:rPr>
        <w:t xml:space="preserve"> </w:t>
      </w:r>
      <w:r>
        <w:rPr>
          <w:lang w:eastAsia="en-US"/>
        </w:rPr>
        <w:t>18; and</w:t>
      </w:r>
      <w:r w:rsidRPr="003665CE">
        <w:rPr>
          <w:lang w:eastAsia="en-US"/>
        </w:rPr>
        <w:t xml:space="preserve"> </w:t>
      </w:r>
      <w:r w:rsidRPr="00A83024">
        <w:rPr>
          <w:i/>
          <w:lang w:eastAsia="en-US"/>
        </w:rPr>
        <w:t>Di</w:t>
      </w:r>
      <w:r w:rsidR="002A7BAA">
        <w:rPr>
          <w:i/>
          <w:lang w:eastAsia="en-US"/>
        </w:rPr>
        <w:t xml:space="preserve"> </w:t>
      </w:r>
      <w:r w:rsidRPr="00A83024">
        <w:rPr>
          <w:i/>
          <w:lang w:eastAsia="en-US"/>
        </w:rPr>
        <w:t>Mauro</w:t>
      </w:r>
      <w:r w:rsidRPr="003665CE">
        <w:rPr>
          <w:i/>
          <w:lang w:eastAsia="en-US"/>
        </w:rPr>
        <w:t>,</w:t>
      </w:r>
      <w:r w:rsidRPr="003665CE">
        <w:rPr>
          <w:lang w:eastAsia="en-US"/>
        </w:rPr>
        <w:t xml:space="preserve"> </w:t>
      </w:r>
      <w:r w:rsidRPr="00A83024">
        <w:rPr>
          <w:lang w:eastAsia="en-US"/>
        </w:rPr>
        <w:t>§ 23</w:t>
      </w:r>
      <w:r w:rsidRPr="003665CE">
        <w:t xml:space="preserve">) </w:t>
      </w:r>
      <w:r>
        <w:t xml:space="preserve">that there was a practice in </w:t>
      </w:r>
      <w:smartTag w:uri="urn:schemas-microsoft-com:office:smarttags" w:element="place">
        <w:smartTag w:uri="urn:schemas-microsoft-com:office:smarttags" w:element="country-region">
          <w:r>
            <w:t>Italy</w:t>
          </w:r>
        </w:smartTag>
      </w:smartTag>
      <w:r w:rsidRPr="003665CE">
        <w:t xml:space="preserve"> (</w:t>
      </w:r>
      <w:r>
        <w:t>see paragraph</w:t>
      </w:r>
      <w:r w:rsidRPr="003665CE">
        <w:t xml:space="preserve"> </w:t>
      </w:r>
      <w:r w:rsidRPr="001057DD">
        <w:t>6</w:t>
      </w:r>
      <w:r w:rsidRPr="001057DD" w:rsidR="00D64793">
        <w:t>6</w:t>
      </w:r>
      <w:r w:rsidRPr="003665CE">
        <w:t xml:space="preserve"> </w:t>
      </w:r>
      <w:r>
        <w:t>above</w:t>
      </w:r>
      <w:r w:rsidRPr="003665CE">
        <w:t>).</w:t>
      </w:r>
    </w:p>
    <w:p w:rsidR="00A31EB8" w:rsidP="00E71EDB" w:rsidRDefault="00B66328">
      <w:pPr>
        <w:pStyle w:val="JuPara"/>
      </w:pPr>
      <w:r>
        <w:fldChar w:fldCharType="begin"/>
      </w:r>
      <w:r>
        <w:instrText xml:space="preserve"> SEQ level0 \*arabic </w:instrText>
      </w:r>
      <w:r>
        <w:fldChar w:fldCharType="separate"/>
      </w:r>
      <w:r w:rsidR="006D3397">
        <w:rPr>
          <w:noProof/>
        </w:rPr>
        <w:t>118</w:t>
      </w:r>
      <w:r>
        <w:fldChar w:fldCharType="end"/>
      </w:r>
      <w:r>
        <w:t>.  </w:t>
      </w:r>
      <w:r w:rsidR="00D26B46">
        <w:t xml:space="preserve">It </w:t>
      </w:r>
      <w:r>
        <w:t>notes that, as the Government have</w:t>
      </w:r>
      <w:r w:rsidRPr="0044651A">
        <w:t xml:space="preserve"> </w:t>
      </w:r>
      <w:r>
        <w:t>stressed, a domestic remedy</w:t>
      </w:r>
      <w:r w:rsidRPr="00BB1167">
        <w:t xml:space="preserve"> has since </w:t>
      </w:r>
      <w:r>
        <w:t>been introduced</w:t>
      </w:r>
      <w:r w:rsidRPr="00BB1167">
        <w:t xml:space="preserve">. However, </w:t>
      </w:r>
      <w:r w:rsidRPr="001057DD">
        <w:t>that has not changed</w:t>
      </w:r>
      <w:r w:rsidRPr="00BB1167">
        <w:t xml:space="preserve"> the substantive problem, namely, the </w:t>
      </w:r>
      <w:r>
        <w:t xml:space="preserve">fact that the length of proceedings in </w:t>
      </w:r>
      <w:smartTag w:uri="urn:schemas-microsoft-com:office:smarttags" w:element="place">
        <w:smartTag w:uri="urn:schemas-microsoft-com:office:smarttags" w:element="country-region">
          <w:r>
            <w:t>Italy</w:t>
          </w:r>
        </w:smartTag>
      </w:smartTag>
      <w:r>
        <w:t xml:space="preserve"> continues to be</w:t>
      </w:r>
      <w:r w:rsidRPr="00BB1167">
        <w:t xml:space="preserve"> excessive. </w:t>
      </w:r>
      <w:r w:rsidRPr="007035FA">
        <w:t>The annual reports of the Committee of Ministers on the excessive length of judicial proceedings in</w:t>
      </w:r>
      <w:r>
        <w:t xml:space="preserve"> </w:t>
      </w:r>
      <w:smartTag w:uri="urn:schemas-microsoft-com:office:smarttags" w:element="place">
        <w:smartTag w:uri="urn:schemas-microsoft-com:office:smarttags" w:element="country-region">
          <w:r>
            <w:t>Italy</w:t>
          </w:r>
        </w:smartTag>
      </w:smartTag>
      <w:r>
        <w:t xml:space="preserve"> (see, </w:t>
      </w:r>
      <w:r w:rsidRPr="007035FA">
        <w:rPr>
          <w:i/>
        </w:rPr>
        <w:t>inter alia</w:t>
      </w:r>
      <w:r>
        <w:t>,</w:t>
      </w:r>
      <w:r w:rsidRPr="007035FA">
        <w:t xml:space="preserve"> CM/Inf/DH(2004)23 </w:t>
      </w:r>
      <w:r>
        <w:t>revised, and Interim Resolution ResDH(2005)114</w:t>
      </w:r>
      <w:r w:rsidRPr="007035FA">
        <w:t xml:space="preserve">) </w:t>
      </w:r>
      <w:r>
        <w:t>scarcely seem to reflect substantial changes in this area</w:t>
      </w:r>
      <w:r w:rsidRPr="007035FA">
        <w:t>. Like the applicant, the Court does not see how the</w:t>
      </w:r>
      <w:r>
        <w:t xml:space="preserve"> introduction of the P</w:t>
      </w:r>
      <w:r w:rsidRPr="007035FA">
        <w:t xml:space="preserve">into </w:t>
      </w:r>
      <w:r>
        <w:t>remedy at</w:t>
      </w:r>
      <w:r w:rsidRPr="007035FA">
        <w:t xml:space="preserve"> </w:t>
      </w:r>
      <w:r>
        <w:t xml:space="preserve">domestic level has solved the problem of </w:t>
      </w:r>
      <w:r w:rsidR="005D2887">
        <w:t>excessively lengthy</w:t>
      </w:r>
      <w:r>
        <w:t xml:space="preserve"> proceedings</w:t>
      </w:r>
      <w:r w:rsidRPr="007035FA">
        <w:t xml:space="preserve">. </w:t>
      </w:r>
      <w:r w:rsidRPr="00FB0C87">
        <w:t xml:space="preserve">It has admittedly </w:t>
      </w:r>
      <w:r w:rsidR="005D2887">
        <w:t>saved</w:t>
      </w:r>
      <w:r w:rsidRPr="00FB0C87">
        <w:t xml:space="preserve"> </w:t>
      </w:r>
      <w:r>
        <w:t>the Court</w:t>
      </w:r>
      <w:r w:rsidR="005D2887">
        <w:t xml:space="preserve"> the trouble of</w:t>
      </w:r>
      <w:r>
        <w:t xml:space="preserve"> </w:t>
      </w:r>
      <w:r w:rsidRPr="00FB0C87">
        <w:t>finding</w:t>
      </w:r>
      <w:r>
        <w:t xml:space="preserve"> the</w:t>
      </w:r>
      <w:r w:rsidRPr="00FB0C87">
        <w:t>se violations, but th</w:t>
      </w:r>
      <w:r>
        <w:t>e</w:t>
      </w:r>
      <w:r w:rsidRPr="00FB0C87">
        <w:t xml:space="preserve"> task has simply </w:t>
      </w:r>
      <w:r>
        <w:t xml:space="preserve">been transferred to the courts of appeal, which were </w:t>
      </w:r>
      <w:r w:rsidRPr="001057DD">
        <w:t>already overburdened</w:t>
      </w:r>
      <w:r w:rsidR="007F1D28">
        <w:t xml:space="preserve"> themselves</w:t>
      </w:r>
      <w:r w:rsidRPr="001057DD">
        <w:t>.</w:t>
      </w:r>
      <w:r w:rsidRPr="00FB0C87">
        <w:t xml:space="preserve"> Furthermore, </w:t>
      </w:r>
      <w:r>
        <w:t xml:space="preserve">given the occasional divergence </w:t>
      </w:r>
      <w:r w:rsidRPr="00FB0C87">
        <w:t>between the case-law of the Court of Cassation (see paragraphs 24-</w:t>
      </w:r>
      <w:r w:rsidRPr="001057DD">
        <w:t>3</w:t>
      </w:r>
      <w:r w:rsidRPr="001057DD" w:rsidR="00E650E8">
        <w:t>1</w:t>
      </w:r>
      <w:r>
        <w:t xml:space="preserve"> above</w:t>
      </w:r>
      <w:r w:rsidRPr="00FB0C87">
        <w:t>) and that of the Court,</w:t>
      </w:r>
      <w:r>
        <w:t xml:space="preserve"> the latter is again required to give a decision as to the </w:t>
      </w:r>
      <w:r w:rsidRPr="00FB0C87">
        <w:t xml:space="preserve">existence </w:t>
      </w:r>
      <w:r>
        <w:t>of such</w:t>
      </w:r>
      <w:r w:rsidRPr="00FB0C87">
        <w:t xml:space="preserve"> violations.</w:t>
      </w:r>
    </w:p>
    <w:p w:rsidR="00B66328" w:rsidP="00E71EDB" w:rsidRDefault="00B66328">
      <w:pPr>
        <w:pStyle w:val="JuPara"/>
      </w:pPr>
      <w:r>
        <w:fldChar w:fldCharType="begin"/>
      </w:r>
      <w:r>
        <w:instrText xml:space="preserve"> SEQ level0 \*arabic </w:instrText>
      </w:r>
      <w:r>
        <w:fldChar w:fldCharType="separate"/>
      </w:r>
      <w:r w:rsidR="006D3397">
        <w:rPr>
          <w:noProof/>
        </w:rPr>
        <w:t>119</w:t>
      </w:r>
      <w:r>
        <w:fldChar w:fldCharType="end"/>
      </w:r>
      <w:r>
        <w:t>.  The Court emphasises on</w:t>
      </w:r>
      <w:r w:rsidRPr="005A0B60">
        <w:t>ce again that Article 6 § 1 of the Convention obliges the Contracting State</w:t>
      </w:r>
      <w:r>
        <w:t>s</w:t>
      </w:r>
      <w:r w:rsidRPr="005A0B60">
        <w:t xml:space="preserve"> to organise their legal systems so as to enable the courts to comply with its various requirements. </w:t>
      </w:r>
      <w:r w:rsidRPr="002B5E42">
        <w:t xml:space="preserve">It wishes to reaffirm the importance of administering justice without delays which might jeopardise its effectiveness and credibility (see </w:t>
      </w:r>
      <w:r w:rsidRPr="002B5E42">
        <w:rPr>
          <w:i/>
        </w:rPr>
        <w:t>Bottazzi</w:t>
      </w:r>
      <w:r w:rsidRPr="002B5E42">
        <w:t xml:space="preserve">, </w:t>
      </w:r>
      <w:r>
        <w:t>cited above</w:t>
      </w:r>
      <w:r w:rsidRPr="002B5E42">
        <w:t xml:space="preserve">, § 22). </w:t>
      </w:r>
      <w:r>
        <w:t>Italy</w:t>
      </w:r>
      <w:r w:rsidR="00C01D3E">
        <w:t>’</w:t>
      </w:r>
      <w:r>
        <w:t xml:space="preserve">s </w:t>
      </w:r>
      <w:r w:rsidRPr="002B5E42">
        <w:t xml:space="preserve">position in this regard has not changed sufficiently to </w:t>
      </w:r>
      <w:r>
        <w:t>call into question</w:t>
      </w:r>
      <w:r w:rsidRPr="002B5E42">
        <w:t xml:space="preserve"> the </w:t>
      </w:r>
      <w:r>
        <w:t>conclusion that t</w:t>
      </w:r>
      <w:r w:rsidRPr="002B5E42">
        <w:t>his accumulation of breaches constitutes a practice that is incompatible with the Convention</w:t>
      </w:r>
      <w:r>
        <w:t>.</w:t>
      </w:r>
    </w:p>
    <w:p w:rsidRPr="002B5E42" w:rsidR="00B66328" w:rsidP="00E71EDB" w:rsidRDefault="00B66328">
      <w:pPr>
        <w:pStyle w:val="JuPara"/>
      </w:pPr>
      <w:r>
        <w:fldChar w:fldCharType="begin"/>
      </w:r>
      <w:r>
        <w:instrText xml:space="preserve"> SEQ level0 \*arabic </w:instrText>
      </w:r>
      <w:r>
        <w:fldChar w:fldCharType="separate"/>
      </w:r>
      <w:r w:rsidR="006D3397">
        <w:rPr>
          <w:noProof/>
        </w:rPr>
        <w:t>120</w:t>
      </w:r>
      <w:r>
        <w:fldChar w:fldCharType="end"/>
      </w:r>
      <w:r>
        <w:t>.  </w:t>
      </w:r>
      <w:r w:rsidRPr="002B5E42">
        <w:t>The Court notes that in the present case the Court of Appeal also found that a reasonable time had</w:t>
      </w:r>
      <w:r>
        <w:t xml:space="preserve"> been exceeded </w:t>
      </w:r>
      <w:r w:rsidRPr="001057DD" w:rsidR="00E7504E">
        <w:t>in respect of</w:t>
      </w:r>
      <w:r w:rsidRPr="001057DD">
        <w:t xml:space="preserve"> a</w:t>
      </w:r>
      <w:r w:rsidRPr="001057DD" w:rsidR="00E7504E">
        <w:t xml:space="preserve"> shorter</w:t>
      </w:r>
      <w:r w:rsidRPr="001057DD">
        <w:t xml:space="preserve"> period</w:t>
      </w:r>
      <w:r>
        <w:t xml:space="preserve"> than the one taken into consideration by the Court</w:t>
      </w:r>
      <w:r w:rsidRPr="002B5E42">
        <w:t xml:space="preserve">. However, the fact that the </w:t>
      </w:r>
      <w:r>
        <w:t>“</w:t>
      </w:r>
      <w:r w:rsidRPr="002B5E42">
        <w:t>Pinto</w:t>
      </w:r>
      <w:r>
        <w:t>”</w:t>
      </w:r>
      <w:r w:rsidRPr="002B5E42">
        <w:t xml:space="preserve"> proceedings</w:t>
      </w:r>
      <w:r>
        <w:t>,</w:t>
      </w:r>
      <w:r w:rsidRPr="002B5E42">
        <w:t xml:space="preserve"> examined as a whole, and particularly the execution stage</w:t>
      </w:r>
      <w:r>
        <w:t>,</w:t>
      </w:r>
      <w:r w:rsidRPr="002B5E42">
        <w:t xml:space="preserve"> did not </w:t>
      </w:r>
      <w:r>
        <w:t>cause</w:t>
      </w:r>
      <w:r w:rsidRPr="00BB61D2">
        <w:t xml:space="preserve"> the applicant</w:t>
      </w:r>
      <w:r>
        <w:t xml:space="preserve"> to lose his</w:t>
      </w:r>
      <w:r w:rsidRPr="002B5E42">
        <w:t xml:space="preserve"> </w:t>
      </w:r>
      <w:r>
        <w:t>“</w:t>
      </w:r>
      <w:r w:rsidRPr="002B5E42">
        <w:t>victim</w:t>
      </w:r>
      <w:r>
        <w:t>”</w:t>
      </w:r>
      <w:r w:rsidRPr="002B5E42">
        <w:t xml:space="preserve"> st</w:t>
      </w:r>
      <w:r>
        <w:t>atus constitutes an aggravating circumstance regarding a breach of Ar</w:t>
      </w:r>
      <w:r w:rsidRPr="002B5E42">
        <w:t xml:space="preserve">ticle 6 § 1 </w:t>
      </w:r>
      <w:r>
        <w:t>for exceeding the reasonable time. The Court will therefore re</w:t>
      </w:r>
      <w:r w:rsidR="007F1D28">
        <w:t>turn</w:t>
      </w:r>
      <w:r>
        <w:t xml:space="preserve"> to this issue </w:t>
      </w:r>
      <w:r w:rsidR="007F1D28">
        <w:t>in the context of</w:t>
      </w:r>
      <w:r>
        <w:t xml:space="preserve"> A</w:t>
      </w:r>
      <w:r w:rsidR="00E71EDB">
        <w:t>rticle</w:t>
      </w:r>
      <w:r w:rsidR="002A7BAA">
        <w:t xml:space="preserve"> </w:t>
      </w:r>
      <w:r w:rsidRPr="002B5E42">
        <w:t>41.</w:t>
      </w:r>
    </w:p>
    <w:p w:rsidR="00A31EB8" w:rsidP="00E71EDB" w:rsidRDefault="00B66328">
      <w:pPr>
        <w:pStyle w:val="JuPara"/>
      </w:pPr>
      <w:r>
        <w:fldChar w:fldCharType="begin"/>
      </w:r>
      <w:r w:rsidRPr="00E70362">
        <w:instrText xml:space="preserve"> SEQ level0 \*arabic </w:instrText>
      </w:r>
      <w:r>
        <w:fldChar w:fldCharType="separate"/>
      </w:r>
      <w:r w:rsidR="006D3397">
        <w:rPr>
          <w:noProof/>
        </w:rPr>
        <w:t>121</w:t>
      </w:r>
      <w:r>
        <w:fldChar w:fldCharType="end"/>
      </w:r>
      <w:r w:rsidRPr="00E70362">
        <w:t>.  </w:t>
      </w:r>
      <w:r w:rsidR="009C75D4">
        <w:t xml:space="preserve">After </w:t>
      </w:r>
      <w:r w:rsidRPr="00B85940">
        <w:t>examin</w:t>
      </w:r>
      <w:r w:rsidR="009C75D4">
        <w:t>ing</w:t>
      </w:r>
      <w:r w:rsidRPr="00B85940">
        <w:t xml:space="preserve"> the facts in the light of the information provided by the parties </w:t>
      </w:r>
      <w:r>
        <w:t>and the aforementioned practice</w:t>
      </w:r>
      <w:r w:rsidR="009C75D4">
        <w:t>, and h</w:t>
      </w:r>
      <w:r w:rsidRPr="00B85940">
        <w:t>aving regard to its case-law</w:t>
      </w:r>
      <w:r>
        <w:t xml:space="preserve"> on the subject</w:t>
      </w:r>
      <w:r w:rsidRPr="00B85940">
        <w:t>, the Court considers that in the present case the length of the proceedings was excessive and failed to meet the “</w:t>
      </w:r>
      <w:r>
        <w:t>reasonable</w:t>
      </w:r>
      <w:r w:rsidR="007F1D28">
        <w:t xml:space="preserve"> </w:t>
      </w:r>
      <w:r>
        <w:t>time</w:t>
      </w:r>
      <w:r w:rsidRPr="00B85940">
        <w:t>” requirement.</w:t>
      </w:r>
    </w:p>
    <w:p w:rsidRPr="00B85940" w:rsidR="00B66328" w:rsidP="00E71EDB" w:rsidRDefault="00B66328">
      <w:pPr>
        <w:pStyle w:val="JuPara"/>
      </w:pPr>
      <w:r w:rsidRPr="00B85940">
        <w:t>Accordingly, there has been a violation of Article 6 §</w:t>
      </w:r>
      <w:r w:rsidR="002A7BAA">
        <w:t xml:space="preserve"> </w:t>
      </w:r>
      <w:r w:rsidRPr="00B85940">
        <w:t>1</w:t>
      </w:r>
      <w:r w:rsidR="007F1D28">
        <w:t xml:space="preserve"> of the Convention</w:t>
      </w:r>
      <w:r w:rsidRPr="00B85940">
        <w:t>.</w:t>
      </w:r>
    </w:p>
    <w:p w:rsidR="00B66328" w:rsidP="00B66328" w:rsidRDefault="00B66328">
      <w:pPr>
        <w:pStyle w:val="JuHIRoman"/>
      </w:pPr>
      <w:r>
        <w:t>III.</w:t>
      </w:r>
      <w:r w:rsidR="007F1D28">
        <w:t> </w:t>
      </w:r>
      <w:r>
        <w:t> </w:t>
      </w:r>
      <w:r w:rsidRPr="008213D8">
        <w:t>ALLEGED VIOLATION OF ARTICLE</w:t>
      </w:r>
      <w:r>
        <w:t>S</w:t>
      </w:r>
      <w:r w:rsidRPr="008213D8">
        <w:t xml:space="preserve"> </w:t>
      </w:r>
      <w:r>
        <w:t>13, 17 AND 34</w:t>
      </w:r>
      <w:r w:rsidRPr="008213D8">
        <w:t xml:space="preserve"> OF THE CONVENTION</w:t>
      </w:r>
    </w:p>
    <w:p w:rsidRPr="005F0658" w:rsidR="00B66328" w:rsidP="00E71EDB" w:rsidRDefault="00B66328">
      <w:pPr>
        <w:pStyle w:val="JuPara"/>
      </w:pPr>
      <w:r>
        <w:fldChar w:fldCharType="begin"/>
      </w:r>
      <w:r w:rsidRPr="00E70362">
        <w:instrText xml:space="preserve"> SEQ level0 \*arabic </w:instrText>
      </w:r>
      <w:r>
        <w:fldChar w:fldCharType="separate"/>
      </w:r>
      <w:r w:rsidR="006D3397">
        <w:rPr>
          <w:noProof/>
        </w:rPr>
        <w:t>122</w:t>
      </w:r>
      <w:r>
        <w:fldChar w:fldCharType="end"/>
      </w:r>
      <w:r w:rsidRPr="00E70362">
        <w:t>.  </w:t>
      </w:r>
      <w:r w:rsidRPr="00B85940">
        <w:t xml:space="preserve">In </w:t>
      </w:r>
      <w:r>
        <w:t>the</w:t>
      </w:r>
      <w:r w:rsidRPr="00B85940">
        <w:t xml:space="preserve"> pleadings lodged with the Court in 2005</w:t>
      </w:r>
      <w:r w:rsidR="007F1D28">
        <w:t>,</w:t>
      </w:r>
      <w:r w:rsidRPr="00B85940">
        <w:t xml:space="preserve"> the applicant appeared to consider that Articles 13 and 17 had been breached and asked the Court to find that a </w:t>
      </w:r>
      <w:r w:rsidR="00A4260B">
        <w:t>“</w:t>
      </w:r>
      <w:r w:rsidRPr="00B85940">
        <w:t>Pinto</w:t>
      </w:r>
      <w:r w:rsidR="00A4260B">
        <w:t>”</w:t>
      </w:r>
      <w:r w:rsidRPr="00B85940">
        <w:t xml:space="preserve"> application </w:t>
      </w:r>
      <w:r>
        <w:t>was</w:t>
      </w:r>
      <w:r w:rsidRPr="00B85940">
        <w:t xml:space="preserve"> not an effective remedy on</w:t>
      </w:r>
      <w:r>
        <w:t xml:space="preserve"> account of the obstacles it had</w:t>
      </w:r>
      <w:r w:rsidRPr="00B85940">
        <w:t xml:space="preserve"> created and the </w:t>
      </w:r>
      <w:r>
        <w:t>manner in which it</w:t>
      </w:r>
      <w:r w:rsidRPr="00B85940">
        <w:t xml:space="preserve"> ha</w:t>
      </w:r>
      <w:r>
        <w:t>d</w:t>
      </w:r>
      <w:r w:rsidRPr="00B85940">
        <w:t xml:space="preserve"> been </w:t>
      </w:r>
      <w:r>
        <w:t>applied</w:t>
      </w:r>
      <w:r w:rsidRPr="00B85940">
        <w:t xml:space="preserve">. </w:t>
      </w:r>
      <w:r w:rsidRPr="005F0658">
        <w:t xml:space="preserve">He also asked the Court to rule on a possible violation of Article 34 of the Convention since, given the </w:t>
      </w:r>
      <w:r>
        <w:t>series</w:t>
      </w:r>
      <w:r w:rsidRPr="005F0658">
        <w:t xml:space="preserve"> of obstacles constituted by th</w:t>
      </w:r>
      <w:r>
        <w:t>e</w:t>
      </w:r>
      <w:r w:rsidRPr="005F0658">
        <w:t xml:space="preserve"> Pinto </w:t>
      </w:r>
      <w:r>
        <w:t xml:space="preserve">Act </w:t>
      </w:r>
      <w:r w:rsidRPr="001057DD" w:rsidR="001A332F">
        <w:t>that had to be surmounted</w:t>
      </w:r>
      <w:r w:rsidR="001A332F">
        <w:t xml:space="preserve"> </w:t>
      </w:r>
      <w:r>
        <w:t>before an application could be lodged with the</w:t>
      </w:r>
      <w:r w:rsidRPr="005F0658">
        <w:t xml:space="preserve"> Cour</w:t>
      </w:r>
      <w:r>
        <w:t>t</w:t>
      </w:r>
      <w:r w:rsidRPr="005F0658">
        <w:t xml:space="preserve">, </w:t>
      </w:r>
      <w:r>
        <w:t>it could be considered that there had been an interference with the right of individual application.</w:t>
      </w:r>
    </w:p>
    <w:p w:rsidRPr="005C4A08" w:rsidR="00B66328" w:rsidP="00E71EDB" w:rsidRDefault="00B66328">
      <w:pPr>
        <w:pStyle w:val="JuPara"/>
      </w:pPr>
      <w:r w:rsidRPr="005C4A08">
        <w:t>These Articles are worded as follows:</w:t>
      </w:r>
    </w:p>
    <w:p w:rsidR="00B66328" w:rsidP="00E71EDB" w:rsidRDefault="00B66328">
      <w:pPr>
        <w:pStyle w:val="JuHArticle"/>
      </w:pPr>
      <w:r>
        <w:t>Article 13</w:t>
      </w:r>
    </w:p>
    <w:p w:rsidR="00B66328" w:rsidP="00B66328" w:rsidRDefault="00B66328">
      <w:pPr>
        <w:pStyle w:val="JuQuot"/>
      </w:pPr>
      <w:r>
        <w:t>“Everyone whose rights and freedoms as set forth in [the] Convention are violated shall have an effective remedy before a national authority notwithstanding that the violation has been committed by persons acting in an official capacity.”</w:t>
      </w:r>
    </w:p>
    <w:p w:rsidR="00B66328" w:rsidP="00E71EDB" w:rsidRDefault="00B66328">
      <w:pPr>
        <w:pStyle w:val="JuHArticle"/>
      </w:pPr>
      <w:r>
        <w:t>Article 17</w:t>
      </w:r>
    </w:p>
    <w:p w:rsidR="00B66328" w:rsidP="00B66328" w:rsidRDefault="00B66328">
      <w:pPr>
        <w:pStyle w:val="JuQuot"/>
      </w:pPr>
      <w:r>
        <w:t>“Nothing in [the] Convention may be interpreted as implying for any State, group or person any right to engage in any activity or perform any act aimed at the destruction of any of the rights and freedoms set forth herein or at their limitation to a greater extent than is provided for in the Convention.”</w:t>
      </w:r>
    </w:p>
    <w:p w:rsidR="00B66328" w:rsidP="00E71EDB" w:rsidRDefault="00B66328">
      <w:pPr>
        <w:pStyle w:val="JuHArticle"/>
      </w:pPr>
      <w:r>
        <w:t>Article 34</w:t>
      </w:r>
    </w:p>
    <w:p w:rsidR="00B66328" w:rsidP="00B66328" w:rsidRDefault="00B66328">
      <w:pPr>
        <w:pStyle w:val="JuQuot"/>
      </w:pPr>
      <w:r>
        <w:t>“The Court may receive applications from any person, non-governmental organisation or group of individuals claiming to be the victim of a violation by one of the High Contracting Parties of the rights set forth in the Convention or the Protocols thereto. The High Contracting Parties undertake not to hinder in any way the effective exercise of this right.”</w:t>
      </w:r>
    </w:p>
    <w:p w:rsidRPr="00F8254E" w:rsidR="00B66328" w:rsidP="00E71EDB" w:rsidRDefault="00B66328">
      <w:pPr>
        <w:pStyle w:val="JuPara"/>
      </w:pPr>
      <w:r>
        <w:fldChar w:fldCharType="begin"/>
      </w:r>
      <w:r w:rsidRPr="00E70362">
        <w:instrText xml:space="preserve"> SEQ level0 \*arabic </w:instrText>
      </w:r>
      <w:r>
        <w:fldChar w:fldCharType="separate"/>
      </w:r>
      <w:r w:rsidR="006D3397">
        <w:rPr>
          <w:noProof/>
        </w:rPr>
        <w:t>123</w:t>
      </w:r>
      <w:r>
        <w:fldChar w:fldCharType="end"/>
      </w:r>
      <w:r w:rsidRPr="00E70362">
        <w:t>.  </w:t>
      </w:r>
      <w:r>
        <w:t>On the assumption</w:t>
      </w:r>
      <w:r w:rsidRPr="005C4A08">
        <w:t xml:space="preserve"> that the arguments </w:t>
      </w:r>
      <w:r>
        <w:t>put forward</w:t>
      </w:r>
      <w:r w:rsidRPr="005C4A08">
        <w:t xml:space="preserve"> </w:t>
      </w:r>
      <w:r>
        <w:t>can</w:t>
      </w:r>
      <w:r w:rsidRPr="005C4A08">
        <w:t xml:space="preserve"> be regarded as new complaints under Articles 13, 17 and 34 and</w:t>
      </w:r>
      <w:r>
        <w:t xml:space="preserve"> are</w:t>
      </w:r>
      <w:r w:rsidRPr="005C4A08">
        <w:t xml:space="preserve"> not </w:t>
      </w:r>
      <w:r w:rsidR="0008493D">
        <w:t>simply</w:t>
      </w:r>
      <w:r w:rsidRPr="005C4A08">
        <w:t xml:space="preserve"> grounds in support of submissions under Article 6 § 1 of the Convention, the Court notes that they </w:t>
      </w:r>
      <w:r>
        <w:t xml:space="preserve">were raised for the first time before it in the pleadings </w:t>
      </w:r>
      <w:r w:rsidRPr="001057DD" w:rsidR="00C653F5">
        <w:t>submitted to</w:t>
      </w:r>
      <w:r>
        <w:t xml:space="preserve"> the Grand</w:t>
      </w:r>
      <w:r w:rsidRPr="005C4A08">
        <w:t xml:space="preserve"> Chamb</w:t>
      </w:r>
      <w:r>
        <w:t>er i</w:t>
      </w:r>
      <w:r w:rsidRPr="005C4A08">
        <w:t xml:space="preserve">n 2005. </w:t>
      </w:r>
      <w:r w:rsidRPr="00F8254E">
        <w:t xml:space="preserve">Consequently, they are not </w:t>
      </w:r>
      <w:r>
        <w:t>covered</w:t>
      </w:r>
      <w:r w:rsidRPr="00F8254E">
        <w:t xml:space="preserve"> by </w:t>
      </w:r>
      <w:r>
        <w:t>the admissibility de</w:t>
      </w:r>
      <w:r w:rsidRPr="00F8254E">
        <w:t xml:space="preserve">cision </w:t>
      </w:r>
      <w:r>
        <w:t>of</w:t>
      </w:r>
      <w:r w:rsidRPr="00F8254E">
        <w:t xml:space="preserve"> </w:t>
      </w:r>
      <w:smartTag w:uri="urn:schemas-microsoft-com:office:smarttags" w:element="date">
        <w:smartTagPr>
          <w:attr w:name="Month" w:val="11"/>
          <w:attr w:name="Day" w:val="20"/>
          <w:attr w:name="Year" w:val="2003"/>
        </w:smartTagPr>
        <w:r w:rsidRPr="00F8254E">
          <w:t>20</w:t>
        </w:r>
        <w:r w:rsidR="002A7BAA">
          <w:t xml:space="preserve"> </w:t>
        </w:r>
        <w:r>
          <w:t>November</w:t>
        </w:r>
        <w:r w:rsidRPr="00F8254E">
          <w:t xml:space="preserve"> 2003</w:t>
        </w:r>
      </w:smartTag>
      <w:r w:rsidRPr="00F8254E">
        <w:t xml:space="preserve"> </w:t>
      </w:r>
      <w:r>
        <w:t>which marks out the limits w</w:t>
      </w:r>
      <w:r w:rsidRPr="00F8254E">
        <w:t>ithin which the Court</w:t>
      </w:r>
      <w:r>
        <w:t xml:space="preserve"> must place itself</w:t>
      </w:r>
      <w:r w:rsidRPr="00F8254E">
        <w:t xml:space="preserve"> (</w:t>
      </w:r>
      <w:r>
        <w:t>see</w:t>
      </w:r>
      <w:r w:rsidRPr="00F8254E">
        <w:t xml:space="preserve">, </w:t>
      </w:r>
      <w:r>
        <w:t>among other authorities</w:t>
      </w:r>
      <w:r w:rsidRPr="00F8254E">
        <w:t xml:space="preserve">, </w:t>
      </w:r>
      <w:r w:rsidRPr="00F8254E">
        <w:rPr>
          <w:i/>
        </w:rPr>
        <w:t>mutatis mutandis</w:t>
      </w:r>
      <w:r w:rsidRPr="007F1D28">
        <w:t>,</w:t>
      </w:r>
      <w:r w:rsidRPr="00F8254E">
        <w:t xml:space="preserve"> </w:t>
      </w:r>
      <w:r w:rsidRPr="000753EB">
        <w:rPr>
          <w:i/>
        </w:rPr>
        <w:t>Assanidz</w:t>
      </w:r>
      <w:r w:rsidR="007F1D28">
        <w:rPr>
          <w:i/>
        </w:rPr>
        <w:t>e</w:t>
      </w:r>
      <w:r w:rsidRPr="000753EB">
        <w:rPr>
          <w:i/>
        </w:rPr>
        <w:t xml:space="preserve"> v. Georgia </w:t>
      </w:r>
      <w:r w:rsidRPr="000753EB">
        <w:t>[GC], no.</w:t>
      </w:r>
      <w:r w:rsidR="002A7BAA">
        <w:t xml:space="preserve"> </w:t>
      </w:r>
      <w:r w:rsidRPr="000753EB">
        <w:t>71503/01, § 162, ECHR 2004-</w:t>
      </w:r>
      <w:r w:rsidR="002F2B62">
        <w:t>II</w:t>
      </w:r>
      <w:r w:rsidRPr="00F8254E">
        <w:t>). It follows that these complaints are outside the scope of examination of the case as it has be</w:t>
      </w:r>
      <w:r>
        <w:t>en referred to the Grand</w:t>
      </w:r>
      <w:r w:rsidRPr="00F8254E">
        <w:t xml:space="preserve"> Chamb</w:t>
      </w:r>
      <w:r>
        <w:t>er</w:t>
      </w:r>
      <w:r w:rsidRPr="00F8254E">
        <w:t>.</w:t>
      </w:r>
    </w:p>
    <w:p w:rsidR="00B66328" w:rsidP="00B66328" w:rsidRDefault="00B66328">
      <w:pPr>
        <w:pStyle w:val="JuHIRoman"/>
      </w:pPr>
      <w:r>
        <w:t>IV</w:t>
      </w:r>
      <w:r w:rsidR="00A779D6">
        <w:t>. </w:t>
      </w:r>
      <w:r w:rsidR="007F1D28">
        <w:t> </w:t>
      </w:r>
      <w:r w:rsidRPr="008213D8">
        <w:t>APPLICATION OF ARTICLE</w:t>
      </w:r>
      <w:r>
        <w:t>S 46 AND</w:t>
      </w:r>
      <w:r w:rsidRPr="008213D8">
        <w:t xml:space="preserve"> 41 OF THE CONVENTION</w:t>
      </w:r>
    </w:p>
    <w:p w:rsidR="00B66328" w:rsidP="00B66328" w:rsidRDefault="00B66328">
      <w:pPr>
        <w:pStyle w:val="JuHA"/>
      </w:pPr>
      <w:r w:rsidRPr="008213D8">
        <w:t>A.  </w:t>
      </w:r>
      <w:r>
        <w:t>Article 46 of the Convention</w:t>
      </w:r>
    </w:p>
    <w:p w:rsidR="00B66328" w:rsidP="00E71EDB" w:rsidRDefault="00B66328">
      <w:pPr>
        <w:pStyle w:val="JuPara"/>
      </w:pPr>
      <w:r>
        <w:fldChar w:fldCharType="begin"/>
      </w:r>
      <w:r w:rsidRPr="00E70362">
        <w:instrText xml:space="preserve"> SEQ level0 \*arabic </w:instrText>
      </w:r>
      <w:r>
        <w:fldChar w:fldCharType="separate"/>
      </w:r>
      <w:r w:rsidR="006D3397">
        <w:rPr>
          <w:noProof/>
        </w:rPr>
        <w:t>124</w:t>
      </w:r>
      <w:r>
        <w:fldChar w:fldCharType="end"/>
      </w:r>
      <w:r w:rsidRPr="00E70362">
        <w:t>.  Under this provision</w:t>
      </w:r>
      <w:r w:rsidR="00F90256">
        <w:t>,</w:t>
      </w:r>
    </w:p>
    <w:p w:rsidR="00B66328" w:rsidP="00B66328" w:rsidRDefault="00B66328">
      <w:pPr>
        <w:pStyle w:val="JuQuot"/>
      </w:pPr>
      <w:r>
        <w:t>“1.  The High Contracting Parties undertake to abide by the final judgment of the Court in any case to which they are parties.</w:t>
      </w:r>
    </w:p>
    <w:p w:rsidRPr="00E70362" w:rsidR="00B66328" w:rsidP="00B66328" w:rsidRDefault="00B66328">
      <w:pPr>
        <w:pStyle w:val="JuQuot"/>
      </w:pPr>
      <w:r>
        <w:t>2.  The final judgment of the Court shall be transmitted to the Committee of Ministers, which shall supervise its execution.”</w:t>
      </w:r>
    </w:p>
    <w:p w:rsidRPr="00CB09D6" w:rsidR="00B66328" w:rsidP="00E71EDB" w:rsidRDefault="00B66328">
      <w:pPr>
        <w:pStyle w:val="JuPara"/>
      </w:pPr>
      <w:r>
        <w:fldChar w:fldCharType="begin"/>
      </w:r>
      <w:r w:rsidRPr="00E70362">
        <w:instrText xml:space="preserve"> SEQ level0 \*arabic </w:instrText>
      </w:r>
      <w:r>
        <w:fldChar w:fldCharType="separate"/>
      </w:r>
      <w:r w:rsidR="006D3397">
        <w:rPr>
          <w:noProof/>
        </w:rPr>
        <w:t>125</w:t>
      </w:r>
      <w:r>
        <w:fldChar w:fldCharType="end"/>
      </w:r>
      <w:r w:rsidRPr="00E70362">
        <w:t xml:space="preserve">.  The Court reiterates that in the context of the execution of judgments in accordance with Article 46 of the Convention, a judgment in which it finds a breach </w:t>
      </w:r>
      <w:r>
        <w:t xml:space="preserve">of the Convention </w:t>
      </w:r>
      <w:r w:rsidRPr="00E70362">
        <w:t xml:space="preserve">imposes on the respondent State a legal obligation under that provision to put an end to the breach and to make reparation for its consequences in such a way as to restore as far as possible the situation existing before the breach. </w:t>
      </w:r>
      <w:r>
        <w:t xml:space="preserve">If, on the other hand, national law does not allow – or allows only partial – reparation to be made for the consequences of the breach, Article 41 empowers the Court to afford the injured party such satisfaction as appears to it to be appropriate. It follows, </w:t>
      </w:r>
      <w:r>
        <w:rPr>
          <w:rStyle w:val="ju-005fpara--char"/>
          <w:i/>
          <w:iCs/>
        </w:rPr>
        <w:t>inter alia</w:t>
      </w:r>
      <w:r>
        <w:t xml:space="preserve">, that a judgment in which the Court finds a violation of the Convention or its Protocols imposes on the respondent State a legal obligation not just to pay those concerned the sums awarded by way of just satisfaction, but also to choose, subject to supervision by the Committee of Ministers, the general and/or, if appropriate, individual measures to be adopted in its domestic legal order to put an end to the violation found by the Court and make all feasible reparation for its consequences in such a way as to restore as far as possible the situation existing before the breach </w:t>
      </w:r>
      <w:r w:rsidRPr="00CB09D6">
        <w:t>(</w:t>
      </w:r>
      <w:r>
        <w:t xml:space="preserve">see </w:t>
      </w:r>
      <w:r w:rsidRPr="00A83024">
        <w:rPr>
          <w:i/>
        </w:rPr>
        <w:t>Assanidz</w:t>
      </w:r>
      <w:r w:rsidR="007F1D28">
        <w:rPr>
          <w:i/>
        </w:rPr>
        <w:t>e</w:t>
      </w:r>
      <w:r w:rsidRPr="007F1D28">
        <w:t>,</w:t>
      </w:r>
      <w:r w:rsidRPr="00A83024">
        <w:rPr>
          <w:i/>
        </w:rPr>
        <w:t xml:space="preserve"> </w:t>
      </w:r>
      <w:r w:rsidRPr="00A83024">
        <w:t>cited above, §</w:t>
      </w:r>
      <w:r w:rsidR="002A7BAA">
        <w:t xml:space="preserve"> </w:t>
      </w:r>
      <w:r w:rsidRPr="00A83024">
        <w:t>198,</w:t>
      </w:r>
      <w:r w:rsidRPr="00CB09D6">
        <w:t xml:space="preserve"> </w:t>
      </w:r>
      <w:r>
        <w:t xml:space="preserve">and </w:t>
      </w:r>
      <w:r w:rsidRPr="00CB09D6">
        <w:rPr>
          <w:i/>
        </w:rPr>
        <w:t xml:space="preserve">Ilaşcu </w:t>
      </w:r>
      <w:r>
        <w:rPr>
          <w:i/>
        </w:rPr>
        <w:t>and Others</w:t>
      </w:r>
      <w:r w:rsidRPr="00CB09D6">
        <w:rPr>
          <w:i/>
        </w:rPr>
        <w:t xml:space="preserve"> </w:t>
      </w:r>
      <w:r>
        <w:rPr>
          <w:i/>
        </w:rPr>
        <w:t>v.</w:t>
      </w:r>
      <w:r w:rsidR="002A7BAA">
        <w:rPr>
          <w:i/>
        </w:rPr>
        <w:t xml:space="preserve"> </w:t>
      </w:r>
      <w:r w:rsidRPr="00CB09D6">
        <w:rPr>
          <w:i/>
        </w:rPr>
        <w:t xml:space="preserve">Moldova </w:t>
      </w:r>
      <w:r>
        <w:rPr>
          <w:i/>
        </w:rPr>
        <w:t>and</w:t>
      </w:r>
      <w:r w:rsidRPr="00CB09D6">
        <w:rPr>
          <w:i/>
        </w:rPr>
        <w:t xml:space="preserve"> Russi</w:t>
      </w:r>
      <w:r>
        <w:rPr>
          <w:i/>
        </w:rPr>
        <w:t>a</w:t>
      </w:r>
      <w:r w:rsidRPr="00CB09D6">
        <w:rPr>
          <w:i/>
        </w:rPr>
        <w:t xml:space="preserve"> </w:t>
      </w:r>
      <w:r w:rsidRPr="00CB09D6">
        <w:t>[GC], n</w:t>
      </w:r>
      <w:r>
        <w:t>o.</w:t>
      </w:r>
      <w:r w:rsidR="002A7BAA">
        <w:t xml:space="preserve"> </w:t>
      </w:r>
      <w:r w:rsidRPr="00CB09D6">
        <w:t xml:space="preserve">48787/99, § 487, </w:t>
      </w:r>
      <w:r>
        <w:t>ECHR 2004-VII</w:t>
      </w:r>
      <w:r w:rsidRPr="00CB09D6">
        <w:t>).</w:t>
      </w:r>
    </w:p>
    <w:p w:rsidR="00A31EB8" w:rsidP="00E71EDB" w:rsidRDefault="00B66328">
      <w:pPr>
        <w:pStyle w:val="JuPara"/>
      </w:pPr>
      <w:r>
        <w:fldChar w:fldCharType="begin"/>
      </w:r>
      <w:r w:rsidRPr="00E70362">
        <w:instrText xml:space="preserve"> SEQ level0 \*arabic </w:instrText>
      </w:r>
      <w:r>
        <w:fldChar w:fldCharType="separate"/>
      </w:r>
      <w:r w:rsidR="006D3397">
        <w:rPr>
          <w:noProof/>
        </w:rPr>
        <w:t>126</w:t>
      </w:r>
      <w:r>
        <w:fldChar w:fldCharType="end"/>
      </w:r>
      <w:r w:rsidRPr="00E70362">
        <w:t>.  </w:t>
      </w:r>
      <w:r>
        <w:t xml:space="preserve">Furthermore, it follows from the Convention, and from Article </w:t>
      </w:r>
      <w:smartTag w:uri="urn:schemas-microsoft-com:office:smarttags" w:element="metricconverter">
        <w:smartTagPr>
          <w:attr w:name="ProductID" w:val="1 in"/>
        </w:smartTagPr>
        <w:r>
          <w:t>1 in</w:t>
        </w:r>
      </w:smartTag>
      <w:r>
        <w:t xml:space="preserve"> particular, that in ratifyi</w:t>
      </w:r>
      <w:r w:rsidRPr="00BB61D2">
        <w:t xml:space="preserve">ng the Convention the Contracting States undertake to ensure that their domestic legislation is compatible with it (see </w:t>
      </w:r>
      <w:r w:rsidRPr="00D11B70">
        <w:rPr>
          <w:i/>
        </w:rPr>
        <w:t>Maestri v.</w:t>
      </w:r>
      <w:r w:rsidR="002A7BAA">
        <w:rPr>
          <w:i/>
        </w:rPr>
        <w:t xml:space="preserve"> </w:t>
      </w:r>
      <w:r w:rsidRPr="00D11B70">
        <w:rPr>
          <w:i/>
        </w:rPr>
        <w:t>Italy</w:t>
      </w:r>
      <w:r w:rsidRPr="00BB61D2">
        <w:t xml:space="preserve"> [GC], no.</w:t>
      </w:r>
      <w:r w:rsidR="002A7BAA">
        <w:t xml:space="preserve"> </w:t>
      </w:r>
      <w:r w:rsidRPr="00BB61D2">
        <w:t>39748/98, § 47, ECHR 2004-I).</w:t>
      </w:r>
    </w:p>
    <w:p w:rsidRPr="00C368D4" w:rsidR="00B66328" w:rsidP="00E71EDB" w:rsidRDefault="00B66328">
      <w:pPr>
        <w:pStyle w:val="JuPara"/>
      </w:pPr>
      <w:r>
        <w:fldChar w:fldCharType="begin"/>
      </w:r>
      <w:r w:rsidRPr="00E70362">
        <w:instrText xml:space="preserve"> SEQ level0 \*arabic </w:instrText>
      </w:r>
      <w:r>
        <w:fldChar w:fldCharType="separate"/>
      </w:r>
      <w:r w:rsidR="006D3397">
        <w:rPr>
          <w:noProof/>
        </w:rPr>
        <w:t>127</w:t>
      </w:r>
      <w:r>
        <w:fldChar w:fldCharType="end"/>
      </w:r>
      <w:r w:rsidRPr="00E70362">
        <w:t>.  </w:t>
      </w:r>
      <w:r>
        <w:t>H</w:t>
      </w:r>
      <w:r w:rsidRPr="005F48D5">
        <w:t xml:space="preserve">undreds of cases are currently pending before </w:t>
      </w:r>
      <w:r>
        <w:t>the Court</w:t>
      </w:r>
      <w:r w:rsidRPr="005F48D5">
        <w:t xml:space="preserve"> in respect of awa</w:t>
      </w:r>
      <w:r>
        <w:t xml:space="preserve">rds </w:t>
      </w:r>
      <w:r w:rsidR="00A779D6">
        <w:t xml:space="preserve">made </w:t>
      </w:r>
      <w:r>
        <w:t>by the courts of appeal in “</w:t>
      </w:r>
      <w:r w:rsidRPr="005F48D5">
        <w:t>Pinto</w:t>
      </w:r>
      <w:r>
        <w:t>”</w:t>
      </w:r>
      <w:r w:rsidRPr="005F48D5">
        <w:t xml:space="preserve"> proceed</w:t>
      </w:r>
      <w:r>
        <w:t>ings prior to the Court of C</w:t>
      </w:r>
      <w:r w:rsidRPr="005F48D5">
        <w:t>assation</w:t>
      </w:r>
      <w:r w:rsidR="00C01D3E">
        <w:t>’</w:t>
      </w:r>
      <w:r w:rsidR="00A779D6">
        <w:t>s</w:t>
      </w:r>
      <w:r w:rsidRPr="00A779D6" w:rsidR="00A779D6">
        <w:t xml:space="preserve"> </w:t>
      </w:r>
      <w:r w:rsidR="00A779D6">
        <w:t>departure from precedent</w:t>
      </w:r>
      <w:r w:rsidRPr="005F48D5">
        <w:t xml:space="preserve"> </w:t>
      </w:r>
      <w:r>
        <w:t>and</w:t>
      </w:r>
      <w:r w:rsidRPr="005F48D5">
        <w:t>/o</w:t>
      </w:r>
      <w:r>
        <w:t>r the delay in payment of the amounts in question</w:t>
      </w:r>
      <w:r w:rsidRPr="005F48D5">
        <w:t xml:space="preserve">. </w:t>
      </w:r>
      <w:r w:rsidRPr="00576B10">
        <w:t xml:space="preserve">The Court, while </w:t>
      </w:r>
      <w:r>
        <w:t>acknowledging</w:t>
      </w:r>
      <w:r w:rsidRPr="00576B10">
        <w:t xml:space="preserve"> with satisfaction the favourable development</w:t>
      </w:r>
      <w:r w:rsidR="009E62FF">
        <w:t>s</w:t>
      </w:r>
      <w:r w:rsidRPr="00576B10">
        <w:t xml:space="preserve"> </w:t>
      </w:r>
      <w:r>
        <w:t>in</w:t>
      </w:r>
      <w:r w:rsidRPr="00576B10">
        <w:t xml:space="preserve"> </w:t>
      </w:r>
      <w:r>
        <w:t xml:space="preserve">Italian </w:t>
      </w:r>
      <w:r w:rsidRPr="00576B10">
        <w:t>case-law,</w:t>
      </w:r>
      <w:r w:rsidRPr="009E62FF" w:rsidR="009E62FF">
        <w:rPr>
          <w:b/>
          <w:szCs w:val="24"/>
        </w:rPr>
        <w:t xml:space="preserve"> </w:t>
      </w:r>
      <w:r w:rsidRPr="001057DD" w:rsidR="009E62FF">
        <w:rPr>
          <w:szCs w:val="24"/>
        </w:rPr>
        <w:t>and particula</w:t>
      </w:r>
      <w:r w:rsidRPr="001057DD" w:rsidR="008B0AA7">
        <w:rPr>
          <w:szCs w:val="24"/>
        </w:rPr>
        <w:t>rly the recent judgment of the p</w:t>
      </w:r>
      <w:r w:rsidRPr="001057DD" w:rsidR="009E62FF">
        <w:rPr>
          <w:szCs w:val="24"/>
        </w:rPr>
        <w:t xml:space="preserve">lenary </w:t>
      </w:r>
      <w:r w:rsidRPr="001057DD" w:rsidR="008B0AA7">
        <w:rPr>
          <w:szCs w:val="24"/>
        </w:rPr>
        <w:t>Court</w:t>
      </w:r>
      <w:r w:rsidRPr="001057DD" w:rsidR="009E62FF">
        <w:rPr>
          <w:szCs w:val="24"/>
        </w:rPr>
        <w:t xml:space="preserve"> </w:t>
      </w:r>
      <w:r w:rsidRPr="001057DD" w:rsidR="001A332F">
        <w:rPr>
          <w:szCs w:val="24"/>
        </w:rPr>
        <w:t xml:space="preserve">of Cassation </w:t>
      </w:r>
      <w:r w:rsidRPr="001057DD" w:rsidR="009E62FF">
        <w:rPr>
          <w:szCs w:val="24"/>
        </w:rPr>
        <w:t>(see paragraph 29 above),</w:t>
      </w:r>
      <w:r w:rsidRPr="001A332F" w:rsidR="009E62FF">
        <w:rPr>
          <w:szCs w:val="24"/>
        </w:rPr>
        <w:t xml:space="preserve"> </w:t>
      </w:r>
      <w:r w:rsidRPr="00576B10">
        <w:t>regret</w:t>
      </w:r>
      <w:r>
        <w:t>s to observe</w:t>
      </w:r>
      <w:r w:rsidRPr="00576B10">
        <w:t xml:space="preserve"> tha</w:t>
      </w:r>
      <w:r>
        <w:t>t</w:t>
      </w:r>
      <w:r w:rsidR="0008493D">
        <w:t>,</w:t>
      </w:r>
      <w:r>
        <w:t xml:space="preserve"> where a </w:t>
      </w:r>
      <w:r w:rsidR="00A779D6">
        <w:t>deficiency</w:t>
      </w:r>
      <w:r>
        <w:t xml:space="preserve"> that has given rise to a </w:t>
      </w:r>
      <w:r w:rsidRPr="00576B10">
        <w:t xml:space="preserve">violation </w:t>
      </w:r>
      <w:r>
        <w:t>has been put right, another one related to the first one appears</w:t>
      </w:r>
      <w:r w:rsidRPr="00576B10">
        <w:t xml:space="preserve">: </w:t>
      </w:r>
      <w:r>
        <w:t>in the present case the delay in executing deci</w:t>
      </w:r>
      <w:r w:rsidRPr="00576B10">
        <w:t xml:space="preserve">sions. </w:t>
      </w:r>
      <w:r>
        <w:t>It</w:t>
      </w:r>
      <w:r w:rsidRPr="00C368D4">
        <w:t xml:space="preserve"> cannot overemphasise the fact that States must equip themselves w</w:t>
      </w:r>
      <w:r>
        <w:t xml:space="preserve">ith </w:t>
      </w:r>
      <w:r w:rsidRPr="001057DD">
        <w:t>the means necessary and adequate to ensure that all the conditions</w:t>
      </w:r>
      <w:r w:rsidRPr="001057DD" w:rsidR="008C48D1">
        <w:t xml:space="preserve"> for providing</w:t>
      </w:r>
      <w:r w:rsidRPr="001057DD">
        <w:t xml:space="preserve"> effective</w:t>
      </w:r>
      <w:r w:rsidRPr="001057DD" w:rsidR="008C48D1">
        <w:t xml:space="preserve"> justice</w:t>
      </w:r>
      <w:r w:rsidRPr="001057DD">
        <w:t xml:space="preserve"> are guaranteed.</w:t>
      </w:r>
    </w:p>
    <w:p w:rsidR="00C01D3E" w:rsidP="00E71EDB" w:rsidRDefault="00B66328">
      <w:pPr>
        <w:pStyle w:val="JuPara"/>
      </w:pPr>
      <w:r>
        <w:fldChar w:fldCharType="begin"/>
      </w:r>
      <w:r w:rsidRPr="00E70362">
        <w:instrText xml:space="preserve"> SEQ level0 \*arabic </w:instrText>
      </w:r>
      <w:r>
        <w:fldChar w:fldCharType="separate"/>
      </w:r>
      <w:r w:rsidR="006D3397">
        <w:rPr>
          <w:noProof/>
        </w:rPr>
        <w:t>128</w:t>
      </w:r>
      <w:r>
        <w:fldChar w:fldCharType="end"/>
      </w:r>
      <w:r w:rsidRPr="00E70362">
        <w:t>.  </w:t>
      </w:r>
      <w:r w:rsidRPr="00D858F2">
        <w:t xml:space="preserve">In its Recommendation </w:t>
      </w:r>
      <w:r w:rsidRPr="00D858F2" w:rsidR="006D3397">
        <w:t>Rec</w:t>
      </w:r>
      <w:r w:rsidRPr="00A7078C" w:rsidR="006D3397">
        <w:t>(2004)6</w:t>
      </w:r>
      <w:r w:rsidR="006D3397">
        <w:t xml:space="preserve"> </w:t>
      </w:r>
      <w:r w:rsidRPr="00D858F2">
        <w:t>of 12</w:t>
      </w:r>
      <w:r w:rsidR="002A7BAA">
        <w:t xml:space="preserve"> </w:t>
      </w:r>
      <w:r>
        <w:t>May</w:t>
      </w:r>
      <w:r w:rsidRPr="00D858F2">
        <w:t xml:space="preserve"> 2004</w:t>
      </w:r>
      <w:r w:rsidR="001E13EA">
        <w:t>,</w:t>
      </w:r>
      <w:r w:rsidRPr="00A7078C">
        <w:t xml:space="preserve"> the Committee of Ministers welcomed the fact that the Convention had now become an integral part of t</w:t>
      </w:r>
      <w:r>
        <w:t>he domestic legal order of all S</w:t>
      </w:r>
      <w:r w:rsidRPr="00A7078C">
        <w:t>tates Parties</w:t>
      </w:r>
      <w:r w:rsidR="001E13EA">
        <w:t>,</w:t>
      </w:r>
      <w:r w:rsidRPr="00A7078C">
        <w:t xml:space="preserve"> while recommen</w:t>
      </w:r>
      <w:r>
        <w:t>ding that member States</w:t>
      </w:r>
      <w:r w:rsidRPr="00A7078C">
        <w:t xml:space="preserve"> ensure that domestic remedies existed and were effective. </w:t>
      </w:r>
      <w:r w:rsidRPr="00E70362">
        <w:t>In that connection the Court feels it important to stress that although the exi</w:t>
      </w:r>
      <w:r w:rsidR="0008493D">
        <w:t>stence of a remedy is necessary</w:t>
      </w:r>
      <w:r w:rsidRPr="00E70362">
        <w:t xml:space="preserve"> it is not in itself sufficient. The domestic courts must be able, under domestic law, to apply the European case-law directly and their knowledge of this case-law has to be facilitated by the State in question.</w:t>
      </w:r>
    </w:p>
    <w:p w:rsidR="00A31EB8" w:rsidP="00E71EDB" w:rsidRDefault="00B66328">
      <w:pPr>
        <w:pStyle w:val="JuPara"/>
      </w:pPr>
      <w:r w:rsidRPr="008816B9">
        <w:t xml:space="preserve">The Court refers in this regard to the contents of the Recommendations of the Committee of Ministers on the publication and </w:t>
      </w:r>
      <w:r>
        <w:t xml:space="preserve">dissemination in the member </w:t>
      </w:r>
      <w:r w:rsidR="001E13EA">
        <w:t>S</w:t>
      </w:r>
      <w:r w:rsidRPr="008816B9">
        <w:t xml:space="preserve">tates of the text of the European Convention on Human Rights and </w:t>
      </w:r>
      <w:r>
        <w:t xml:space="preserve">of </w:t>
      </w:r>
      <w:r w:rsidRPr="008816B9">
        <w:t xml:space="preserve">the case-law </w:t>
      </w:r>
      <w:r>
        <w:t xml:space="preserve">of the </w:t>
      </w:r>
      <w:r w:rsidR="001E13EA">
        <w:t xml:space="preserve">European </w:t>
      </w:r>
      <w:r>
        <w:t xml:space="preserve">Court </w:t>
      </w:r>
      <w:r w:rsidR="001E13EA">
        <w:t xml:space="preserve">of Human Rights </w:t>
      </w:r>
      <w:r w:rsidR="0008493D">
        <w:t>(Rec(2002)13</w:t>
      </w:r>
      <w:r w:rsidRPr="008816B9">
        <w:t xml:space="preserve"> </w:t>
      </w:r>
      <w:r>
        <w:t>of</w:t>
      </w:r>
      <w:r w:rsidRPr="008816B9">
        <w:t xml:space="preserve"> 18 December 2002) and </w:t>
      </w:r>
      <w:r>
        <w:t xml:space="preserve">on </w:t>
      </w:r>
      <w:r w:rsidRPr="008816B9">
        <w:t xml:space="preserve">the European Convention on Human Rights </w:t>
      </w:r>
      <w:r>
        <w:t>in university education and professional training (Rec</w:t>
      </w:r>
      <w:r w:rsidR="0008493D">
        <w:t>(2004)4</w:t>
      </w:r>
      <w:r w:rsidRPr="008816B9">
        <w:t xml:space="preserve"> </w:t>
      </w:r>
      <w:r>
        <w:t>of</w:t>
      </w:r>
      <w:r w:rsidRPr="008816B9">
        <w:t xml:space="preserve"> 12 </w:t>
      </w:r>
      <w:r>
        <w:t>May</w:t>
      </w:r>
      <w:r w:rsidRPr="008816B9">
        <w:t xml:space="preserve"> 2004), </w:t>
      </w:r>
      <w:r>
        <w:t>not forgetting the Re</w:t>
      </w:r>
      <w:r w:rsidRPr="008816B9">
        <w:t xml:space="preserve">solution </w:t>
      </w:r>
      <w:r>
        <w:t xml:space="preserve">of the Committee of Ministers </w:t>
      </w:r>
      <w:r w:rsidRPr="008816B9">
        <w:t xml:space="preserve">(Res(2002)12) </w:t>
      </w:r>
      <w:r>
        <w:t>setting up the</w:t>
      </w:r>
      <w:r w:rsidRPr="008816B9">
        <w:t xml:space="preserve"> CEPEJ </w:t>
      </w:r>
      <w:r w:rsidRPr="001057DD" w:rsidR="000C537C">
        <w:t>(see paragraphs 34-35 above)</w:t>
      </w:r>
      <w:r w:rsidR="000C537C">
        <w:t xml:space="preserve"> </w:t>
      </w:r>
      <w:r>
        <w:t>and the fact that</w:t>
      </w:r>
      <w:r w:rsidRPr="008816B9">
        <w:t xml:space="preserve"> </w:t>
      </w:r>
      <w:r>
        <w:t>at the</w:t>
      </w:r>
      <w:r w:rsidR="0008493D">
        <w:t xml:space="preserve"> Warsaw Summit in May 2005 the heads of State and g</w:t>
      </w:r>
      <w:r w:rsidRPr="008816B9">
        <w:t>overnment of the member States decided to de</w:t>
      </w:r>
      <w:r>
        <w:t>velop the</w:t>
      </w:r>
      <w:r w:rsidRPr="008816B9">
        <w:t xml:space="preserve"> </w:t>
      </w:r>
      <w:r>
        <w:t xml:space="preserve">evaluation and assistance functions of the </w:t>
      </w:r>
      <w:r w:rsidRPr="008816B9">
        <w:t>CEPEJ.</w:t>
      </w:r>
    </w:p>
    <w:p w:rsidRPr="007A7D2A" w:rsidR="00B66328" w:rsidP="00E71EDB" w:rsidRDefault="00B66328">
      <w:pPr>
        <w:pStyle w:val="JuPara"/>
      </w:pPr>
      <w:r w:rsidRPr="009C4ECF">
        <w:t xml:space="preserve">In the </w:t>
      </w:r>
      <w:r w:rsidR="006D3397">
        <w:t>above-mentioned</w:t>
      </w:r>
      <w:r w:rsidRPr="009C4ECF">
        <w:t xml:space="preserve"> Recommendation </w:t>
      </w:r>
      <w:r w:rsidRPr="009C4ECF" w:rsidR="006D3397">
        <w:t>Rec(2004)6</w:t>
      </w:r>
      <w:r w:rsidR="006D3397">
        <w:t xml:space="preserve"> </w:t>
      </w:r>
      <w:r w:rsidRPr="009C4ECF">
        <w:t>of 12</w:t>
      </w:r>
      <w:r w:rsidR="002A7BAA">
        <w:t xml:space="preserve"> </w:t>
      </w:r>
      <w:r w:rsidRPr="009C4ECF">
        <w:t>May 2004</w:t>
      </w:r>
      <w:r w:rsidR="006D3397">
        <w:t>,</w:t>
      </w:r>
      <w:r w:rsidRPr="009C4ECF">
        <w:t xml:space="preserve"> the Committee of Ministers also reiterated that the</w:t>
      </w:r>
      <w:r>
        <w:t xml:space="preserve"> States had the general obligation to solve the</w:t>
      </w:r>
      <w:r w:rsidRPr="009C4ECF">
        <w:rPr>
          <w:rFonts w:cs="Arial"/>
        </w:rPr>
        <w:t xml:space="preserve"> </w:t>
      </w:r>
      <w:r>
        <w:rPr>
          <w:rFonts w:cs="Arial"/>
        </w:rPr>
        <w:t xml:space="preserve">problems underlying </w:t>
      </w:r>
      <w:r w:rsidRPr="009C4ECF">
        <w:rPr>
          <w:rFonts w:cs="Arial"/>
        </w:rPr>
        <w:t xml:space="preserve">violations </w:t>
      </w:r>
      <w:r>
        <w:rPr>
          <w:rFonts w:cs="Arial"/>
        </w:rPr>
        <w:t>found</w:t>
      </w:r>
      <w:r w:rsidRPr="009C4ECF">
        <w:rPr>
          <w:rFonts w:cs="Arial"/>
        </w:rPr>
        <w:t>.</w:t>
      </w:r>
    </w:p>
    <w:p w:rsidR="00A31EB8" w:rsidP="00E71EDB" w:rsidRDefault="00B66328">
      <w:pPr>
        <w:pStyle w:val="JuPara"/>
      </w:pPr>
      <w:r>
        <w:fldChar w:fldCharType="begin"/>
      </w:r>
      <w:r w:rsidRPr="00E70362">
        <w:instrText xml:space="preserve"> SEQ level0 \*arabic </w:instrText>
      </w:r>
      <w:r>
        <w:fldChar w:fldCharType="separate"/>
      </w:r>
      <w:r w:rsidR="006D3397">
        <w:rPr>
          <w:noProof/>
        </w:rPr>
        <w:t>129</w:t>
      </w:r>
      <w:r>
        <w:fldChar w:fldCharType="end"/>
      </w:r>
      <w:r w:rsidRPr="00E70362">
        <w:t>.  </w:t>
      </w:r>
      <w:r w:rsidRPr="00E03AE3">
        <w:t>The Court reiterates that</w:t>
      </w:r>
      <w:r>
        <w:t>,</w:t>
      </w:r>
      <w:r w:rsidRPr="00E03AE3">
        <w:t xml:space="preserve"> subject to monitoring by the Committee of Ministers, the respondent State remains free to choose the means by which it will discharge its legal obligation under Article 46 of the Convention, provided that such means are compatible with the conclusions set out in the Court</w:t>
      </w:r>
      <w:r w:rsidR="00C01D3E">
        <w:t>’</w:t>
      </w:r>
      <w:r w:rsidRPr="00E03AE3">
        <w:t>s judgment</w:t>
      </w:r>
      <w:r w:rsidRPr="00E03AE3">
        <w:rPr>
          <w:i/>
        </w:rPr>
        <w:t xml:space="preserve"> </w:t>
      </w:r>
      <w:r>
        <w:t>(</w:t>
      </w:r>
      <w:r w:rsidRPr="00E03AE3">
        <w:t>see</w:t>
      </w:r>
      <w:r>
        <w:rPr>
          <w:i/>
        </w:rPr>
        <w:t xml:space="preserve"> </w:t>
      </w:r>
      <w:r w:rsidRPr="00E03AE3">
        <w:rPr>
          <w:i/>
        </w:rPr>
        <w:t xml:space="preserve">Broniowski </w:t>
      </w:r>
      <w:r>
        <w:rPr>
          <w:i/>
        </w:rPr>
        <w:t>v</w:t>
      </w:r>
      <w:r w:rsidRPr="00E03AE3">
        <w:rPr>
          <w:i/>
        </w:rPr>
        <w:t xml:space="preserve">. </w:t>
      </w:r>
      <w:r>
        <w:rPr>
          <w:i/>
        </w:rPr>
        <w:t>Poland</w:t>
      </w:r>
      <w:r w:rsidRPr="00E03AE3">
        <w:rPr>
          <w:i/>
        </w:rPr>
        <w:t xml:space="preserve"> </w:t>
      </w:r>
      <w:r w:rsidRPr="00E03AE3">
        <w:t>[GC], n</w:t>
      </w:r>
      <w:r>
        <w:t>o. </w:t>
      </w:r>
      <w:r w:rsidRPr="00E03AE3">
        <w:t xml:space="preserve">31443/96, § 192, </w:t>
      </w:r>
      <w:r>
        <w:t>ECHR 2004-V</w:t>
      </w:r>
      <w:r w:rsidRPr="00E03AE3">
        <w:t>).</w:t>
      </w:r>
    </w:p>
    <w:p w:rsidR="00B66328" w:rsidP="00E71EDB" w:rsidRDefault="00B66328">
      <w:pPr>
        <w:pStyle w:val="JuPara"/>
      </w:pPr>
      <w:r>
        <w:fldChar w:fldCharType="begin"/>
      </w:r>
      <w:r w:rsidRPr="00E70362">
        <w:instrText xml:space="preserve"> SEQ level0 \*arabic </w:instrText>
      </w:r>
      <w:r>
        <w:fldChar w:fldCharType="separate"/>
      </w:r>
      <w:r w:rsidR="006D3397">
        <w:rPr>
          <w:noProof/>
        </w:rPr>
        <w:t>130</w:t>
      </w:r>
      <w:r>
        <w:fldChar w:fldCharType="end"/>
      </w:r>
      <w:r w:rsidRPr="00E70362">
        <w:t>.  </w:t>
      </w:r>
      <w:r w:rsidRPr="00662D51">
        <w:t xml:space="preserve">Without </w:t>
      </w:r>
      <w:r>
        <w:t>seeking</w:t>
      </w:r>
      <w:r w:rsidRPr="00662D51">
        <w:t xml:space="preserve"> to determine </w:t>
      </w:r>
      <w:r w:rsidRPr="001057DD">
        <w:t xml:space="preserve">what measures may be </w:t>
      </w:r>
      <w:r w:rsidRPr="001057DD" w:rsidR="001A332F">
        <w:t>taken by</w:t>
      </w:r>
      <w:r w:rsidRPr="001057DD">
        <w:t xml:space="preserve"> the respondent State</w:t>
      </w:r>
      <w:r w:rsidRPr="001057DD" w:rsidR="001A332F">
        <w:t xml:space="preserve"> in order to comply with</w:t>
      </w:r>
      <w:r w:rsidR="001A332F">
        <w:t xml:space="preserve"> it</w:t>
      </w:r>
      <w:r w:rsidRPr="00662D51">
        <w:t xml:space="preserve">s obligations under Article 46 of the Convention, the Court would draw its attention to the conditions indicated above (see paragraphs </w:t>
      </w:r>
      <w:r w:rsidRPr="001057DD">
        <w:t>6</w:t>
      </w:r>
      <w:r w:rsidRPr="001057DD" w:rsidR="001A332F">
        <w:t>9</w:t>
      </w:r>
      <w:r w:rsidRPr="001057DD">
        <w:t>-10</w:t>
      </w:r>
      <w:r w:rsidRPr="001057DD" w:rsidR="001A332F">
        <w:t>7</w:t>
      </w:r>
      <w:r w:rsidRPr="00662D51">
        <w:t xml:space="preserve">) regarding the possibility for a person to </w:t>
      </w:r>
      <w:r w:rsidR="00437744">
        <w:t>continue to</w:t>
      </w:r>
      <w:r>
        <w:t xml:space="preserve"> </w:t>
      </w:r>
      <w:r w:rsidRPr="00662D51">
        <w:t xml:space="preserve">claim to be a </w:t>
      </w:r>
      <w:r>
        <w:t>“v</w:t>
      </w:r>
      <w:r w:rsidRPr="00662D51">
        <w:t>ictim</w:t>
      </w:r>
      <w:r>
        <w:t>”</w:t>
      </w:r>
      <w:r w:rsidRPr="00662D51">
        <w:t xml:space="preserve"> in this type of case and invite it to take all measures neces</w:t>
      </w:r>
      <w:r>
        <w:t>sary to ensure that the domestic decisions are not only in conformity with the</w:t>
      </w:r>
      <w:r w:rsidRPr="00662D51">
        <w:t xml:space="preserve"> </w:t>
      </w:r>
      <w:r>
        <w:t>case-law of this Court but also executed within six months of being deposited with the registry.</w:t>
      </w:r>
    </w:p>
    <w:p w:rsidRPr="004240DD" w:rsidR="00B66328" w:rsidP="00E71EDB" w:rsidRDefault="00E71EDB">
      <w:pPr>
        <w:pStyle w:val="JuHA"/>
      </w:pPr>
      <w:r>
        <w:t>B.  </w:t>
      </w:r>
      <w:r w:rsidRPr="004240DD" w:rsidR="00B66328">
        <w:t>Article 41 of the Convention</w:t>
      </w:r>
    </w:p>
    <w:p w:rsidR="00B66328" w:rsidP="00E71EDB" w:rsidRDefault="00B66328">
      <w:pPr>
        <w:pStyle w:val="JuPara"/>
      </w:pPr>
      <w:r>
        <w:fldChar w:fldCharType="begin"/>
      </w:r>
      <w:r>
        <w:instrText xml:space="preserve"> SEQ level0 \*arabic </w:instrText>
      </w:r>
      <w:r>
        <w:fldChar w:fldCharType="separate"/>
      </w:r>
      <w:r w:rsidR="006D3397">
        <w:rPr>
          <w:noProof/>
        </w:rPr>
        <w:t>131</w:t>
      </w:r>
      <w:r>
        <w:fldChar w:fldCharType="end"/>
      </w:r>
      <w:r>
        <w:t>.  </w:t>
      </w:r>
      <w:r w:rsidRPr="008213D8">
        <w:t>Article 41 of the Convention provides:</w:t>
      </w:r>
    </w:p>
    <w:p w:rsidR="00B66328" w:rsidP="00B66328" w:rsidRDefault="00B66328">
      <w:pPr>
        <w:pStyle w:val="JuQuot"/>
      </w:pPr>
      <w:r w:rsidRPr="008213D8">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4240DD" w:rsidR="00B66328" w:rsidP="00B66328" w:rsidRDefault="00B66328">
      <w:pPr>
        <w:pStyle w:val="JuH1"/>
      </w:pPr>
      <w:r>
        <w:t>1.</w:t>
      </w:r>
      <w:r w:rsidR="00E71EDB">
        <w:t>  </w:t>
      </w:r>
      <w:r w:rsidRPr="004240DD">
        <w:t>The Chamber judgment</w:t>
      </w:r>
    </w:p>
    <w:p w:rsidRPr="00055990" w:rsidR="00B66328" w:rsidP="00E71EDB" w:rsidRDefault="00B66328">
      <w:pPr>
        <w:pStyle w:val="JuPara"/>
      </w:pPr>
      <w:r>
        <w:fldChar w:fldCharType="begin"/>
      </w:r>
      <w:r w:rsidRPr="00E70362">
        <w:instrText xml:space="preserve"> SEQ level0 \*arabic </w:instrText>
      </w:r>
      <w:r>
        <w:fldChar w:fldCharType="separate"/>
      </w:r>
      <w:r w:rsidR="006D3397">
        <w:rPr>
          <w:noProof/>
        </w:rPr>
        <w:t>132</w:t>
      </w:r>
      <w:r>
        <w:fldChar w:fldCharType="end"/>
      </w:r>
      <w:r w:rsidRPr="00E70362">
        <w:t>.  </w:t>
      </w:r>
      <w:r w:rsidRPr="00055990">
        <w:t xml:space="preserve">In its judgment the Chamber gave </w:t>
      </w:r>
      <w:r>
        <w:t xml:space="preserve">an </w:t>
      </w:r>
      <w:r w:rsidRPr="00055990">
        <w:t xml:space="preserve">indication </w:t>
      </w:r>
      <w:r>
        <w:t>of</w:t>
      </w:r>
      <w:r w:rsidRPr="00055990">
        <w:t xml:space="preserve"> the method of calcu</w:t>
      </w:r>
      <w:r>
        <w:t>l</w:t>
      </w:r>
      <w:r w:rsidRPr="00055990">
        <w:t xml:space="preserve">ation used by the Court </w:t>
      </w:r>
      <w:r>
        <w:t>in determining</w:t>
      </w:r>
      <w:r w:rsidRPr="00055990">
        <w:t xml:space="preserve"> </w:t>
      </w:r>
      <w:r>
        <w:t>an e</w:t>
      </w:r>
      <w:r w:rsidRPr="00055990">
        <w:t xml:space="preserve">quitable </w:t>
      </w:r>
      <w:r>
        <w:t>assessment</w:t>
      </w:r>
      <w:r w:rsidRPr="00055990">
        <w:t xml:space="preserve"> of</w:t>
      </w:r>
      <w:r>
        <w:t xml:space="preserve"> the</w:t>
      </w:r>
      <w:r w:rsidRPr="00055990">
        <w:t xml:space="preserve"> non-pecuniary damage sustained </w:t>
      </w:r>
      <w:r>
        <w:t xml:space="preserve">as a result </w:t>
      </w:r>
      <w:r w:rsidRPr="00055990">
        <w:t>of the length of civil procee</w:t>
      </w:r>
      <w:r>
        <w:t>dings and the possibility of reducing that sum on account of the e</w:t>
      </w:r>
      <w:r w:rsidRPr="00055990">
        <w:t>xistence</w:t>
      </w:r>
      <w:r>
        <w:t xml:space="preserve"> of a domestic remedy</w:t>
      </w:r>
      <w:r w:rsidRPr="00055990">
        <w:t xml:space="preserve"> (</w:t>
      </w:r>
      <w:r w:rsidR="00A42C02">
        <w:t xml:space="preserve">see paragraph </w:t>
      </w:r>
      <w:r w:rsidRPr="00055990">
        <w:t xml:space="preserve">26 </w:t>
      </w:r>
      <w:r>
        <w:t xml:space="preserve">of the </w:t>
      </w:r>
      <w:r w:rsidR="00437744">
        <w:t xml:space="preserve">Chamber </w:t>
      </w:r>
      <w:r>
        <w:t>judgment</w:t>
      </w:r>
      <w:r w:rsidRPr="00055990">
        <w:t>).</w:t>
      </w:r>
    </w:p>
    <w:p w:rsidRPr="00A83024" w:rsidR="00B66328" w:rsidP="00B66328" w:rsidRDefault="00B66328">
      <w:pPr>
        <w:pStyle w:val="JuH1"/>
      </w:pPr>
      <w:r w:rsidRPr="001057DD">
        <w:t>2.</w:t>
      </w:r>
      <w:r w:rsidRPr="001057DD" w:rsidR="00E71EDB">
        <w:t>  </w:t>
      </w:r>
      <w:r w:rsidRPr="001057DD" w:rsidR="001A3A3D">
        <w:t xml:space="preserve">Submissions </w:t>
      </w:r>
      <w:r w:rsidR="00437744">
        <w:t>of</w:t>
      </w:r>
      <w:r w:rsidRPr="001057DD" w:rsidR="001A3A3D">
        <w:t xml:space="preserve"> those appearing before the Court</w:t>
      </w:r>
    </w:p>
    <w:p w:rsidRPr="000F387D" w:rsidR="00B66328" w:rsidP="00B66328" w:rsidRDefault="00437744">
      <w:pPr>
        <w:pStyle w:val="JuHa0"/>
      </w:pPr>
      <w:r>
        <w:t>(</w:t>
      </w:r>
      <w:r w:rsidR="00B66328">
        <w:t>a</w:t>
      </w:r>
      <w:r w:rsidR="00E71EDB">
        <w:t>)  </w:t>
      </w:r>
      <w:r w:rsidRPr="000F387D" w:rsidR="00B66328">
        <w:t>The Govern</w:t>
      </w:r>
      <w:r w:rsidR="00B66328">
        <w:t>ment</w:t>
      </w:r>
    </w:p>
    <w:p w:rsidR="00A31EB8" w:rsidP="00E71EDB" w:rsidRDefault="00B66328">
      <w:pPr>
        <w:pStyle w:val="JuPara"/>
      </w:pPr>
      <w:r>
        <w:fldChar w:fldCharType="begin"/>
      </w:r>
      <w:r w:rsidRPr="00E70362">
        <w:instrText xml:space="preserve"> SEQ level0 \*arabic </w:instrText>
      </w:r>
      <w:r>
        <w:fldChar w:fldCharType="separate"/>
      </w:r>
      <w:r w:rsidR="006D3397">
        <w:rPr>
          <w:noProof/>
        </w:rPr>
        <w:t>133</w:t>
      </w:r>
      <w:r>
        <w:fldChar w:fldCharType="end"/>
      </w:r>
      <w:r w:rsidRPr="00E70362">
        <w:t>.  </w:t>
      </w:r>
      <w:r w:rsidRPr="009262E7">
        <w:t xml:space="preserve">The Government submitted that the judgment of </w:t>
      </w:r>
      <w:smartTag w:uri="urn:schemas-microsoft-com:office:smarttags" w:element="date">
        <w:smartTagPr>
          <w:attr w:name="Month" w:val="11"/>
          <w:attr w:name="Day" w:val="10"/>
          <w:attr w:name="Year" w:val="2004"/>
        </w:smartTagPr>
        <w:r w:rsidRPr="009262E7">
          <w:t>10 November 2004</w:t>
        </w:r>
      </w:smartTag>
      <w:r w:rsidRPr="009262E7">
        <w:t xml:space="preserve"> </w:t>
      </w:r>
      <w:r>
        <w:t xml:space="preserve">represented a departure from </w:t>
      </w:r>
      <w:r w:rsidRPr="009262E7">
        <w:t xml:space="preserve">the </w:t>
      </w:r>
      <w:r>
        <w:t>Court</w:t>
      </w:r>
      <w:r w:rsidR="00C01D3E">
        <w:t>’</w:t>
      </w:r>
      <w:r>
        <w:t xml:space="preserve">s </w:t>
      </w:r>
      <w:r w:rsidRPr="009262E7">
        <w:t>settled case-law and asked</w:t>
      </w:r>
      <w:r>
        <w:t xml:space="preserve"> it to</w:t>
      </w:r>
      <w:r w:rsidRPr="009262E7">
        <w:t xml:space="preserve"> </w:t>
      </w:r>
      <w:r>
        <w:t>revert to its previous practice</w:t>
      </w:r>
      <w:r w:rsidRPr="009262E7">
        <w:t xml:space="preserve">, </w:t>
      </w:r>
      <w:r>
        <w:t>which conformed to Convention principles</w:t>
      </w:r>
      <w:r w:rsidRPr="009262E7">
        <w:t xml:space="preserve">. They noted that the criteria established </w:t>
      </w:r>
      <w:r>
        <w:t>were imprecise,</w:t>
      </w:r>
      <w:r w:rsidRPr="009262E7">
        <w:t xml:space="preserve"> particularly regarding the po</w:t>
      </w:r>
      <w:r>
        <w:t>ssibilities of reducing the amounts initially obtained</w:t>
      </w:r>
      <w:r w:rsidRPr="009262E7">
        <w:t xml:space="preserve">. </w:t>
      </w:r>
      <w:r>
        <w:t>In their submission,</w:t>
      </w:r>
      <w:r w:rsidRPr="00CF19CF">
        <w:t xml:space="preserve"> </w:t>
      </w:r>
      <w:r>
        <w:t>the amount of just satisfaction should be calculated</w:t>
      </w:r>
      <w:r w:rsidRPr="00CF19CF">
        <w:t xml:space="preserve"> only by reference t</w:t>
      </w:r>
      <w:r>
        <w:t>o the delays attributable to the State</w:t>
      </w:r>
      <w:r w:rsidRPr="00CF19CF">
        <w:t>.</w:t>
      </w:r>
    </w:p>
    <w:p w:rsidRPr="00E70362" w:rsidR="00B66328" w:rsidP="00B66328" w:rsidRDefault="00437744">
      <w:pPr>
        <w:pStyle w:val="JuHa0"/>
      </w:pPr>
      <w:r>
        <w:t>(</w:t>
      </w:r>
      <w:r w:rsidR="00B66328">
        <w:t>b</w:t>
      </w:r>
      <w:r w:rsidR="00E71EDB">
        <w:t>)  </w:t>
      </w:r>
      <w:r w:rsidRPr="00E70362" w:rsidR="00B66328">
        <w:t>The applicant</w:t>
      </w:r>
    </w:p>
    <w:p w:rsidR="00A31EB8" w:rsidP="00A94C91" w:rsidRDefault="00B66328">
      <w:pPr>
        <w:pStyle w:val="JuPara"/>
      </w:pPr>
      <w:r>
        <w:fldChar w:fldCharType="begin"/>
      </w:r>
      <w:r w:rsidRPr="00E70362">
        <w:instrText xml:space="preserve"> SEQ level0 \*arabic </w:instrText>
      </w:r>
      <w:r>
        <w:fldChar w:fldCharType="separate"/>
      </w:r>
      <w:r w:rsidR="006D3397">
        <w:rPr>
          <w:noProof/>
        </w:rPr>
        <w:t>134</w:t>
      </w:r>
      <w:r>
        <w:fldChar w:fldCharType="end"/>
      </w:r>
      <w:r w:rsidRPr="00E70362">
        <w:t>.  </w:t>
      </w:r>
      <w:r w:rsidR="00A42C02">
        <w:t>The applicant</w:t>
      </w:r>
      <w:r w:rsidRPr="0061469B">
        <w:t xml:space="preserve"> referred to the considerable difference in standard of living</w:t>
      </w:r>
      <w:r>
        <w:t xml:space="preserve"> between the third-party </w:t>
      </w:r>
      <w:smartTag w:uri="urn:schemas-microsoft-com:office:smarttags" w:element="PlaceName">
        <w:r w:rsidR="00437744">
          <w:t>intervener</w:t>
        </w:r>
      </w:smartTag>
      <w:r w:rsidR="00437744">
        <w:t xml:space="preserve"> </w:t>
      </w:r>
      <w:smartTag w:uri="urn:schemas-microsoft-com:office:smarttags" w:element="PlaceType">
        <w:r>
          <w:t>States</w:t>
        </w:r>
      </w:smartTag>
      <w:r w:rsidRPr="0061469B">
        <w:t xml:space="preserve"> and </w:t>
      </w:r>
      <w:smartTag w:uri="urn:schemas-microsoft-com:office:smarttags" w:element="place">
        <w:smartTag w:uri="urn:schemas-microsoft-com:office:smarttags" w:element="country-region">
          <w:r w:rsidRPr="0061469B">
            <w:t>Italy</w:t>
          </w:r>
        </w:smartTag>
      </w:smartTag>
      <w:r w:rsidRPr="0061469B">
        <w:t xml:space="preserve"> and submitted that the level of compensation could not therefore be the same. </w:t>
      </w:r>
      <w:r w:rsidRPr="001057DD" w:rsidR="001952BC">
        <w:t>He noted that</w:t>
      </w:r>
      <w:r w:rsidRPr="0061469B">
        <w:t xml:space="preserve"> compensation served as a coercive measure </w:t>
      </w:r>
      <w:r w:rsidRPr="001057DD" w:rsidR="001A332F">
        <w:t>against</w:t>
      </w:r>
      <w:r w:rsidRPr="0061469B">
        <w:t xml:space="preserve"> </w:t>
      </w:r>
      <w:r w:rsidRPr="00ED7CE9">
        <w:t>non-complying</w:t>
      </w:r>
      <w:r>
        <w:t xml:space="preserve"> </w:t>
      </w:r>
      <w:r w:rsidRPr="0061469B">
        <w:t>States</w:t>
      </w:r>
      <w:r>
        <w:t xml:space="preserve"> that were</w:t>
      </w:r>
      <w:r w:rsidRPr="0061469B">
        <w:t xml:space="preserve"> bound by their undertaking under Article 1 o</w:t>
      </w:r>
      <w:r>
        <w:t>f the</w:t>
      </w:r>
      <w:r w:rsidRPr="0061469B">
        <w:t xml:space="preserve"> Convention </w:t>
      </w:r>
      <w:r>
        <w:t>to r</w:t>
      </w:r>
      <w:r w:rsidRPr="0061469B">
        <w:t>espect</w:t>
      </w:r>
      <w:r>
        <w:t xml:space="preserve"> the fundamental rights and liberties recognised by the</w:t>
      </w:r>
      <w:r w:rsidRPr="0061469B">
        <w:t xml:space="preserve"> Convention. </w:t>
      </w:r>
      <w:r w:rsidRPr="00BD4982">
        <w:t xml:space="preserve">In his </w:t>
      </w:r>
      <w:r w:rsidRPr="001057DD" w:rsidR="001952BC">
        <w:t>submission</w:t>
      </w:r>
      <w:r w:rsidRPr="00BD4982">
        <w:t>, a richer State could properly be ordered to pay higher amounts</w:t>
      </w:r>
      <w:r w:rsidR="001A332F">
        <w:t xml:space="preserve"> </w:t>
      </w:r>
      <w:r w:rsidRPr="001057DD" w:rsidR="001A332F">
        <w:t>than those required from poorer ones</w:t>
      </w:r>
      <w:r w:rsidRPr="00BD4982">
        <w:t xml:space="preserve"> in order to encourage it to remedy its judicial system, particularly</w:t>
      </w:r>
      <w:r>
        <w:t xml:space="preserve"> where </w:t>
      </w:r>
      <w:r w:rsidRPr="001057DD">
        <w:t>the State</w:t>
      </w:r>
      <w:r w:rsidRPr="001057DD" w:rsidR="001A332F">
        <w:t xml:space="preserve"> in question</w:t>
      </w:r>
      <w:r>
        <w:t xml:space="preserve"> was found to have committed the same</w:t>
      </w:r>
      <w:r w:rsidRPr="00BD4982">
        <w:t xml:space="preserve"> type</w:t>
      </w:r>
      <w:r>
        <w:t xml:space="preserve"> of</w:t>
      </w:r>
      <w:r w:rsidRPr="00BD4982">
        <w:t xml:space="preserve"> violations</w:t>
      </w:r>
      <w:r>
        <w:t xml:space="preserve"> for dozens of years in respect of thousands of cases</w:t>
      </w:r>
      <w:r w:rsidRPr="00BD4982">
        <w:t xml:space="preserve">. </w:t>
      </w:r>
      <w:r w:rsidRPr="00000C92">
        <w:t xml:space="preserve">He noted that the criteria </w:t>
      </w:r>
      <w:r>
        <w:t>established</w:t>
      </w:r>
      <w:r w:rsidRPr="00000C92">
        <w:t xml:space="preserve"> in the judgment in question had merely </w:t>
      </w:r>
      <w:r>
        <w:t>revealed the</w:t>
      </w:r>
      <w:r w:rsidRPr="00000C92">
        <w:t xml:space="preserve"> criteria that had been</w:t>
      </w:r>
      <w:r>
        <w:t xml:space="preserve"> applied for a very long time by the Court and were perfectly </w:t>
      </w:r>
      <w:r w:rsidRPr="00000C92">
        <w:t>compatible</w:t>
      </w:r>
      <w:r>
        <w:t xml:space="preserve"> with the standard of living of Italian citizens</w:t>
      </w:r>
      <w:r w:rsidRPr="00000C92">
        <w:t xml:space="preserve">. </w:t>
      </w:r>
      <w:r w:rsidRPr="00B0201C">
        <w:t xml:space="preserve">He stated that Italian lawyers, </w:t>
      </w:r>
      <w:r w:rsidR="00710EA4">
        <w:t>who had access to</w:t>
      </w:r>
      <w:r w:rsidRPr="00B0201C">
        <w:t xml:space="preserve"> the judgments in </w:t>
      </w:r>
      <w:r>
        <w:t>F</w:t>
      </w:r>
      <w:r w:rsidRPr="00B0201C">
        <w:t>rench or English</w:t>
      </w:r>
      <w:r>
        <w:t xml:space="preserve"> –</w:t>
      </w:r>
      <w:r w:rsidRPr="00B0201C">
        <w:t xml:space="preserve"> for want of an Italian version</w:t>
      </w:r>
      <w:r>
        <w:t xml:space="preserve"> – had already succeeded in deducing from the Court</w:t>
      </w:r>
      <w:r w:rsidR="00C01D3E">
        <w:t>’</w:t>
      </w:r>
      <w:r>
        <w:t>s judgments all the criteria now being disputed by the Governmen</w:t>
      </w:r>
      <w:r w:rsidRPr="00B0201C">
        <w:t xml:space="preserve">t. </w:t>
      </w:r>
      <w:r w:rsidRPr="001E13DE">
        <w:t xml:space="preserve">He </w:t>
      </w:r>
      <w:r w:rsidR="0008493D">
        <w:t>further</w:t>
      </w:r>
      <w:r w:rsidRPr="001E13DE" w:rsidR="0008493D">
        <w:t xml:space="preserve"> </w:t>
      </w:r>
      <w:r w:rsidRPr="001E13DE">
        <w:t>submitted that the Cou</w:t>
      </w:r>
      <w:r>
        <w:t>r</w:t>
      </w:r>
      <w:r w:rsidRPr="001E13DE">
        <w:t>t could not be expected</w:t>
      </w:r>
      <w:r>
        <w:t xml:space="preserve"> to draw up an </w:t>
      </w:r>
      <w:r w:rsidRPr="001E13DE">
        <w:t xml:space="preserve">exhaustive </w:t>
      </w:r>
      <w:r>
        <w:t>list</w:t>
      </w:r>
      <w:r w:rsidRPr="001E13DE">
        <w:t xml:space="preserve"> </w:t>
      </w:r>
      <w:r>
        <w:t>of all the possibilities of reducing or increasing awards</w:t>
      </w:r>
      <w:r w:rsidRPr="001E13DE">
        <w:t xml:space="preserve">. </w:t>
      </w:r>
      <w:r w:rsidRPr="00056890">
        <w:t xml:space="preserve">He </w:t>
      </w:r>
      <w:r>
        <w:t>argued</w:t>
      </w:r>
      <w:r w:rsidRPr="00056890">
        <w:t>,</w:t>
      </w:r>
      <w:r>
        <w:t xml:space="preserve"> lastly, that i</w:t>
      </w:r>
      <w:r w:rsidRPr="00056890">
        <w:t xml:space="preserve">t was </w:t>
      </w:r>
      <w:r>
        <w:t>down to</w:t>
      </w:r>
      <w:r w:rsidRPr="00056890">
        <w:t xml:space="preserve"> the domestic courts to </w:t>
      </w:r>
      <w:r>
        <w:t>consult</w:t>
      </w:r>
      <w:r w:rsidRPr="00056890">
        <w:t xml:space="preserve"> the</w:t>
      </w:r>
      <w:r>
        <w:t xml:space="preserve"> Court</w:t>
      </w:r>
      <w:r w:rsidR="00C01D3E">
        <w:t>’</w:t>
      </w:r>
      <w:r>
        <w:t>s</w:t>
      </w:r>
      <w:r w:rsidRPr="00056890">
        <w:t xml:space="preserve"> case-la</w:t>
      </w:r>
      <w:r>
        <w:t>w in order to find the Court</w:t>
      </w:r>
      <w:r w:rsidR="00C01D3E">
        <w:t>’</w:t>
      </w:r>
      <w:r>
        <w:t>s</w:t>
      </w:r>
      <w:r w:rsidRPr="009F0021">
        <w:t xml:space="preserve"> </w:t>
      </w:r>
      <w:r>
        <w:t>response to a given situation</w:t>
      </w:r>
      <w:r w:rsidRPr="00056890">
        <w:t>.</w:t>
      </w:r>
    </w:p>
    <w:p w:rsidR="00A31EB8" w:rsidP="00B66328" w:rsidRDefault="00B66328">
      <w:pPr>
        <w:pStyle w:val="JuH1"/>
      </w:pPr>
      <w:r>
        <w:t>3.</w:t>
      </w:r>
      <w:r w:rsidR="00E71EDB">
        <w:t>  </w:t>
      </w:r>
      <w:r w:rsidR="00437744">
        <w:t>Third-party interveners</w:t>
      </w:r>
    </w:p>
    <w:p w:rsidR="00B66328" w:rsidP="00B66328" w:rsidRDefault="00437744">
      <w:pPr>
        <w:pStyle w:val="JuHa0"/>
      </w:pPr>
      <w:r>
        <w:t>(</w:t>
      </w:r>
      <w:r w:rsidR="00E71EDB">
        <w:t>a)  </w:t>
      </w:r>
      <w:r w:rsidR="00B66328">
        <w:t>The Czech Government</w:t>
      </w:r>
    </w:p>
    <w:p w:rsidRPr="00126932" w:rsidR="00B66328" w:rsidP="00E71EDB" w:rsidRDefault="00B66328">
      <w:pPr>
        <w:pStyle w:val="JuPara"/>
      </w:pPr>
      <w:r>
        <w:fldChar w:fldCharType="begin"/>
      </w:r>
      <w:r w:rsidRPr="00C94E62">
        <w:instrText xml:space="preserve"> SEQ level0 \*arabic </w:instrText>
      </w:r>
      <w:r>
        <w:fldChar w:fldCharType="separate"/>
      </w:r>
      <w:r w:rsidR="006D3397">
        <w:rPr>
          <w:noProof/>
        </w:rPr>
        <w:t>135</w:t>
      </w:r>
      <w:r>
        <w:fldChar w:fldCharType="end"/>
      </w:r>
      <w:r w:rsidRPr="00C94E62">
        <w:t>.  </w:t>
      </w:r>
      <w:r w:rsidRPr="00126932">
        <w:t>As the Czech Government had decided, in addition to</w:t>
      </w:r>
      <w:r w:rsidR="00A779D6">
        <w:t xml:space="preserve"> introducing a</w:t>
      </w:r>
      <w:r w:rsidRPr="00126932">
        <w:t xml:space="preserve"> preventive remedy, to enact a law providing for a compensatory remedy, </w:t>
      </w:r>
      <w:r>
        <w:t>they</w:t>
      </w:r>
      <w:r w:rsidRPr="00126932">
        <w:t xml:space="preserve"> felt obliged to p</w:t>
      </w:r>
      <w:r>
        <w:t xml:space="preserve">ropose </w:t>
      </w:r>
      <w:r w:rsidR="00A779D6">
        <w:t>a law</w:t>
      </w:r>
      <w:r>
        <w:t xml:space="preserve"> </w:t>
      </w:r>
      <w:r w:rsidR="00A779D6">
        <w:t>that</w:t>
      </w:r>
      <w:r>
        <w:t xml:space="preserve"> would be sufficiently foreseeable. </w:t>
      </w:r>
      <w:r w:rsidR="00A779D6">
        <w:t>They referred to di</w:t>
      </w:r>
      <w:r>
        <w:t>fficult</w:t>
      </w:r>
      <w:r w:rsidR="00A779D6">
        <w:t xml:space="preserve">ies in that regard, submitting that </w:t>
      </w:r>
      <w:r>
        <w:t>neither the</w:t>
      </w:r>
      <w:r w:rsidRPr="00126932">
        <w:t xml:space="preserve"> Convention</w:t>
      </w:r>
      <w:r>
        <w:t xml:space="preserve"> nor the Court</w:t>
      </w:r>
      <w:r w:rsidR="00C01D3E">
        <w:t>’</w:t>
      </w:r>
      <w:r>
        <w:t>s case-law provided sufficient</w:t>
      </w:r>
      <w:r w:rsidRPr="00126932">
        <w:t xml:space="preserve"> clarification.</w:t>
      </w:r>
      <w:r w:rsidRPr="00C513C1">
        <w:t xml:space="preserve"> </w:t>
      </w:r>
      <w:r w:rsidRPr="009F0021">
        <w:t>The</w:t>
      </w:r>
      <w:r>
        <w:t>y</w:t>
      </w:r>
      <w:r w:rsidRPr="009F0021">
        <w:t xml:space="preserve"> </w:t>
      </w:r>
      <w:r>
        <w:t>requested</w:t>
      </w:r>
      <w:r w:rsidRPr="009F0021">
        <w:t xml:space="preserve"> more information about the criteria used by the Court, cases that could be </w:t>
      </w:r>
      <w:r>
        <w:t>regarded as “similar”</w:t>
      </w:r>
      <w:r w:rsidRPr="009F0021">
        <w:t xml:space="preserve"> </w:t>
      </w:r>
      <w:r>
        <w:t>and the threshold level of the “reasonable” relation.</w:t>
      </w:r>
    </w:p>
    <w:p w:rsidRPr="00A83024" w:rsidR="00B66328" w:rsidP="00B66328" w:rsidRDefault="00437744">
      <w:pPr>
        <w:pStyle w:val="JuHa0"/>
      </w:pPr>
      <w:r>
        <w:t>(</w:t>
      </w:r>
      <w:r w:rsidR="00B66328">
        <w:t>b</w:t>
      </w:r>
      <w:r w:rsidR="00E71EDB">
        <w:t>)  </w:t>
      </w:r>
      <w:r w:rsidRPr="00A83024" w:rsidR="00B66328">
        <w:t>The Polish Government</w:t>
      </w:r>
    </w:p>
    <w:p w:rsidRPr="00B13D3D" w:rsidR="00B66328" w:rsidP="00E71EDB" w:rsidRDefault="00B66328">
      <w:pPr>
        <w:pStyle w:val="JuPara"/>
      </w:pPr>
      <w:r>
        <w:fldChar w:fldCharType="begin"/>
      </w:r>
      <w:r w:rsidRPr="00C94E62">
        <w:instrText xml:space="preserve"> SEQ level0 \*arabic </w:instrText>
      </w:r>
      <w:r>
        <w:fldChar w:fldCharType="separate"/>
      </w:r>
      <w:r w:rsidR="006D3397">
        <w:rPr>
          <w:noProof/>
        </w:rPr>
        <w:t>136</w:t>
      </w:r>
      <w:r>
        <w:fldChar w:fldCharType="end"/>
      </w:r>
      <w:r w:rsidRPr="00C94E62">
        <w:t>.  </w:t>
      </w:r>
      <w:r w:rsidRPr="001069A8">
        <w:t xml:space="preserve">In </w:t>
      </w:r>
      <w:r>
        <w:t>the Polish Government</w:t>
      </w:r>
      <w:r w:rsidR="00C01D3E">
        <w:t>’</w:t>
      </w:r>
      <w:r>
        <w:t>s</w:t>
      </w:r>
      <w:r w:rsidRPr="001069A8">
        <w:t xml:space="preserve"> submission, the Court should indicate wh</w:t>
      </w:r>
      <w:r>
        <w:t>at just</w:t>
      </w:r>
      <w:r w:rsidRPr="001069A8">
        <w:t xml:space="preserve"> satisfaction </w:t>
      </w:r>
      <w:r>
        <w:t>consisted of</w:t>
      </w:r>
      <w:r w:rsidRPr="001069A8">
        <w:t xml:space="preserve">. </w:t>
      </w:r>
      <w:r w:rsidRPr="00B13D3D">
        <w:t xml:space="preserve">If precise </w:t>
      </w:r>
      <w:r w:rsidRPr="001057DD">
        <w:t>indicat</w:t>
      </w:r>
      <w:r w:rsidRPr="001057DD" w:rsidR="008C48D1">
        <w:t>ion</w:t>
      </w:r>
      <w:r w:rsidRPr="001057DD">
        <w:t>s</w:t>
      </w:r>
      <w:r w:rsidRPr="00B13D3D">
        <w:t xml:space="preserve"> were not given, inconsistencies were likely to arise </w:t>
      </w:r>
      <w:r>
        <w:t>between</w:t>
      </w:r>
      <w:r w:rsidRPr="003C0AEA">
        <w:t xml:space="preserve"> </w:t>
      </w:r>
      <w:r w:rsidRPr="00B13D3D">
        <w:t>domestic case-law</w:t>
      </w:r>
      <w:r>
        <w:t xml:space="preserve"> and</w:t>
      </w:r>
      <w:r w:rsidRPr="00B13D3D">
        <w:t xml:space="preserve"> the Court</w:t>
      </w:r>
      <w:r w:rsidR="00C01D3E">
        <w:t>’</w:t>
      </w:r>
      <w:r w:rsidRPr="00B13D3D">
        <w:t xml:space="preserve">s case-law. </w:t>
      </w:r>
      <w:r w:rsidRPr="001057DD" w:rsidR="001952BC">
        <w:t>A</w:t>
      </w:r>
      <w:r w:rsidRPr="001057DD">
        <w:t>pplicants and Governments</w:t>
      </w:r>
      <w:r w:rsidRPr="00B13D3D">
        <w:t xml:space="preserve"> alike </w:t>
      </w:r>
      <w:r w:rsidR="00BC799B">
        <w:t xml:space="preserve">would find it </w:t>
      </w:r>
      <w:r w:rsidRPr="00B13D3D" w:rsidR="00BC799B">
        <w:t xml:space="preserve">very difficult </w:t>
      </w:r>
      <w:r w:rsidRPr="00B13D3D">
        <w:t>to establish general rules</w:t>
      </w:r>
      <w:r>
        <w:t xml:space="preserve"> concerning</w:t>
      </w:r>
      <w:r w:rsidRPr="00B13D3D">
        <w:t xml:space="preserve"> </w:t>
      </w:r>
      <w:r>
        <w:t xml:space="preserve">just </w:t>
      </w:r>
      <w:r w:rsidRPr="00B13D3D">
        <w:t>satisfaction</w:t>
      </w:r>
      <w:r>
        <w:t xml:space="preserve"> from</w:t>
      </w:r>
      <w:r w:rsidRPr="00B13D3D">
        <w:t xml:space="preserve"> </w:t>
      </w:r>
      <w:r>
        <w:t>the Court</w:t>
      </w:r>
      <w:r w:rsidR="00C01D3E">
        <w:t>’</w:t>
      </w:r>
      <w:r>
        <w:t>s case-law</w:t>
      </w:r>
      <w:r w:rsidRPr="00B13D3D">
        <w:t>. Accordingly, the domestic courts were not in a position to rely on the Court</w:t>
      </w:r>
      <w:r w:rsidR="00C01D3E">
        <w:t>’</w:t>
      </w:r>
      <w:r w:rsidRPr="00B13D3D">
        <w:t>s case</w:t>
      </w:r>
      <w:r>
        <w:t>-law and make dec</w:t>
      </w:r>
      <w:r w:rsidRPr="00B13D3D">
        <w:t>isions compatible</w:t>
      </w:r>
      <w:r>
        <w:t xml:space="preserve"> with it</w:t>
      </w:r>
      <w:r w:rsidRPr="00B13D3D">
        <w:t>.</w:t>
      </w:r>
    </w:p>
    <w:p w:rsidRPr="00A83024" w:rsidR="00B66328" w:rsidP="00B66328" w:rsidRDefault="00437744">
      <w:pPr>
        <w:pStyle w:val="JuHa0"/>
      </w:pPr>
      <w:r>
        <w:t>(</w:t>
      </w:r>
      <w:r w:rsidR="00B66328">
        <w:t>c)</w:t>
      </w:r>
      <w:r w:rsidR="00E71EDB">
        <w:t>  </w:t>
      </w:r>
      <w:r w:rsidRPr="00A83024" w:rsidR="00B66328">
        <w:t>The Slovak</w:t>
      </w:r>
      <w:r>
        <w:t>ian</w:t>
      </w:r>
      <w:r w:rsidRPr="00A83024" w:rsidR="00B66328">
        <w:t xml:space="preserve"> Government</w:t>
      </w:r>
    </w:p>
    <w:p w:rsidRPr="00955294" w:rsidR="00B66328" w:rsidP="00E71EDB" w:rsidRDefault="00B66328">
      <w:pPr>
        <w:pStyle w:val="JuPara"/>
      </w:pPr>
      <w:r>
        <w:fldChar w:fldCharType="begin"/>
      </w:r>
      <w:r w:rsidRPr="00C94E62">
        <w:instrText xml:space="preserve"> SEQ level0 \*arabic </w:instrText>
      </w:r>
      <w:r>
        <w:fldChar w:fldCharType="separate"/>
      </w:r>
      <w:r w:rsidR="006D3397">
        <w:rPr>
          <w:noProof/>
        </w:rPr>
        <w:t>137</w:t>
      </w:r>
      <w:r>
        <w:fldChar w:fldCharType="end"/>
      </w:r>
      <w:r w:rsidRPr="00C94E62">
        <w:t>.  </w:t>
      </w:r>
      <w:r w:rsidRPr="006F3359">
        <w:t>The</w:t>
      </w:r>
      <w:r>
        <w:t xml:space="preserve"> Slovak</w:t>
      </w:r>
      <w:r w:rsidR="0000618D">
        <w:t>ian</w:t>
      </w:r>
      <w:r>
        <w:t xml:space="preserve"> Government</w:t>
      </w:r>
      <w:r w:rsidRPr="006F3359">
        <w:t xml:space="preserve"> </w:t>
      </w:r>
      <w:r w:rsidRPr="001057DD">
        <w:t>appreciated</w:t>
      </w:r>
      <w:r w:rsidRPr="006F3359">
        <w:t xml:space="preserve"> </w:t>
      </w:r>
      <w:r>
        <w:t>the</w:t>
      </w:r>
      <w:r w:rsidRPr="006F3359">
        <w:t xml:space="preserve"> attempt made by the Court to specify the criteria for determining awards</w:t>
      </w:r>
      <w:r w:rsidR="002E5B4F">
        <w:t xml:space="preserve"> in respect</w:t>
      </w:r>
      <w:r w:rsidRPr="006F3359">
        <w:t xml:space="preserve"> of non-pecuniary damage. </w:t>
      </w:r>
      <w:r>
        <w:t>However, they added that t</w:t>
      </w:r>
      <w:r w:rsidRPr="006F3359">
        <w:t>he considerations on which the Court based its determination of non-pecuniary damage sh</w:t>
      </w:r>
      <w:r>
        <w:t>ould form part of the reasons for its de</w:t>
      </w:r>
      <w:r w:rsidRPr="006F3359">
        <w:t xml:space="preserve">cision. </w:t>
      </w:r>
      <w:r w:rsidRPr="00955294">
        <w:t>It was only in that way that the Court</w:t>
      </w:r>
      <w:r w:rsidR="00C01D3E">
        <w:t>’</w:t>
      </w:r>
      <w:r w:rsidRPr="00955294">
        <w:t>s judgments would become clear instructions for th</w:t>
      </w:r>
      <w:r>
        <w:t>e domestic courts</w:t>
      </w:r>
      <w:r w:rsidRPr="00955294">
        <w:t xml:space="preserve">, </w:t>
      </w:r>
      <w:r>
        <w:t>which determined awards in respect of non-pecuniary damage caused by delays in the proceedings</w:t>
      </w:r>
      <w:r w:rsidRPr="00955294">
        <w:t>.</w:t>
      </w:r>
      <w:r w:rsidR="00BC799B">
        <w:t xml:space="preserve"> </w:t>
      </w:r>
      <w:r w:rsidRPr="00955294">
        <w:t>I</w:t>
      </w:r>
      <w:r>
        <w:t>n the Slovak</w:t>
      </w:r>
      <w:r w:rsidR="0000618D">
        <w:t>ian</w:t>
      </w:r>
      <w:r>
        <w:t xml:space="preserve"> Government</w:t>
      </w:r>
      <w:r w:rsidR="00C01D3E">
        <w:t>’</w:t>
      </w:r>
      <w:r>
        <w:t>s submission, it</w:t>
      </w:r>
      <w:r w:rsidRPr="00955294">
        <w:t xml:space="preserve"> was </w:t>
      </w:r>
      <w:r>
        <w:t>im</w:t>
      </w:r>
      <w:r w:rsidRPr="00955294">
        <w:t>possible to translate into figures all t</w:t>
      </w:r>
      <w:r>
        <w:t>he</w:t>
      </w:r>
      <w:r w:rsidRPr="00955294">
        <w:t>s</w:t>
      </w:r>
      <w:r>
        <w:t>e</w:t>
      </w:r>
      <w:r w:rsidRPr="00955294">
        <w:t xml:space="preserve"> aspects</w:t>
      </w:r>
      <w:r>
        <w:t xml:space="preserve"> or to foresee every </w:t>
      </w:r>
      <w:r w:rsidRPr="00955294">
        <w:t>situation</w:t>
      </w:r>
      <w:r>
        <w:t xml:space="preserve"> that might arise</w:t>
      </w:r>
      <w:r w:rsidRPr="00955294">
        <w:t xml:space="preserve">. The Court was not expected to define a precise formula by which the amount awarded </w:t>
      </w:r>
      <w:r>
        <w:t>for non-pecuniary damage flowing from the protractedness of proceedings could be calculated or to determine precise amount</w:t>
      </w:r>
      <w:r w:rsidRPr="00955294">
        <w:t>s. It was, in their view, more important</w:t>
      </w:r>
      <w:r>
        <w:t xml:space="preserve"> that the Court ga</w:t>
      </w:r>
      <w:r w:rsidRPr="00955294">
        <w:t xml:space="preserve">ve sufficient justification in its decisions for the manner in which the criteria </w:t>
      </w:r>
      <w:r>
        <w:t>to which regard was had when</w:t>
      </w:r>
      <w:r w:rsidRPr="00853ACF">
        <w:t xml:space="preserve"> assessing</w:t>
      </w:r>
      <w:r>
        <w:t xml:space="preserve"> the reasonableness of the length of the proceedings were then taken into account to determine the amount awarded for non-pecuniary damage arising from the delays in the proceedings. It was clear from the foregoing that applicants should be awarded the same amount in compa</w:t>
      </w:r>
      <w:r w:rsidRPr="00955294">
        <w:t>rable</w:t>
      </w:r>
      <w:r>
        <w:t xml:space="preserve"> case</w:t>
      </w:r>
      <w:r w:rsidRPr="00955294">
        <w:t>s.</w:t>
      </w:r>
    </w:p>
    <w:p w:rsidR="00A31EB8" w:rsidP="00B66328" w:rsidRDefault="00B66328">
      <w:pPr>
        <w:pStyle w:val="JuH1"/>
      </w:pPr>
      <w:r>
        <w:t>4.</w:t>
      </w:r>
      <w:r w:rsidR="00E71EDB">
        <w:t>  </w:t>
      </w:r>
      <w:r w:rsidRPr="00A83024">
        <w:t>The Court</w:t>
      </w:r>
      <w:r w:rsidR="00C01D3E">
        <w:t>’</w:t>
      </w:r>
      <w:r w:rsidRPr="00A83024">
        <w:t>s criteria</w:t>
      </w:r>
    </w:p>
    <w:p w:rsidRPr="00DE01A1" w:rsidR="00B66328" w:rsidP="00E71EDB" w:rsidRDefault="00B66328">
      <w:pPr>
        <w:pStyle w:val="JuPara"/>
      </w:pPr>
      <w:r>
        <w:fldChar w:fldCharType="begin"/>
      </w:r>
      <w:r w:rsidRPr="00E70362">
        <w:instrText xml:space="preserve"> SEQ level0 \*arabic </w:instrText>
      </w:r>
      <w:r>
        <w:fldChar w:fldCharType="separate"/>
      </w:r>
      <w:r w:rsidR="006D3397">
        <w:rPr>
          <w:noProof/>
        </w:rPr>
        <w:t>138</w:t>
      </w:r>
      <w:r>
        <w:fldChar w:fldCharType="end"/>
      </w:r>
      <w:r w:rsidRPr="00E70362">
        <w:t>.  </w:t>
      </w:r>
      <w:r w:rsidRPr="00DE01A1">
        <w:t xml:space="preserve">In reply to the Governments, </w:t>
      </w:r>
      <w:r>
        <w:t>the Court</w:t>
      </w:r>
      <w:r w:rsidRPr="00DE01A1">
        <w:t xml:space="preserve"> </w:t>
      </w:r>
      <w:r>
        <w:t>states at the outset that</w:t>
      </w:r>
      <w:r w:rsidRPr="00DE01A1">
        <w:t xml:space="preserve"> </w:t>
      </w:r>
      <w:r>
        <w:t>by “</w:t>
      </w:r>
      <w:r w:rsidRPr="00DE01A1">
        <w:t>similar cases</w:t>
      </w:r>
      <w:r>
        <w:t>”</w:t>
      </w:r>
      <w:r w:rsidRPr="00DE01A1">
        <w:t xml:space="preserve"> </w:t>
      </w:r>
      <w:r>
        <w:t>it means</w:t>
      </w:r>
      <w:r w:rsidRPr="00DE01A1">
        <w:t xml:space="preserve"> </w:t>
      </w:r>
      <w:r>
        <w:t xml:space="preserve">any </w:t>
      </w:r>
      <w:r w:rsidRPr="00DE01A1">
        <w:t xml:space="preserve">two </w:t>
      </w:r>
      <w:r>
        <w:t>sets of proceedings that have lasted for</w:t>
      </w:r>
      <w:r w:rsidRPr="00DE01A1">
        <w:t xml:space="preserve"> the same number of years, for </w:t>
      </w:r>
      <w:r>
        <w:t>an identical</w:t>
      </w:r>
      <w:r w:rsidRPr="00DE01A1">
        <w:t xml:space="preserve"> n</w:t>
      </w:r>
      <w:r>
        <w:t>umber of levels of jurisdiction</w:t>
      </w:r>
      <w:r w:rsidRPr="00DE01A1">
        <w:t xml:space="preserve">, </w:t>
      </w:r>
      <w:r>
        <w:t>with stakes of equivalent importance</w:t>
      </w:r>
      <w:r w:rsidRPr="00DE01A1">
        <w:t xml:space="preserve">, </w:t>
      </w:r>
      <w:r>
        <w:t>much the same conduct on the part of the applicant and in respect of the same country</w:t>
      </w:r>
      <w:r w:rsidR="00E71EDB">
        <w:t>.</w:t>
      </w:r>
    </w:p>
    <w:p w:rsidRPr="007D0625" w:rsidR="00B66328" w:rsidP="00E71EDB" w:rsidRDefault="00B66328">
      <w:pPr>
        <w:pStyle w:val="JuPara"/>
      </w:pPr>
      <w:r w:rsidRPr="007D0625">
        <w:t>Moreover, it shares the Slovak</w:t>
      </w:r>
      <w:r w:rsidR="0000618D">
        <w:t>ian</w:t>
      </w:r>
      <w:r w:rsidRPr="007D0625">
        <w:t xml:space="preserve"> Government</w:t>
      </w:r>
      <w:r w:rsidR="00C01D3E">
        <w:t>’</w:t>
      </w:r>
      <w:r>
        <w:t>s view that it would be impossible and impracticable to try to</w:t>
      </w:r>
      <w:r w:rsidRPr="006E06F1">
        <w:t xml:space="preserve"> </w:t>
      </w:r>
      <w:r>
        <w:t>provide</w:t>
      </w:r>
      <w:r w:rsidRPr="007D0625">
        <w:t xml:space="preserve"> a</w:t>
      </w:r>
      <w:r>
        <w:t xml:space="preserve"> list</w:t>
      </w:r>
      <w:r w:rsidRPr="007D0625">
        <w:t xml:space="preserve"> of detailed explanations </w:t>
      </w:r>
      <w:r>
        <w:t>covering every eventuality and considers that all the necessary elements can be found in its previous decisions available in</w:t>
      </w:r>
      <w:r w:rsidR="00E71EDB">
        <w:t xml:space="preserve"> the Court</w:t>
      </w:r>
      <w:r w:rsidR="00C01D3E">
        <w:t>’</w:t>
      </w:r>
      <w:r w:rsidR="00E71EDB">
        <w:t>s case-law database.</w:t>
      </w:r>
    </w:p>
    <w:p w:rsidR="00A31EB8" w:rsidP="00E71EDB" w:rsidRDefault="00B66328">
      <w:pPr>
        <w:pStyle w:val="JuPara"/>
      </w:pPr>
      <w:r>
        <w:fldChar w:fldCharType="begin"/>
      </w:r>
      <w:r w:rsidRPr="00E70362">
        <w:instrText xml:space="preserve"> SEQ level0 \*arabic </w:instrText>
      </w:r>
      <w:r>
        <w:fldChar w:fldCharType="separate"/>
      </w:r>
      <w:r w:rsidR="006D3397">
        <w:rPr>
          <w:noProof/>
        </w:rPr>
        <w:t>139</w:t>
      </w:r>
      <w:r>
        <w:fldChar w:fldCharType="end"/>
      </w:r>
      <w:r w:rsidRPr="00E70362">
        <w:t>.  </w:t>
      </w:r>
      <w:r w:rsidRPr="004B56CC">
        <w:t xml:space="preserve">It </w:t>
      </w:r>
      <w:r w:rsidR="009C75D4">
        <w:t>indicates</w:t>
      </w:r>
      <w:r w:rsidRPr="004B56CC">
        <w:t xml:space="preserve"> next t</w:t>
      </w:r>
      <w:r>
        <w:t>ha</w:t>
      </w:r>
      <w:r w:rsidRPr="004B56CC">
        <w:t>t the amoun</w:t>
      </w:r>
      <w:r>
        <w:t>t</w:t>
      </w:r>
      <w:r w:rsidRPr="004B56CC">
        <w:t xml:space="preserve"> </w:t>
      </w:r>
      <w:r>
        <w:t xml:space="preserve">it will </w:t>
      </w:r>
      <w:r w:rsidRPr="004B56CC">
        <w:t xml:space="preserve">award in </w:t>
      </w:r>
      <w:r w:rsidR="008C48D1">
        <w:t xml:space="preserve">respect of </w:t>
      </w:r>
      <w:r w:rsidRPr="004B56CC">
        <w:t xml:space="preserve">non-pecuniary damage </w:t>
      </w:r>
      <w:r>
        <w:t>may</w:t>
      </w:r>
      <w:r w:rsidRPr="004B56CC">
        <w:t xml:space="preserve"> be less </w:t>
      </w:r>
      <w:r>
        <w:t xml:space="preserve">than that indicated in its case-law </w:t>
      </w:r>
      <w:r w:rsidRPr="004B56CC">
        <w:t>where the applicant has already obtained a finding of a violat</w:t>
      </w:r>
      <w:r>
        <w:t xml:space="preserve">ion at domestic level and </w:t>
      </w:r>
      <w:r w:rsidR="008C48D1">
        <w:t>compensation</w:t>
      </w:r>
      <w:r>
        <w:t xml:space="preserve"> by using a domestic remedy</w:t>
      </w:r>
      <w:r w:rsidRPr="004B56CC">
        <w:t xml:space="preserve">. </w:t>
      </w:r>
      <w:r w:rsidRPr="00690F44">
        <w:t>Apart from the fact that the existence of a domestic remedy is fully in keeping with the subsidiarity principle embodied in the Convention, such a remedy is closer</w:t>
      </w:r>
      <w:r>
        <w:t xml:space="preserve"> </w:t>
      </w:r>
      <w:r w:rsidRPr="00690F44">
        <w:t xml:space="preserve">and more accessible </w:t>
      </w:r>
      <w:r>
        <w:t xml:space="preserve">than an application to the </w:t>
      </w:r>
      <w:r w:rsidRPr="00690F44">
        <w:t>Cour</w:t>
      </w:r>
      <w:r>
        <w:t>t</w:t>
      </w:r>
      <w:r w:rsidRPr="00690F44">
        <w:t>,</w:t>
      </w:r>
      <w:r>
        <w:t xml:space="preserve"> is faster and is processed in the applicant</w:t>
      </w:r>
      <w:r w:rsidR="00C01D3E">
        <w:t>’</w:t>
      </w:r>
      <w:r>
        <w:t>s own language; it thus offers advantages that need to be taken into conside</w:t>
      </w:r>
      <w:r w:rsidR="00710EA4">
        <w:t>ration (see paragraph</w:t>
      </w:r>
      <w:r w:rsidRPr="00690F44">
        <w:t xml:space="preserve"> 26 of the Chamber judgment).</w:t>
      </w:r>
    </w:p>
    <w:p w:rsidR="00A31EB8" w:rsidP="00E71EDB" w:rsidRDefault="00B66328">
      <w:pPr>
        <w:pStyle w:val="JuPara"/>
      </w:pPr>
      <w:r>
        <w:fldChar w:fldCharType="begin"/>
      </w:r>
      <w:r w:rsidRPr="00E70362">
        <w:instrText xml:space="preserve"> SEQ level0 \*arabic </w:instrText>
      </w:r>
      <w:r>
        <w:fldChar w:fldCharType="separate"/>
      </w:r>
      <w:r w:rsidR="006D3397">
        <w:rPr>
          <w:noProof/>
        </w:rPr>
        <w:t>140</w:t>
      </w:r>
      <w:r>
        <w:fldChar w:fldCharType="end"/>
      </w:r>
      <w:r w:rsidRPr="00E70362">
        <w:t>.  </w:t>
      </w:r>
      <w:r w:rsidRPr="001057DD" w:rsidR="001952BC">
        <w:t>The Court</w:t>
      </w:r>
      <w:r w:rsidRPr="001057DD">
        <w:t xml:space="preserve"> considers</w:t>
      </w:r>
      <w:r w:rsidRPr="001057DD" w:rsidR="001A332F">
        <w:t>, however,</w:t>
      </w:r>
      <w:r w:rsidRPr="004F7E00">
        <w:t xml:space="preserve"> that where an appl</w:t>
      </w:r>
      <w:r>
        <w:t>icant can still claim to be a “</w:t>
      </w:r>
      <w:r w:rsidRPr="004F7E00">
        <w:t>victim</w:t>
      </w:r>
      <w:r>
        <w:t>”</w:t>
      </w:r>
      <w:r w:rsidRPr="004F7E00">
        <w:t xml:space="preserve"> after </w:t>
      </w:r>
      <w:r w:rsidR="0000618D">
        <w:t>making use of</w:t>
      </w:r>
      <w:r w:rsidRPr="004F7E00">
        <w:t xml:space="preserve"> that domestic remedy he or she must be awarded the difference between the amount</w:t>
      </w:r>
      <w:r>
        <w:t xml:space="preserve"> </w:t>
      </w:r>
      <w:r w:rsidRPr="004F7E00">
        <w:t xml:space="preserve">obtained from the court of appeal and </w:t>
      </w:r>
      <w:r>
        <w:t>an</w:t>
      </w:r>
      <w:r w:rsidRPr="004F7E00">
        <w:t xml:space="preserve"> amount </w:t>
      </w:r>
      <w:r>
        <w:t xml:space="preserve">that would not have been </w:t>
      </w:r>
      <w:r w:rsidRPr="006E06F1">
        <w:t xml:space="preserve">regarded as </w:t>
      </w:r>
      <w:r>
        <w:t>manifestly unreasonable compared with the amount awarded by the Court if it had been awarded by the court of appeal and paid speedily.</w:t>
      </w:r>
    </w:p>
    <w:p w:rsidRPr="00C00B66" w:rsidR="00B66328" w:rsidP="00E71EDB" w:rsidRDefault="00B66328">
      <w:pPr>
        <w:pStyle w:val="JuPara"/>
      </w:pPr>
      <w:r>
        <w:fldChar w:fldCharType="begin"/>
      </w:r>
      <w:r w:rsidRPr="00C00B66">
        <w:instrText xml:space="preserve"> SEQ level0 \*arabic </w:instrText>
      </w:r>
      <w:r>
        <w:fldChar w:fldCharType="separate"/>
      </w:r>
      <w:r w:rsidR="006D3397">
        <w:rPr>
          <w:noProof/>
        </w:rPr>
        <w:t>141</w:t>
      </w:r>
      <w:r>
        <w:fldChar w:fldCharType="end"/>
      </w:r>
      <w:r w:rsidRPr="00C00B66">
        <w:t>.  </w:t>
      </w:r>
      <w:r>
        <w:t>Applicants sho</w:t>
      </w:r>
      <w:r w:rsidRPr="00C00B66">
        <w:t xml:space="preserve">uld also be awarded an amount in respect of </w:t>
      </w:r>
      <w:r>
        <w:t xml:space="preserve">stages of the </w:t>
      </w:r>
      <w:r w:rsidRPr="00C00B66">
        <w:t xml:space="preserve">proceedings </w:t>
      </w:r>
      <w:r>
        <w:t>that may not have been</w:t>
      </w:r>
      <w:r w:rsidRPr="00C00B66">
        <w:t xml:space="preserve"> </w:t>
      </w:r>
      <w:r>
        <w:t>taken into account</w:t>
      </w:r>
      <w:r w:rsidRPr="00C00B66">
        <w:t xml:space="preserve"> by the </w:t>
      </w:r>
      <w:r>
        <w:t>domestic courts in the reference period</w:t>
      </w:r>
      <w:r w:rsidRPr="00C00B66">
        <w:t xml:space="preserve"> where </w:t>
      </w:r>
      <w:r>
        <w:t xml:space="preserve">they </w:t>
      </w:r>
      <w:r w:rsidRPr="00C00B66">
        <w:t xml:space="preserve">can no longer </w:t>
      </w:r>
      <w:r>
        <w:t>take the case back</w:t>
      </w:r>
      <w:r w:rsidRPr="00C00B66">
        <w:t xml:space="preserve"> before the court of appeal seek</w:t>
      </w:r>
      <w:r>
        <w:t>ing</w:t>
      </w:r>
      <w:r w:rsidRPr="00C00B66">
        <w:t xml:space="preserve"> application of the </w:t>
      </w:r>
      <w:r>
        <w:t>change of position adopted by t</w:t>
      </w:r>
      <w:r w:rsidRPr="00C00B66">
        <w:t xml:space="preserve">he Court of Cassation </w:t>
      </w:r>
      <w:r>
        <w:t xml:space="preserve">on </w:t>
      </w:r>
      <w:r w:rsidRPr="00C00B66">
        <w:t xml:space="preserve">26 </w:t>
      </w:r>
      <w:r>
        <w:t>January</w:t>
      </w:r>
      <w:r w:rsidRPr="00C00B66">
        <w:t xml:space="preserve"> 2004 (</w:t>
      </w:r>
      <w:r>
        <w:t>see its judgment no.</w:t>
      </w:r>
      <w:r w:rsidR="002A7BAA">
        <w:t xml:space="preserve"> </w:t>
      </w:r>
      <w:r>
        <w:t>1339</w:t>
      </w:r>
      <w:r w:rsidR="006D3397">
        <w:t xml:space="preserve"> –</w:t>
      </w:r>
      <w:r>
        <w:t xml:space="preserve"> paragraph</w:t>
      </w:r>
      <w:r w:rsidR="002A7BAA">
        <w:t xml:space="preserve"> </w:t>
      </w:r>
      <w:r w:rsidRPr="00C00B66">
        <w:t xml:space="preserve">25 </w:t>
      </w:r>
      <w:r>
        <w:t>above</w:t>
      </w:r>
      <w:r w:rsidRPr="00C00B66">
        <w:t>) o</w:t>
      </w:r>
      <w:r>
        <w:t>r</w:t>
      </w:r>
      <w:r w:rsidRPr="00C00B66">
        <w:t xml:space="preserve"> </w:t>
      </w:r>
      <w:r>
        <w:t>the remaining length was not in itself sufficiently long to be regarded as amounting to a second</w:t>
      </w:r>
      <w:r w:rsidRPr="00C00B66">
        <w:t xml:space="preserve"> violation</w:t>
      </w:r>
      <w:r>
        <w:t xml:space="preserve"> </w:t>
      </w:r>
      <w:r w:rsidR="00382F85">
        <w:t>in respect of</w:t>
      </w:r>
      <w:r>
        <w:t xml:space="preserve"> the same proceedings</w:t>
      </w:r>
      <w:r w:rsidRPr="00C00B66">
        <w:t>.</w:t>
      </w:r>
    </w:p>
    <w:p w:rsidRPr="007B290A" w:rsidR="00B66328" w:rsidP="00E71EDB" w:rsidRDefault="00B66328">
      <w:pPr>
        <w:pStyle w:val="JuPara"/>
      </w:pPr>
      <w:r>
        <w:fldChar w:fldCharType="begin"/>
      </w:r>
      <w:r w:rsidRPr="00E70362">
        <w:instrText xml:space="preserve"> SEQ level0 \*arabic </w:instrText>
      </w:r>
      <w:r>
        <w:fldChar w:fldCharType="separate"/>
      </w:r>
      <w:r w:rsidR="006D3397">
        <w:rPr>
          <w:noProof/>
        </w:rPr>
        <w:t>142</w:t>
      </w:r>
      <w:r>
        <w:fldChar w:fldCharType="end"/>
      </w:r>
      <w:r w:rsidRPr="00E70362">
        <w:t>.  </w:t>
      </w:r>
      <w:r w:rsidRPr="007B290A">
        <w:t xml:space="preserve">Lastly, the fact that </w:t>
      </w:r>
      <w:r>
        <w:t>an applicant who, in order to c</w:t>
      </w:r>
      <w:r w:rsidRPr="007B290A">
        <w:t xml:space="preserve">omply with the </w:t>
      </w:r>
      <w:r>
        <w:t>decision</w:t>
      </w:r>
      <w:r w:rsidRPr="007B290A">
        <w:t xml:space="preserve"> adopted in </w:t>
      </w:r>
      <w:r w:rsidRPr="007B290A">
        <w:rPr>
          <w:i/>
        </w:rPr>
        <w:t xml:space="preserve">Brusco </w:t>
      </w:r>
      <w:r w:rsidRPr="007B290A">
        <w:t xml:space="preserve">(cited above), had endeavoured to </w:t>
      </w:r>
      <w:r>
        <w:t>use</w:t>
      </w:r>
      <w:r w:rsidRPr="007B290A">
        <w:t xml:space="preserve"> the new domestic remedy by applying to the court of appeal after lodging an application with the Commission, </w:t>
      </w:r>
      <w:r>
        <w:t>has then had</w:t>
      </w:r>
      <w:r w:rsidRPr="007B290A">
        <w:t xml:space="preserve"> to</w:t>
      </w:r>
      <w:r>
        <w:t xml:space="preserve"> endure</w:t>
      </w:r>
      <w:r w:rsidRPr="007B290A">
        <w:t xml:space="preserve"> a fu</w:t>
      </w:r>
      <w:r>
        <w:t>rther delay while waiting for payment of a sum due from the State will lead the Court to order the Government to pay the applicant a further sum in respect of those months of</w:t>
      </w:r>
      <w:r w:rsidRPr="007B290A">
        <w:t xml:space="preserve"> frustration.</w:t>
      </w:r>
    </w:p>
    <w:p w:rsidRPr="00A472EE" w:rsidR="00B66328" w:rsidP="00E71EDB" w:rsidRDefault="00B66328">
      <w:pPr>
        <w:pStyle w:val="JuH1"/>
      </w:pPr>
      <w:r>
        <w:t>5</w:t>
      </w:r>
      <w:r w:rsidRPr="00A472EE">
        <w:t>.  Application of the</w:t>
      </w:r>
      <w:r>
        <w:t xml:space="preserve"> foregoing</w:t>
      </w:r>
      <w:r w:rsidRPr="00A472EE">
        <w:t xml:space="preserve"> criteria to the</w:t>
      </w:r>
      <w:r>
        <w:t xml:space="preserve"> </w:t>
      </w:r>
      <w:r w:rsidR="0000618D">
        <w:t>present</w:t>
      </w:r>
      <w:r>
        <w:t xml:space="preserve"> case</w:t>
      </w:r>
    </w:p>
    <w:p w:rsidRPr="00A83024" w:rsidR="00B66328" w:rsidP="00E71EDB" w:rsidRDefault="0000618D">
      <w:pPr>
        <w:pStyle w:val="JuHa0"/>
      </w:pPr>
      <w:r>
        <w:t>(</w:t>
      </w:r>
      <w:r w:rsidRPr="00A83024" w:rsidR="00B66328">
        <w:t>a)  Damage</w:t>
      </w:r>
    </w:p>
    <w:p w:rsidRPr="004A7ED1" w:rsidR="00B66328" w:rsidP="00E71EDB" w:rsidRDefault="00B66328">
      <w:pPr>
        <w:pStyle w:val="JuPara"/>
      </w:pPr>
      <w:r>
        <w:fldChar w:fldCharType="begin"/>
      </w:r>
      <w:r w:rsidRPr="00E70362">
        <w:instrText xml:space="preserve"> SEQ level0 \*arabic </w:instrText>
      </w:r>
      <w:r>
        <w:fldChar w:fldCharType="separate"/>
      </w:r>
      <w:r w:rsidR="006D3397">
        <w:rPr>
          <w:noProof/>
        </w:rPr>
        <w:t>143</w:t>
      </w:r>
      <w:r>
        <w:fldChar w:fldCharType="end"/>
      </w:r>
      <w:r w:rsidRPr="00E70362">
        <w:t>.  </w:t>
      </w:r>
      <w:r w:rsidRPr="00FC63E3">
        <w:rPr>
          <w:noProof/>
        </w:rPr>
        <w:t>The applicant submitted that the non-pecuniary damage sustained could be assessed at</w:t>
      </w:r>
      <w:r w:rsidRPr="00FC63E3">
        <w:t xml:space="preserve"> EUR</w:t>
      </w:r>
      <w:r w:rsidR="002A7BAA">
        <w:t xml:space="preserve"> </w:t>
      </w:r>
      <w:r w:rsidRPr="00FC63E3">
        <w:t>11</w:t>
      </w:r>
      <w:r>
        <w:t>,</w:t>
      </w:r>
      <w:r w:rsidRPr="00FC63E3">
        <w:t xml:space="preserve">000. </w:t>
      </w:r>
      <w:r w:rsidRPr="004A7ED1">
        <w:t xml:space="preserve">As he considered that the pecuniary damage sustained in order to provide his mother with a home help was difficult to quantify, he </w:t>
      </w:r>
      <w:r>
        <w:t xml:space="preserve">asked the Court to take account of it when determining the non-pecuniary </w:t>
      </w:r>
      <w:r w:rsidRPr="001057DD">
        <w:t>damage</w:t>
      </w:r>
      <w:r>
        <w:t xml:space="preserve"> and suggested an increase of EUR </w:t>
      </w:r>
      <w:r w:rsidRPr="004A7ED1">
        <w:t>3</w:t>
      </w:r>
      <w:r>
        <w:t>,</w:t>
      </w:r>
      <w:r w:rsidRPr="004A7ED1">
        <w:t xml:space="preserve">000 </w:t>
      </w:r>
      <w:r>
        <w:t>under that head.</w:t>
      </w:r>
    </w:p>
    <w:p w:rsidRPr="00DB1F1D" w:rsidR="00B66328" w:rsidP="00E71EDB" w:rsidRDefault="00B66328">
      <w:pPr>
        <w:pStyle w:val="JuPara"/>
      </w:pPr>
      <w:r>
        <w:fldChar w:fldCharType="begin"/>
      </w:r>
      <w:r w:rsidRPr="00E70362">
        <w:instrText xml:space="preserve"> SEQ level0 \*arabic </w:instrText>
      </w:r>
      <w:r>
        <w:fldChar w:fldCharType="separate"/>
      </w:r>
      <w:r w:rsidR="006D3397">
        <w:rPr>
          <w:noProof/>
        </w:rPr>
        <w:t>144</w:t>
      </w:r>
      <w:r>
        <w:fldChar w:fldCharType="end"/>
      </w:r>
      <w:r w:rsidRPr="00E70362">
        <w:t>.  </w:t>
      </w:r>
      <w:r w:rsidRPr="00983A5F">
        <w:t>The Governme</w:t>
      </w:r>
      <w:r>
        <w:t>nt</w:t>
      </w:r>
      <w:r w:rsidRPr="00983A5F">
        <w:t xml:space="preserve"> disputed those claims especially as </w:t>
      </w:r>
      <w:r>
        <w:t>the</w:t>
      </w:r>
      <w:r w:rsidRPr="00983A5F">
        <w:t xml:space="preserve"> applicant was the </w:t>
      </w:r>
      <w:r>
        <w:t>claimant</w:t>
      </w:r>
      <w:r w:rsidR="00C01D3E">
        <w:t>’</w:t>
      </w:r>
      <w:r>
        <w:t xml:space="preserve">s son. </w:t>
      </w:r>
      <w:r w:rsidRPr="00983A5F">
        <w:t xml:space="preserve">In their submission, pecuniary damage should not be confused with non-pecuniary damage. Moreover, the latter could not be the same for the holder of the right </w:t>
      </w:r>
      <w:r>
        <w:t>asserted in legal proceedings and his or her relatives or heirs</w:t>
      </w:r>
      <w:r w:rsidRPr="00983A5F">
        <w:t xml:space="preserve">. </w:t>
      </w:r>
      <w:r w:rsidRPr="00DB1F1D">
        <w:t xml:space="preserve">They also pointed out that the finding of a violation </w:t>
      </w:r>
      <w:r>
        <w:t>was sufficient reparation for any non-pecuniary damage sustained by the applicant.</w:t>
      </w:r>
    </w:p>
    <w:p w:rsidR="00A31EB8" w:rsidP="00E71EDB" w:rsidRDefault="00B66328">
      <w:pPr>
        <w:pStyle w:val="JuPara"/>
      </w:pPr>
      <w:r>
        <w:fldChar w:fldCharType="begin"/>
      </w:r>
      <w:r w:rsidRPr="00E70362">
        <w:instrText xml:space="preserve"> SEQ level0 \*arabic </w:instrText>
      </w:r>
      <w:r>
        <w:fldChar w:fldCharType="separate"/>
      </w:r>
      <w:r w:rsidR="006D3397">
        <w:rPr>
          <w:noProof/>
        </w:rPr>
        <w:t>145</w:t>
      </w:r>
      <w:r>
        <w:fldChar w:fldCharType="end"/>
      </w:r>
      <w:r w:rsidRPr="00E70362">
        <w:t>.  </w:t>
      </w:r>
      <w:r w:rsidRPr="009116E9">
        <w:t xml:space="preserve">The Court </w:t>
      </w:r>
      <w:r>
        <w:t>fails to</w:t>
      </w:r>
      <w:r w:rsidRPr="009116E9">
        <w:t xml:space="preserve"> see a causal link between the violation found and th</w:t>
      </w:r>
      <w:r>
        <w:t>e pecuniary damage alleged and accordingly rejects this claim.</w:t>
      </w:r>
    </w:p>
    <w:p w:rsidRPr="00006A1A" w:rsidR="00B66328" w:rsidP="00E71EDB" w:rsidRDefault="00B66328">
      <w:pPr>
        <w:pStyle w:val="JuPara"/>
      </w:pPr>
      <w:r>
        <w:fldChar w:fldCharType="begin"/>
      </w:r>
      <w:r>
        <w:instrText xml:space="preserve"> SEQ level0 \*arabic </w:instrText>
      </w:r>
      <w:r>
        <w:fldChar w:fldCharType="separate"/>
      </w:r>
      <w:r w:rsidR="006D3397">
        <w:rPr>
          <w:noProof/>
        </w:rPr>
        <w:t>146</w:t>
      </w:r>
      <w:r>
        <w:fldChar w:fldCharType="end"/>
      </w:r>
      <w:r>
        <w:t>.  </w:t>
      </w:r>
      <w:r w:rsidRPr="00006A1A">
        <w:t xml:space="preserve">With regard to non-pecuniary damage, however, the Court finds that </w:t>
      </w:r>
      <w:r>
        <w:t>on the basis of</w:t>
      </w:r>
      <w:r w:rsidRPr="00006A1A">
        <w:t xml:space="preserve"> the </w:t>
      </w:r>
      <w:r>
        <w:t>circumstances</w:t>
      </w:r>
      <w:r w:rsidRPr="00006A1A">
        <w:t xml:space="preserve"> of the present case </w:t>
      </w:r>
      <w:r>
        <w:t>(</w:t>
      </w:r>
      <w:r w:rsidRPr="001057DD">
        <w:t>see paragraphs</w:t>
      </w:r>
      <w:r w:rsidR="0000618D">
        <w:t> </w:t>
      </w:r>
      <w:r w:rsidRPr="001057DD" w:rsidR="00382F85">
        <w:t xml:space="preserve">106 and </w:t>
      </w:r>
      <w:r w:rsidRPr="001057DD" w:rsidR="008C48D1">
        <w:t>11</w:t>
      </w:r>
      <w:r w:rsidRPr="001057DD" w:rsidR="00382F85">
        <w:t>3</w:t>
      </w:r>
      <w:r w:rsidRPr="001057DD" w:rsidR="008C48D1">
        <w:t>-</w:t>
      </w:r>
      <w:r w:rsidRPr="001057DD" w:rsidR="00382F85">
        <w:t>16</w:t>
      </w:r>
      <w:r w:rsidRPr="001057DD">
        <w:t xml:space="preserve"> above)</w:t>
      </w:r>
      <w:r w:rsidRPr="00006A1A">
        <w:t xml:space="preserve"> it would have awarded, in the absence of domestic remedies, the sum of EUR 7,000. It notes that the applicant </w:t>
      </w:r>
      <w:r>
        <w:t>was</w:t>
      </w:r>
      <w:r w:rsidRPr="00006A1A">
        <w:t xml:space="preserve"> awarded EUR 1,000 by the Court of Appeal</w:t>
      </w:r>
      <w:r>
        <w:t>, which</w:t>
      </w:r>
      <w:r w:rsidRPr="00006A1A">
        <w:t xml:space="preserve"> </w:t>
      </w:r>
      <w:r>
        <w:t>is</w:t>
      </w:r>
      <w:r w:rsidRPr="00006A1A">
        <w:t xml:space="preserve"> approximately 14% of what </w:t>
      </w:r>
      <w:r>
        <w:t xml:space="preserve">the Court </w:t>
      </w:r>
      <w:r w:rsidRPr="00006A1A">
        <w:t xml:space="preserve">would have </w:t>
      </w:r>
      <w:r>
        <w:t>awarded</w:t>
      </w:r>
      <w:r w:rsidRPr="00006A1A">
        <w:t xml:space="preserve">. </w:t>
      </w:r>
      <w:r>
        <w:t>In the Court</w:t>
      </w:r>
      <w:r w:rsidR="00C01D3E">
        <w:t>’</w:t>
      </w:r>
      <w:r>
        <w:t>s view, this factor in itself</w:t>
      </w:r>
      <w:r w:rsidRPr="00006A1A">
        <w:t xml:space="preserve"> leads to a result </w:t>
      </w:r>
      <w:r>
        <w:t>that</w:t>
      </w:r>
      <w:r w:rsidRPr="00006A1A">
        <w:t xml:space="preserve"> is manifestly unreasonable </w:t>
      </w:r>
      <w:r w:rsidR="002B78DA">
        <w:t xml:space="preserve">in the light of </w:t>
      </w:r>
      <w:r w:rsidRPr="00006A1A">
        <w:t>the criteria</w:t>
      </w:r>
      <w:r w:rsidR="001952BC">
        <w:t xml:space="preserve"> established in </w:t>
      </w:r>
      <w:r w:rsidR="00710EA4">
        <w:t>its</w:t>
      </w:r>
      <w:r w:rsidR="001952BC">
        <w:t xml:space="preserve"> case-law</w:t>
      </w:r>
      <w:r w:rsidRPr="00006A1A">
        <w:t>.</w:t>
      </w:r>
    </w:p>
    <w:p w:rsidR="00B66328" w:rsidP="00E71EDB" w:rsidRDefault="00B66328">
      <w:pPr>
        <w:pStyle w:val="JuPara"/>
      </w:pPr>
      <w:r w:rsidRPr="00006A1A">
        <w:t xml:space="preserve">Having regard to the characteristics of the domestic remedy chosen by </w:t>
      </w:r>
      <w:smartTag w:uri="urn:schemas-microsoft-com:office:smarttags" w:element="place">
        <w:smartTag w:uri="urn:schemas-microsoft-com:office:smarttags" w:element="country-region">
          <w:r w:rsidRPr="00006A1A">
            <w:t>Italy</w:t>
          </w:r>
        </w:smartTag>
      </w:smartTag>
      <w:r w:rsidRPr="00006A1A">
        <w:t xml:space="preserve"> and the fact that</w:t>
      </w:r>
      <w:r>
        <w:t>,</w:t>
      </w:r>
      <w:r w:rsidRPr="00006A1A">
        <w:t xml:space="preserve"> notwithstanding this national remedy</w:t>
      </w:r>
      <w:r>
        <w:t>,</w:t>
      </w:r>
      <w:r w:rsidRPr="00006A1A">
        <w:t xml:space="preserve"> the Court has found a violation, </w:t>
      </w:r>
      <w:r w:rsidR="008C48D1">
        <w:t xml:space="preserve">it </w:t>
      </w:r>
      <w:r w:rsidR="00382F85">
        <w:t>considers</w:t>
      </w:r>
      <w:r>
        <w:t>, ruling</w:t>
      </w:r>
      <w:r w:rsidRPr="00377F08">
        <w:t xml:space="preserve"> </w:t>
      </w:r>
      <w:r w:rsidRPr="00006A1A">
        <w:t>on an equitable basis</w:t>
      </w:r>
      <w:r>
        <w:t>,</w:t>
      </w:r>
      <w:r w:rsidR="00382F85">
        <w:t xml:space="preserve"> that</w:t>
      </w:r>
      <w:r w:rsidRPr="00382F85" w:rsidR="00382F85">
        <w:t xml:space="preserve"> </w:t>
      </w:r>
      <w:r w:rsidR="00382F85">
        <w:t>the applicant should be awarded</w:t>
      </w:r>
      <w:r w:rsidRPr="00006A1A">
        <w:t xml:space="preserve"> </w:t>
      </w:r>
      <w:r w:rsidRPr="001057DD" w:rsidR="008C48D1">
        <w:t>EUR</w:t>
      </w:r>
      <w:r w:rsidR="002A7BAA">
        <w:t xml:space="preserve"> </w:t>
      </w:r>
      <w:r w:rsidRPr="001057DD" w:rsidR="008C48D1">
        <w:t>2</w:t>
      </w:r>
      <w:r w:rsidRPr="001057DD">
        <w:t>,</w:t>
      </w:r>
      <w:r w:rsidRPr="001057DD" w:rsidR="008C48D1">
        <w:t>2</w:t>
      </w:r>
      <w:r w:rsidRPr="001057DD">
        <w:t>00</w:t>
      </w:r>
      <w:r>
        <w:t>.</w:t>
      </w:r>
    </w:p>
    <w:p w:rsidRPr="00B03DE1" w:rsidR="00B66328" w:rsidP="00E71EDB" w:rsidRDefault="00382F85">
      <w:pPr>
        <w:pStyle w:val="JuPara"/>
      </w:pPr>
      <w:r w:rsidRPr="001057DD">
        <w:t>The Court also awards</w:t>
      </w:r>
      <w:r w:rsidRPr="00B03DE1" w:rsidR="00B66328">
        <w:t xml:space="preserve"> EUR 1,000 for the further delay </w:t>
      </w:r>
      <w:r w:rsidR="00AE137E">
        <w:t>suffered</w:t>
      </w:r>
      <w:r w:rsidRPr="00B03DE1" w:rsidR="00B66328">
        <w:t xml:space="preserve"> by the applicant after the first fi</w:t>
      </w:r>
      <w:r w:rsidR="00B66328">
        <w:t>nding of a violation and EUR 3,1</w:t>
      </w:r>
      <w:r w:rsidRPr="00B03DE1" w:rsidR="00B66328">
        <w:t xml:space="preserve">00 for the extra frustration arising from the delay in paying the amount due </w:t>
      </w:r>
      <w:r w:rsidR="00B66328">
        <w:t>from</w:t>
      </w:r>
      <w:r w:rsidRPr="00B03DE1" w:rsidR="00B66328">
        <w:t xml:space="preserve"> the State, which at 29 June 2005 had still not been paid.</w:t>
      </w:r>
    </w:p>
    <w:p w:rsidRPr="00B03DE1" w:rsidR="00B66328" w:rsidP="00E71EDB" w:rsidRDefault="00B66328">
      <w:pPr>
        <w:pStyle w:val="JuPara"/>
      </w:pPr>
      <w:r>
        <w:fldChar w:fldCharType="begin"/>
      </w:r>
      <w:r>
        <w:instrText xml:space="preserve"> SEQ level0 \*arabic </w:instrText>
      </w:r>
      <w:r>
        <w:fldChar w:fldCharType="separate"/>
      </w:r>
      <w:r w:rsidR="006D3397">
        <w:rPr>
          <w:noProof/>
        </w:rPr>
        <w:t>147</w:t>
      </w:r>
      <w:r>
        <w:fldChar w:fldCharType="end"/>
      </w:r>
      <w:r>
        <w:t>.  </w:t>
      </w:r>
      <w:r w:rsidRPr="00B03DE1">
        <w:t>Accordingly, the applicant is entitled to compensation for non-pecuni</w:t>
      </w:r>
      <w:r>
        <w:t xml:space="preserve">ary damage in the </w:t>
      </w:r>
      <w:r w:rsidR="00382F85">
        <w:t xml:space="preserve">sum of EUR </w:t>
      </w:r>
      <w:r w:rsidRPr="001057DD" w:rsidR="00382F85">
        <w:t>6</w:t>
      </w:r>
      <w:r w:rsidRPr="001057DD">
        <w:t>,</w:t>
      </w:r>
      <w:r w:rsidRPr="001057DD" w:rsidR="00382F85">
        <w:t>3</w:t>
      </w:r>
      <w:r w:rsidRPr="001057DD">
        <w:t>00</w:t>
      </w:r>
      <w:r w:rsidRPr="00B03DE1">
        <w:t>, plus any tax that may be chargeable on that amount.</w:t>
      </w:r>
    </w:p>
    <w:p w:rsidRPr="00E70362" w:rsidR="00B66328" w:rsidP="00B66328" w:rsidRDefault="007F409C">
      <w:pPr>
        <w:pStyle w:val="JuHa0"/>
      </w:pPr>
      <w:r>
        <w:t>(</w:t>
      </w:r>
      <w:r w:rsidRPr="00E70362" w:rsidR="00B66328">
        <w:t>b)  Costs and expenses</w:t>
      </w:r>
    </w:p>
    <w:p w:rsidRPr="005D6755" w:rsidR="00B66328" w:rsidP="00E71EDB" w:rsidRDefault="00B66328">
      <w:pPr>
        <w:pStyle w:val="JuPara"/>
      </w:pPr>
      <w:r>
        <w:fldChar w:fldCharType="begin"/>
      </w:r>
      <w:r w:rsidRPr="00E70362">
        <w:instrText xml:space="preserve"> SEQ level0 \*arabic </w:instrText>
      </w:r>
      <w:r>
        <w:fldChar w:fldCharType="separate"/>
      </w:r>
      <w:r w:rsidR="006D3397">
        <w:rPr>
          <w:noProof/>
        </w:rPr>
        <w:t>148</w:t>
      </w:r>
      <w:r>
        <w:fldChar w:fldCharType="end"/>
      </w:r>
      <w:r w:rsidRPr="00E70362">
        <w:t>.  </w:t>
      </w:r>
      <w:r w:rsidRPr="00BE1226">
        <w:rPr>
          <w:noProof/>
        </w:rPr>
        <w:t>The applicant claimed</w:t>
      </w:r>
      <w:r w:rsidRPr="00BE1226">
        <w:t xml:space="preserve"> EUR 2,000 for costs and expenses incurred </w:t>
      </w:r>
      <w:r>
        <w:t>before</w:t>
      </w:r>
      <w:r w:rsidRPr="00BE1226">
        <w:t xml:space="preserve"> the Chambe</w:t>
      </w:r>
      <w:r>
        <w:t>r</w:t>
      </w:r>
      <w:r w:rsidRPr="00BE1226">
        <w:t xml:space="preserve"> and </w:t>
      </w:r>
      <w:r>
        <w:t>EUR</w:t>
      </w:r>
      <w:r w:rsidR="002A7BAA">
        <w:t xml:space="preserve"> </w:t>
      </w:r>
      <w:r w:rsidRPr="00BE1226">
        <w:t>13,516.56 for the written and oral</w:t>
      </w:r>
      <w:r>
        <w:t xml:space="preserve"> proceedings before the </w:t>
      </w:r>
      <w:r w:rsidRPr="00BE1226">
        <w:t>Grand Chamb</w:t>
      </w:r>
      <w:r>
        <w:t xml:space="preserve">er against the respondent </w:t>
      </w:r>
      <w:r w:rsidR="007F409C">
        <w:t>State</w:t>
      </w:r>
      <w:r w:rsidRPr="00BE1226">
        <w:t xml:space="preserve">. </w:t>
      </w:r>
      <w:r w:rsidRPr="00EE6DED">
        <w:t>In respect of drafting memorials in reply to the observations of t</w:t>
      </w:r>
      <w:r>
        <w:t xml:space="preserve">he third-party </w:t>
      </w:r>
      <w:r w:rsidR="007F409C">
        <w:t>interveners</w:t>
      </w:r>
      <w:r w:rsidRPr="00EE6DED">
        <w:t xml:space="preserve">, </w:t>
      </w:r>
      <w:r>
        <w:t>he claimed EUR</w:t>
      </w:r>
      <w:r w:rsidR="002A7BAA">
        <w:t xml:space="preserve"> </w:t>
      </w:r>
      <w:r>
        <w:t xml:space="preserve">1,904.06 each from the third-party Governments plus </w:t>
      </w:r>
      <w:r w:rsidR="007F409C">
        <w:t xml:space="preserve">a </w:t>
      </w:r>
      <w:r w:rsidRPr="005D6755">
        <w:t xml:space="preserve">2% </w:t>
      </w:r>
      <w:r>
        <w:t>contribution to the lawyers</w:t>
      </w:r>
      <w:r w:rsidR="00C01D3E">
        <w:t>’</w:t>
      </w:r>
      <w:r>
        <w:t xml:space="preserve"> insurance fund</w:t>
      </w:r>
      <w:r w:rsidRPr="005D6755">
        <w:t xml:space="preserve"> </w:t>
      </w:r>
      <w:r>
        <w:t>and</w:t>
      </w:r>
      <w:r w:rsidRPr="005D6755">
        <w:t xml:space="preserve"> 20% </w:t>
      </w:r>
      <w:r>
        <w:t>value-added tax</w:t>
      </w:r>
      <w:r w:rsidRPr="005D6755">
        <w:t>.</w:t>
      </w:r>
      <w:r w:rsidRPr="005D6755">
        <w:rPr>
          <w:color w:val="000000"/>
          <w:szCs w:val="24"/>
        </w:rPr>
        <w:t xml:space="preserve"> </w:t>
      </w:r>
      <w:r w:rsidR="00710EA4">
        <w:rPr>
          <w:color w:val="000000"/>
          <w:szCs w:val="24"/>
        </w:rPr>
        <w:t>Referring to</w:t>
      </w:r>
      <w:r w:rsidRPr="005D6755" w:rsidR="00710EA4">
        <w:rPr>
          <w:color w:val="000000"/>
          <w:szCs w:val="24"/>
        </w:rPr>
        <w:t xml:space="preserve"> </w:t>
      </w:r>
      <w:r w:rsidRPr="005D6755" w:rsidR="00710EA4">
        <w:rPr>
          <w:i/>
        </w:rPr>
        <w:t xml:space="preserve">Scozzari </w:t>
      </w:r>
      <w:r w:rsidR="00710EA4">
        <w:rPr>
          <w:i/>
        </w:rPr>
        <w:t>and</w:t>
      </w:r>
      <w:r w:rsidRPr="005D6755" w:rsidR="00710EA4">
        <w:rPr>
          <w:i/>
        </w:rPr>
        <w:t xml:space="preserve"> Giunta </w:t>
      </w:r>
      <w:r w:rsidR="00710EA4">
        <w:rPr>
          <w:i/>
        </w:rPr>
        <w:t>v</w:t>
      </w:r>
      <w:r w:rsidRPr="005D6755" w:rsidR="00710EA4">
        <w:rPr>
          <w:i/>
        </w:rPr>
        <w:t>. Ital</w:t>
      </w:r>
      <w:r w:rsidR="00710EA4">
        <w:rPr>
          <w:i/>
        </w:rPr>
        <w:t>y</w:t>
      </w:r>
      <w:r w:rsidRPr="005D6755" w:rsidR="00710EA4">
        <w:t xml:space="preserve"> </w:t>
      </w:r>
      <w:r w:rsidR="00710EA4">
        <w:t>(</w:t>
      </w:r>
      <w:r w:rsidRPr="005D6755" w:rsidR="00710EA4">
        <w:t>[GC], n</w:t>
      </w:r>
      <w:r w:rsidR="00710EA4">
        <w:t>os.</w:t>
      </w:r>
      <w:r w:rsidR="007F409C">
        <w:t> </w:t>
      </w:r>
      <w:r w:rsidRPr="005D6755" w:rsidR="00710EA4">
        <w:t xml:space="preserve">39221/98 </w:t>
      </w:r>
      <w:r w:rsidR="00710EA4">
        <w:t>and</w:t>
      </w:r>
      <w:r w:rsidRPr="005D6755" w:rsidR="00710EA4">
        <w:t xml:space="preserve"> 41963</w:t>
      </w:r>
      <w:r w:rsidR="00710EA4">
        <w:t>/98, §§ 255-</w:t>
      </w:r>
      <w:r w:rsidRPr="005D6755" w:rsidR="00710EA4">
        <w:t xml:space="preserve">58, </w:t>
      </w:r>
      <w:r w:rsidR="00710EA4">
        <w:t>ECHR</w:t>
      </w:r>
      <w:r w:rsidRPr="005D6755" w:rsidR="00710EA4">
        <w:t xml:space="preserve"> 2000</w:t>
      </w:r>
      <w:r w:rsidRPr="005D6755" w:rsidR="00710EA4">
        <w:noBreakHyphen/>
        <w:t>VIII)</w:t>
      </w:r>
      <w:r w:rsidR="00710EA4">
        <w:rPr>
          <w:color w:val="000000"/>
          <w:szCs w:val="24"/>
        </w:rPr>
        <w:t xml:space="preserve">, the lawyer who had represented the applicant before the Chamber </w:t>
      </w:r>
      <w:r w:rsidRPr="005D6755">
        <w:rPr>
          <w:color w:val="000000"/>
          <w:szCs w:val="24"/>
        </w:rPr>
        <w:t>also</w:t>
      </w:r>
      <w:r>
        <w:rPr>
          <w:color w:val="000000"/>
          <w:szCs w:val="24"/>
        </w:rPr>
        <w:t xml:space="preserve"> requested that the fees be paid directly to him.</w:t>
      </w:r>
    </w:p>
    <w:p w:rsidRPr="0019255B" w:rsidR="00B66328" w:rsidP="00E71EDB" w:rsidRDefault="00B66328">
      <w:pPr>
        <w:pStyle w:val="JuPara"/>
        <w:rPr>
          <w:color w:val="000000"/>
          <w:szCs w:val="24"/>
        </w:rPr>
      </w:pPr>
      <w:r>
        <w:fldChar w:fldCharType="begin"/>
      </w:r>
      <w:r w:rsidRPr="00E70362">
        <w:instrText xml:space="preserve"> SEQ level0 \*arabic </w:instrText>
      </w:r>
      <w:r>
        <w:fldChar w:fldCharType="separate"/>
      </w:r>
      <w:r w:rsidR="006D3397">
        <w:rPr>
          <w:noProof/>
        </w:rPr>
        <w:t>149</w:t>
      </w:r>
      <w:r>
        <w:fldChar w:fldCharType="end"/>
      </w:r>
      <w:r w:rsidRPr="00E70362">
        <w:t>.  </w:t>
      </w:r>
      <w:r w:rsidRPr="0019255B">
        <w:t>The Governm</w:t>
      </w:r>
      <w:r>
        <w:t>ent left the matter to the Court</w:t>
      </w:r>
      <w:r w:rsidR="00C01D3E">
        <w:t>’</w:t>
      </w:r>
      <w:r w:rsidRPr="0019255B">
        <w:t>s discretion while stressing that the amou</w:t>
      </w:r>
      <w:r>
        <w:t>nt claimed in respect of the proceedings before the Grand</w:t>
      </w:r>
      <w:r w:rsidRPr="0019255B">
        <w:t xml:space="preserve"> Chamb</w:t>
      </w:r>
      <w:r>
        <w:t>er was</w:t>
      </w:r>
      <w:r w:rsidRPr="0019255B">
        <w:t xml:space="preserve"> </w:t>
      </w:r>
      <w:r w:rsidRPr="0019255B">
        <w:rPr>
          <w:color w:val="000000"/>
          <w:szCs w:val="24"/>
        </w:rPr>
        <w:t>excessi</w:t>
      </w:r>
      <w:r>
        <w:rPr>
          <w:color w:val="000000"/>
          <w:szCs w:val="24"/>
        </w:rPr>
        <w:t>ve.</w:t>
      </w:r>
    </w:p>
    <w:p w:rsidRPr="0011793E" w:rsidR="00B66328" w:rsidP="00E71EDB" w:rsidRDefault="00B66328">
      <w:pPr>
        <w:pStyle w:val="JuPara"/>
      </w:pPr>
      <w:r>
        <w:fldChar w:fldCharType="begin"/>
      </w:r>
      <w:r w:rsidRPr="00E70362">
        <w:instrText xml:space="preserve"> SEQ level0 \*arabic </w:instrText>
      </w:r>
      <w:r>
        <w:fldChar w:fldCharType="separate"/>
      </w:r>
      <w:r w:rsidR="006D3397">
        <w:rPr>
          <w:noProof/>
        </w:rPr>
        <w:t>150</w:t>
      </w:r>
      <w:r>
        <w:fldChar w:fldCharType="end"/>
      </w:r>
      <w:r w:rsidRPr="00E70362">
        <w:t>.  </w:t>
      </w:r>
      <w:r w:rsidRPr="00013F13">
        <w:t xml:space="preserve">Regarding the claim against the third-party Governments, the Court reiterates that the present case is directed only against </w:t>
      </w:r>
      <w:smartTag w:uri="urn:schemas-microsoft-com:office:smarttags" w:element="place">
        <w:smartTag w:uri="urn:schemas-microsoft-com:office:smarttags" w:element="country-region">
          <w:r w:rsidRPr="00013F13">
            <w:t>Italy</w:t>
          </w:r>
        </w:smartTag>
      </w:smartTag>
      <w:r w:rsidRPr="00013F13">
        <w:t xml:space="preserve"> </w:t>
      </w:r>
      <w:r>
        <w:t xml:space="preserve">and that it is only in respect of that country that it has found a violation of the </w:t>
      </w:r>
      <w:r w:rsidRPr="00013F13">
        <w:t xml:space="preserve">Convention. </w:t>
      </w:r>
      <w:r w:rsidRPr="0011793E">
        <w:t xml:space="preserve">Accordingly, any request </w:t>
      </w:r>
      <w:r>
        <w:t>for an order</w:t>
      </w:r>
      <w:r w:rsidRPr="00941455">
        <w:t xml:space="preserve"> </w:t>
      </w:r>
      <w:r w:rsidRPr="0011793E">
        <w:t>against a</w:t>
      </w:r>
      <w:r>
        <w:t>nother country for the reimbursement of costs and expenses</w:t>
      </w:r>
      <w:r w:rsidRPr="0011793E">
        <w:t xml:space="preserve"> must be rejected.</w:t>
      </w:r>
    </w:p>
    <w:p w:rsidR="00A31EB8" w:rsidP="00E71EDB" w:rsidRDefault="00B66328">
      <w:pPr>
        <w:pStyle w:val="JuPara"/>
      </w:pPr>
      <w:r>
        <w:fldChar w:fldCharType="begin"/>
      </w:r>
      <w:r w:rsidRPr="00E70362">
        <w:instrText xml:space="preserve"> SEQ level0 \*arabic </w:instrText>
      </w:r>
      <w:r>
        <w:fldChar w:fldCharType="separate"/>
      </w:r>
      <w:r w:rsidR="006D3397">
        <w:rPr>
          <w:noProof/>
        </w:rPr>
        <w:t>151</w:t>
      </w:r>
      <w:r>
        <w:fldChar w:fldCharType="end"/>
      </w:r>
      <w:r w:rsidRPr="00E70362">
        <w:t>.  </w:t>
      </w:r>
      <w:r w:rsidRPr="007D08C6">
        <w:t>Moreover, according to the Court</w:t>
      </w:r>
      <w:r w:rsidR="00C01D3E">
        <w:t>’</w:t>
      </w:r>
      <w:r w:rsidRPr="007D08C6">
        <w:t xml:space="preserve">s case-law, </w:t>
      </w:r>
      <w:r>
        <w:t>an award can be made in respect of costs and expenses only in so far as they have been actually and necessarily incurred by the applicant and are reasonable as to quantum</w:t>
      </w:r>
      <w:r w:rsidRPr="007D08C6">
        <w:t xml:space="preserve">. </w:t>
      </w:r>
      <w:r w:rsidRPr="00E118C3">
        <w:t xml:space="preserve">In the present case, having regard to the evidence </w:t>
      </w:r>
      <w:r>
        <w:t>before it</w:t>
      </w:r>
      <w:r w:rsidRPr="00E118C3">
        <w:t>, the above-mentioned crit</w:t>
      </w:r>
      <w:r>
        <w:t>eria and</w:t>
      </w:r>
      <w:r w:rsidRPr="00E118C3">
        <w:t xml:space="preserve"> the length and complexity of t</w:t>
      </w:r>
      <w:r>
        <w:t>he proceedings before the Court,</w:t>
      </w:r>
      <w:r w:rsidRPr="00E118C3">
        <w:t xml:space="preserve"> </w:t>
      </w:r>
      <w:r>
        <w:rPr>
          <w:color w:val="000000"/>
          <w:szCs w:val="24"/>
        </w:rPr>
        <w:t xml:space="preserve">it finds the amount claimed by the </w:t>
      </w:r>
      <w:r w:rsidR="00710EA4">
        <w:rPr>
          <w:color w:val="000000"/>
          <w:szCs w:val="24"/>
        </w:rPr>
        <w:t>applicant</w:t>
      </w:r>
      <w:r w:rsidR="00C01D3E">
        <w:rPr>
          <w:color w:val="000000"/>
          <w:szCs w:val="24"/>
        </w:rPr>
        <w:t>’</w:t>
      </w:r>
      <w:r w:rsidR="00710EA4">
        <w:rPr>
          <w:color w:val="000000"/>
          <w:szCs w:val="24"/>
        </w:rPr>
        <w:t>s legal representative before the Chamber</w:t>
      </w:r>
      <w:r>
        <w:rPr>
          <w:color w:val="000000"/>
          <w:szCs w:val="24"/>
        </w:rPr>
        <w:t xml:space="preserve"> to be</w:t>
      </w:r>
      <w:r w:rsidRPr="00E118C3">
        <w:rPr>
          <w:color w:val="000000"/>
          <w:szCs w:val="24"/>
        </w:rPr>
        <w:t xml:space="preserve"> excessive </w:t>
      </w:r>
      <w:r>
        <w:rPr>
          <w:color w:val="000000"/>
          <w:szCs w:val="24"/>
        </w:rPr>
        <w:t>in view of the work done</w:t>
      </w:r>
      <w:r w:rsidRPr="00E118C3">
        <w:rPr>
          <w:color w:val="000000"/>
          <w:szCs w:val="24"/>
        </w:rPr>
        <w:t xml:space="preserve">. </w:t>
      </w:r>
      <w:r w:rsidRPr="00151FC6">
        <w:rPr>
          <w:color w:val="000000"/>
          <w:szCs w:val="24"/>
        </w:rPr>
        <w:t xml:space="preserve">Furthermore, given that a </w:t>
      </w:r>
      <w:r>
        <w:rPr>
          <w:color w:val="000000"/>
          <w:szCs w:val="24"/>
        </w:rPr>
        <w:t>legal team</w:t>
      </w:r>
      <w:r w:rsidRPr="00151FC6">
        <w:rPr>
          <w:color w:val="000000"/>
          <w:szCs w:val="24"/>
        </w:rPr>
        <w:t xml:space="preserve"> </w:t>
      </w:r>
      <w:r>
        <w:rPr>
          <w:color w:val="000000"/>
          <w:szCs w:val="24"/>
        </w:rPr>
        <w:t>w</w:t>
      </w:r>
      <w:r w:rsidRPr="00151FC6">
        <w:rPr>
          <w:color w:val="000000"/>
          <w:szCs w:val="24"/>
        </w:rPr>
        <w:t xml:space="preserve">as </w:t>
      </w:r>
      <w:r>
        <w:rPr>
          <w:color w:val="000000"/>
          <w:szCs w:val="24"/>
        </w:rPr>
        <w:t>formed</w:t>
      </w:r>
      <w:r w:rsidRPr="00151FC6">
        <w:rPr>
          <w:color w:val="000000"/>
          <w:szCs w:val="24"/>
        </w:rPr>
        <w:t xml:space="preserve"> for the various cases being examined </w:t>
      </w:r>
      <w:r>
        <w:rPr>
          <w:color w:val="000000"/>
          <w:szCs w:val="24"/>
        </w:rPr>
        <w:t>concurrently</w:t>
      </w:r>
      <w:r w:rsidRPr="00151FC6">
        <w:rPr>
          <w:color w:val="000000"/>
          <w:szCs w:val="24"/>
        </w:rPr>
        <w:t xml:space="preserve"> (see paragraph 9 ab</w:t>
      </w:r>
      <w:r>
        <w:rPr>
          <w:color w:val="000000"/>
          <w:szCs w:val="24"/>
        </w:rPr>
        <w:t>ove</w:t>
      </w:r>
      <w:r w:rsidRPr="00151FC6">
        <w:rPr>
          <w:color w:val="000000"/>
          <w:szCs w:val="24"/>
        </w:rPr>
        <w:t xml:space="preserve">), </w:t>
      </w:r>
      <w:r>
        <w:rPr>
          <w:color w:val="000000"/>
          <w:szCs w:val="24"/>
        </w:rPr>
        <w:t xml:space="preserve">the Court considers that the case is distinguishable from </w:t>
      </w:r>
      <w:r w:rsidRPr="00151FC6">
        <w:rPr>
          <w:i/>
          <w:iCs/>
          <w:color w:val="000000"/>
          <w:szCs w:val="24"/>
        </w:rPr>
        <w:t>Scozzari</w:t>
      </w:r>
      <w:r w:rsidRPr="00151FC6">
        <w:rPr>
          <w:color w:val="000000"/>
          <w:szCs w:val="24"/>
        </w:rPr>
        <w:t xml:space="preserve"> </w:t>
      </w:r>
      <w:r w:rsidRPr="00BF31EE" w:rsidR="00BF31EE">
        <w:rPr>
          <w:i/>
          <w:color w:val="000000"/>
          <w:szCs w:val="24"/>
        </w:rPr>
        <w:t>and Giunta</w:t>
      </w:r>
      <w:r w:rsidR="00BF31EE">
        <w:rPr>
          <w:color w:val="000000"/>
          <w:szCs w:val="24"/>
        </w:rPr>
        <w:t xml:space="preserve"> </w:t>
      </w:r>
      <w:r w:rsidRPr="00151FC6">
        <w:rPr>
          <w:color w:val="000000"/>
          <w:szCs w:val="24"/>
        </w:rPr>
        <w:t>(</w:t>
      </w:r>
      <w:r>
        <w:rPr>
          <w:color w:val="000000"/>
          <w:szCs w:val="24"/>
        </w:rPr>
        <w:t>cited above</w:t>
      </w:r>
      <w:r w:rsidRPr="00151FC6">
        <w:rPr>
          <w:color w:val="000000"/>
          <w:szCs w:val="24"/>
        </w:rPr>
        <w:t xml:space="preserve">) </w:t>
      </w:r>
      <w:r>
        <w:rPr>
          <w:color w:val="000000"/>
          <w:szCs w:val="24"/>
        </w:rPr>
        <w:t>and that</w:t>
      </w:r>
      <w:r w:rsidRPr="00151FC6">
        <w:rPr>
          <w:color w:val="000000"/>
          <w:szCs w:val="24"/>
        </w:rPr>
        <w:t xml:space="preserve"> </w:t>
      </w:r>
      <w:r w:rsidRPr="000E3C68" w:rsidR="00382F85">
        <w:rPr>
          <w:color w:val="000000"/>
          <w:szCs w:val="24"/>
        </w:rPr>
        <w:t>the lawyer</w:t>
      </w:r>
      <w:r w:rsidR="00C01D3E">
        <w:rPr>
          <w:color w:val="000000"/>
          <w:szCs w:val="24"/>
        </w:rPr>
        <w:t>’</w:t>
      </w:r>
      <w:r w:rsidRPr="000E3C68" w:rsidR="00382F85">
        <w:rPr>
          <w:color w:val="000000"/>
          <w:szCs w:val="24"/>
        </w:rPr>
        <w:t>s</w:t>
      </w:r>
      <w:r w:rsidR="000E3C68">
        <w:rPr>
          <w:color w:val="000000"/>
          <w:szCs w:val="24"/>
        </w:rPr>
        <w:t xml:space="preserve"> </w:t>
      </w:r>
      <w:r w:rsidRPr="000E3C68" w:rsidR="000E3C68">
        <w:rPr>
          <w:color w:val="000000"/>
          <w:szCs w:val="24"/>
        </w:rPr>
        <w:t>claim</w:t>
      </w:r>
      <w:r w:rsidR="000E3C68">
        <w:rPr>
          <w:color w:val="000000"/>
          <w:szCs w:val="24"/>
        </w:rPr>
        <w:t xml:space="preserve"> should not</w:t>
      </w:r>
      <w:r>
        <w:rPr>
          <w:color w:val="000000"/>
          <w:szCs w:val="24"/>
        </w:rPr>
        <w:t xml:space="preserve"> be granted</w:t>
      </w:r>
      <w:r w:rsidRPr="00151FC6">
        <w:rPr>
          <w:color w:val="000000"/>
          <w:szCs w:val="24"/>
        </w:rPr>
        <w:t xml:space="preserve">. </w:t>
      </w:r>
      <w:r>
        <w:rPr>
          <w:color w:val="000000"/>
          <w:szCs w:val="24"/>
        </w:rPr>
        <w:t>I</w:t>
      </w:r>
      <w:r w:rsidRPr="004F6065">
        <w:rPr>
          <w:color w:val="000000"/>
          <w:szCs w:val="24"/>
        </w:rPr>
        <w:t>t considers that the amount awarded by the Chamber should be confirmed for the proceedings before it, that is,</w:t>
      </w:r>
      <w:r w:rsidRPr="004F6065">
        <w:t xml:space="preserve"> EUR 2,000, and the applicant </w:t>
      </w:r>
      <w:r>
        <w:t>awarded EUR</w:t>
      </w:r>
      <w:r w:rsidR="002A7BAA">
        <w:t xml:space="preserve"> </w:t>
      </w:r>
      <w:r w:rsidRPr="004F6065">
        <w:t>3</w:t>
      </w:r>
      <w:r>
        <w:t>,</w:t>
      </w:r>
      <w:r w:rsidRPr="004F6065">
        <w:t>000</w:t>
      </w:r>
      <w:r>
        <w:t xml:space="preserve"> for the work before the</w:t>
      </w:r>
      <w:r w:rsidRPr="004F6065">
        <w:t xml:space="preserve"> Grand</w:t>
      </w:r>
      <w:r>
        <w:t xml:space="preserve"> Chamber</w:t>
      </w:r>
      <w:r w:rsidRPr="004F6065">
        <w:t xml:space="preserve">, </w:t>
      </w:r>
      <w:r>
        <w:t xml:space="preserve">that is, a </w:t>
      </w:r>
      <w:r w:rsidRPr="004F6065">
        <w:t>total</w:t>
      </w:r>
      <w:r>
        <w:t xml:space="preserve"> sum of </w:t>
      </w:r>
      <w:r w:rsidRPr="004F6065">
        <w:t>EUR</w:t>
      </w:r>
      <w:r>
        <w:t xml:space="preserve"> 5,</w:t>
      </w:r>
      <w:r w:rsidRPr="004F6065">
        <w:t xml:space="preserve">000, plus </w:t>
      </w:r>
      <w:r>
        <w:t>any tax that may be chargeable on that amount.</w:t>
      </w:r>
    </w:p>
    <w:p w:rsidRPr="00E70362" w:rsidR="00B66328" w:rsidP="00E71EDB" w:rsidRDefault="00BF31EE">
      <w:pPr>
        <w:pStyle w:val="JuHa0"/>
        <w:keepNext w:val="0"/>
      </w:pPr>
      <w:r>
        <w:t>(</w:t>
      </w:r>
      <w:r w:rsidRPr="00E70362" w:rsidR="00B66328">
        <w:t>c)  </w:t>
      </w:r>
      <w:r w:rsidRPr="008213D8" w:rsidR="00B66328">
        <w:t>Default interest</w:t>
      </w:r>
    </w:p>
    <w:p w:rsidRPr="008213D8" w:rsidR="00B66328" w:rsidP="00E71EDB" w:rsidRDefault="00B66328">
      <w:pPr>
        <w:pStyle w:val="JuPara"/>
      </w:pPr>
      <w:r>
        <w:fldChar w:fldCharType="begin"/>
      </w:r>
      <w:r w:rsidRPr="00E70362">
        <w:instrText xml:space="preserve"> SEQ level0 \*arabic </w:instrText>
      </w:r>
      <w:r>
        <w:fldChar w:fldCharType="separate"/>
      </w:r>
      <w:r w:rsidR="006D3397">
        <w:rPr>
          <w:noProof/>
        </w:rPr>
        <w:t>152</w:t>
      </w:r>
      <w:r>
        <w:fldChar w:fldCharType="end"/>
      </w:r>
      <w:r w:rsidRPr="00E70362">
        <w:t>.  </w:t>
      </w:r>
      <w:r w:rsidRPr="008213D8">
        <w:t>The Court considers it appropriate that the default interest should be based on the marginal lending rate of the European Central Bank, to which should be added three percentage points.</w:t>
      </w:r>
    </w:p>
    <w:p w:rsidRPr="008213D8" w:rsidR="00B66328" w:rsidP="00B66328" w:rsidRDefault="008C48D1">
      <w:pPr>
        <w:pStyle w:val="JuHHead"/>
      </w:pPr>
      <w:r>
        <w:t xml:space="preserve">FOR THESE REASONS, THE COURT </w:t>
      </w:r>
      <w:r w:rsidRPr="008213D8" w:rsidR="00B66328">
        <w:t>UNANIMOUSLY</w:t>
      </w:r>
    </w:p>
    <w:p w:rsidRPr="008213D8" w:rsidR="00B66328" w:rsidP="00B66328" w:rsidRDefault="00B66328">
      <w:pPr>
        <w:pStyle w:val="JuList"/>
      </w:pPr>
      <w:r w:rsidRPr="008213D8">
        <w:t>1.  </w:t>
      </w:r>
      <w:r w:rsidRPr="008213D8">
        <w:rPr>
          <w:i/>
        </w:rPr>
        <w:t>Dismisses</w:t>
      </w:r>
      <w:r w:rsidRPr="008213D8">
        <w:t xml:space="preserve"> the Government</w:t>
      </w:r>
      <w:r w:rsidR="00C01D3E">
        <w:t>’</w:t>
      </w:r>
      <w:r>
        <w:t>s preliminary objection as to the non-exhaustion of domestic remedies</w:t>
      </w:r>
      <w:r w:rsidRPr="008213D8">
        <w:t>;</w:t>
      </w:r>
    </w:p>
    <w:p w:rsidRPr="008213D8" w:rsidR="00B66328" w:rsidP="00B66328" w:rsidRDefault="00B66328">
      <w:pPr>
        <w:pStyle w:val="JuList"/>
        <w:ind w:left="0" w:firstLine="0"/>
      </w:pPr>
    </w:p>
    <w:p w:rsidRPr="008213D8" w:rsidR="00B66328" w:rsidP="00B66328" w:rsidRDefault="00B66328">
      <w:pPr>
        <w:pStyle w:val="JuList"/>
      </w:pPr>
      <w:r>
        <w:t>2</w:t>
      </w:r>
      <w:r w:rsidRPr="008213D8">
        <w:t>.  </w:t>
      </w:r>
      <w:r w:rsidRPr="008213D8">
        <w:rPr>
          <w:i/>
        </w:rPr>
        <w:t>Holds</w:t>
      </w:r>
      <w:r w:rsidRPr="008213D8">
        <w:t xml:space="preserve"> that the applicant </w:t>
      </w:r>
      <w:r>
        <w:t>can</w:t>
      </w:r>
      <w:r w:rsidRPr="008213D8">
        <w:t xml:space="preserve"> claim to be a “victim” for the purposes of Article 34 of the Convention;</w:t>
      </w:r>
    </w:p>
    <w:p w:rsidRPr="008213D8" w:rsidR="00B66328" w:rsidP="00B66328" w:rsidRDefault="00B66328">
      <w:pPr>
        <w:pStyle w:val="JuList"/>
      </w:pPr>
    </w:p>
    <w:p w:rsidR="00B66328" w:rsidP="00B66328" w:rsidRDefault="00B66328">
      <w:pPr>
        <w:pStyle w:val="JuList"/>
      </w:pPr>
      <w:r>
        <w:t>3</w:t>
      </w:r>
      <w:r w:rsidRPr="008213D8">
        <w:t>.  </w:t>
      </w:r>
      <w:r w:rsidRPr="008213D8">
        <w:rPr>
          <w:i/>
        </w:rPr>
        <w:t>Holds</w:t>
      </w:r>
      <w:r w:rsidRPr="008213D8">
        <w:t xml:space="preserve"> that there has been a violation of Article</w:t>
      </w:r>
      <w:r w:rsidR="002A7BAA">
        <w:t xml:space="preserve"> </w:t>
      </w:r>
      <w:r>
        <w:t>6 § 1</w:t>
      </w:r>
      <w:r w:rsidRPr="008213D8">
        <w:t xml:space="preserve"> of the Convention;</w:t>
      </w:r>
    </w:p>
    <w:p w:rsidR="00B66328" w:rsidP="00B66328" w:rsidRDefault="00B66328">
      <w:pPr>
        <w:pStyle w:val="JuList"/>
      </w:pPr>
    </w:p>
    <w:p w:rsidR="00B66328" w:rsidP="00B66328" w:rsidRDefault="005A0F55">
      <w:pPr>
        <w:pStyle w:val="JuList"/>
      </w:pPr>
      <w:r>
        <w:t>4.  </w:t>
      </w:r>
      <w:r w:rsidRPr="0036259B" w:rsidR="00B66328">
        <w:rPr>
          <w:i/>
        </w:rPr>
        <w:t>Holds</w:t>
      </w:r>
      <w:r w:rsidR="008C48D1">
        <w:t xml:space="preserve"> </w:t>
      </w:r>
      <w:r w:rsidR="00B66328">
        <w:t>that the other complaints under Articles 13, 17 and 34 of the Convention fall outside the scope of its examination;</w:t>
      </w:r>
    </w:p>
    <w:p w:rsidR="00B66328" w:rsidP="00B66328" w:rsidRDefault="00B66328">
      <w:pPr>
        <w:pStyle w:val="JuList"/>
      </w:pPr>
    </w:p>
    <w:p w:rsidR="00A31EB8" w:rsidP="00B66328" w:rsidRDefault="00B66328">
      <w:pPr>
        <w:pStyle w:val="JuList"/>
      </w:pPr>
      <w:r>
        <w:t>5</w:t>
      </w:r>
      <w:r w:rsidRPr="008213D8">
        <w:t>.  </w:t>
      </w:r>
      <w:r w:rsidRPr="008213D8">
        <w:rPr>
          <w:i/>
        </w:rPr>
        <w:t>Holds</w:t>
      </w:r>
    </w:p>
    <w:p w:rsidRPr="008213D8" w:rsidR="00B66328" w:rsidP="00B66328" w:rsidRDefault="00B66328">
      <w:pPr>
        <w:pStyle w:val="JuLista"/>
      </w:pPr>
      <w:r w:rsidRPr="008213D8">
        <w:t>(a)  that the respondent State is to pay the applicant, within three months, the following amounts:</w:t>
      </w:r>
    </w:p>
    <w:p w:rsidRPr="008213D8" w:rsidR="00B66328" w:rsidP="00B66328" w:rsidRDefault="00B66328">
      <w:pPr>
        <w:pStyle w:val="JuListi"/>
      </w:pPr>
      <w:r w:rsidRPr="008213D8">
        <w:t>(i)  </w:t>
      </w:r>
      <w:r w:rsidRPr="000E3C68">
        <w:t xml:space="preserve">EUR </w:t>
      </w:r>
      <w:r w:rsidRPr="000E3C68" w:rsidR="008C48D1">
        <w:t>6</w:t>
      </w:r>
      <w:r w:rsidRPr="000E3C68" w:rsidR="005814EC">
        <w:t>,</w:t>
      </w:r>
      <w:r w:rsidRPr="000E3C68" w:rsidR="008C48D1">
        <w:t>3</w:t>
      </w:r>
      <w:r w:rsidRPr="000E3C68" w:rsidR="005814EC">
        <w:t>00</w:t>
      </w:r>
      <w:r w:rsidRPr="000E3C68">
        <w:t xml:space="preserve"> (</w:t>
      </w:r>
      <w:r w:rsidRPr="000E3C68" w:rsidR="008C48D1">
        <w:t>six</w:t>
      </w:r>
      <w:r w:rsidRPr="000E3C68">
        <w:t xml:space="preserve"> thousand </w:t>
      </w:r>
      <w:r w:rsidRPr="000E3C68" w:rsidR="008C48D1">
        <w:t>three hundred</w:t>
      </w:r>
      <w:r w:rsidRPr="000E3C68">
        <w:t xml:space="preserve"> euros)</w:t>
      </w:r>
      <w:r w:rsidRPr="008213D8">
        <w:t xml:space="preserve"> in respect of </w:t>
      </w:r>
      <w:r>
        <w:t>non-</w:t>
      </w:r>
      <w:r w:rsidRPr="008213D8">
        <w:t>pecuniary damage;</w:t>
      </w:r>
    </w:p>
    <w:p w:rsidRPr="008213D8" w:rsidR="00B66328" w:rsidP="00B66328" w:rsidRDefault="00B66328">
      <w:pPr>
        <w:pStyle w:val="JuListi"/>
      </w:pPr>
      <w:r w:rsidRPr="008213D8">
        <w:t xml:space="preserve">(ii)  EUR </w:t>
      </w:r>
      <w:r>
        <w:t>5,000</w:t>
      </w:r>
      <w:r w:rsidRPr="008213D8">
        <w:t xml:space="preserve"> </w:t>
      </w:r>
      <w:r>
        <w:t>(five thousand</w:t>
      </w:r>
      <w:r w:rsidRPr="008213D8">
        <w:t xml:space="preserve"> euros) in respect of </w:t>
      </w:r>
      <w:r>
        <w:t>costs and expenses</w:t>
      </w:r>
      <w:r w:rsidRPr="008213D8">
        <w:t>;</w:t>
      </w:r>
    </w:p>
    <w:p w:rsidRPr="008213D8" w:rsidR="00B66328" w:rsidP="00B66328" w:rsidRDefault="00B66328">
      <w:pPr>
        <w:pStyle w:val="JuListi"/>
      </w:pPr>
      <w:r w:rsidRPr="008213D8">
        <w:t>(iii)  any tax that may be chargeable on the above amounts;</w:t>
      </w:r>
    </w:p>
    <w:p w:rsidRPr="008213D8" w:rsidR="00B66328" w:rsidP="00B66328" w:rsidRDefault="00B66328">
      <w:pPr>
        <w:pStyle w:val="JuLista"/>
      </w:pPr>
      <w:r w:rsidRPr="008213D8">
        <w:t>(b)  that from the expiry of the above-mentioned three months until settlement simple interest shall be payabl</w:t>
      </w:r>
      <w:r>
        <w:t>e on the above amount</w:t>
      </w:r>
      <w:r w:rsidRPr="008213D8">
        <w:t>s at a rate equal to the marginal lending rate of the European Central Bank during the default period plus three percentage points;</w:t>
      </w:r>
    </w:p>
    <w:p w:rsidRPr="008213D8" w:rsidR="00B66328" w:rsidP="00B66328" w:rsidRDefault="00B66328">
      <w:pPr>
        <w:pStyle w:val="JuList"/>
      </w:pPr>
    </w:p>
    <w:p w:rsidRPr="008213D8" w:rsidR="00B66328" w:rsidP="00B66328" w:rsidRDefault="00B66328">
      <w:pPr>
        <w:pStyle w:val="JuList"/>
      </w:pPr>
      <w:r>
        <w:t>6</w:t>
      </w:r>
      <w:r w:rsidRPr="008213D8">
        <w:t>.  </w:t>
      </w:r>
      <w:r w:rsidRPr="008213D8">
        <w:rPr>
          <w:i/>
        </w:rPr>
        <w:t>Dismisses</w:t>
      </w:r>
      <w:r w:rsidRPr="008213D8">
        <w:t xml:space="preserve"> the remainder of the applicant</w:t>
      </w:r>
      <w:r w:rsidR="00C01D3E">
        <w:t>’</w:t>
      </w:r>
      <w:r w:rsidRPr="008213D8">
        <w:t>s claim for just satisfaction.</w:t>
      </w:r>
    </w:p>
    <w:p w:rsidRPr="008213D8" w:rsidR="00B66328" w:rsidP="0070452E" w:rsidRDefault="00710EA4">
      <w:pPr>
        <w:pStyle w:val="JuParaLast"/>
        <w:keepNext/>
        <w:keepLines/>
      </w:pPr>
      <w:r>
        <w:t>Done in</w:t>
      </w:r>
      <w:r w:rsidR="00B66328">
        <w:t xml:space="preserve"> </w:t>
      </w:r>
      <w:r w:rsidRPr="008213D8" w:rsidR="00B66328">
        <w:t>English</w:t>
      </w:r>
      <w:r>
        <w:t xml:space="preserve"> and in French</w:t>
      </w:r>
      <w:r w:rsidRPr="008213D8" w:rsidR="00B66328">
        <w:t xml:space="preserve">, and delivered at a public hearing in the Human Rights Building, </w:t>
      </w:r>
      <w:smartTag w:uri="urn:schemas-microsoft-com:office:smarttags" w:element="place">
        <w:smartTag w:uri="urn:schemas-microsoft-com:office:smarttags" w:element="City">
          <w:r w:rsidR="00B66328" w:rsidRPr="008213D8">
            <w:t>Strasbourg</w:t>
          </w:r>
        </w:smartTag>
      </w:smartTag>
      <w:r w:rsidRPr="008213D8" w:rsidR="00B66328">
        <w:t xml:space="preserve">, on </w:t>
      </w:r>
      <w:smartTag w:uri="urn:schemas-microsoft-com:office:smarttags" w:element="date">
        <w:smartTagPr>
          <w:attr w:name="Month" w:val="3"/>
          <w:attr w:name="Day" w:val="29"/>
          <w:attr w:name="Year" w:val="2006"/>
        </w:smartTagPr>
        <w:r>
          <w:t xml:space="preserve">29 </w:t>
        </w:r>
        <w:r w:rsidR="00382F85" w:rsidRPr="000E3C68">
          <w:t>March 2006</w:t>
        </w:r>
      </w:smartTag>
      <w:r w:rsidRPr="000E3C68" w:rsidR="00B66328">
        <w:t>.</w:t>
      </w:r>
    </w:p>
    <w:p w:rsidRPr="008213D8" w:rsidR="00B66328" w:rsidP="0070452E" w:rsidRDefault="00BF31EE">
      <w:pPr>
        <w:pStyle w:val="JuSigned"/>
        <w:keepNext/>
        <w:keepLines/>
      </w:pPr>
      <w:r>
        <w:t xml:space="preserve"> </w:t>
      </w:r>
      <w:smartTag w:uri="urn:schemas-microsoft-com:office:smarttags" w:element="City">
        <w:smartTag w:uri="urn:schemas-microsoft-com:office:smarttags" w:element="place">
          <w:r>
            <w:t>Lawrence</w:t>
          </w:r>
        </w:smartTag>
      </w:smartTag>
      <w:r>
        <w:t xml:space="preserve"> Early</w:t>
      </w:r>
      <w:r w:rsidRPr="008213D8" w:rsidR="00B66328">
        <w:tab/>
        <w:t xml:space="preserve">Luzius </w:t>
      </w:r>
      <w:r w:rsidRPr="008213D8" w:rsidR="00B66328">
        <w:rPr>
          <w:rStyle w:val="JuNames"/>
        </w:rPr>
        <w:t>W</w:t>
      </w:r>
      <w:r w:rsidRPr="00BF31EE" w:rsidR="00B66328">
        <w:rPr>
          <w:rStyle w:val="JuNames"/>
          <w:rFonts w:ascii="Times New (W1)" w:hAnsi="Times New (W1)"/>
          <w:smallCaps w:val="0"/>
        </w:rPr>
        <w:t>ildhaber</w:t>
      </w:r>
      <w:r w:rsidRPr="008213D8" w:rsidR="00B66328">
        <w:rPr>
          <w:rStyle w:val="JuNames"/>
        </w:rPr>
        <w:br/>
      </w:r>
      <w:r>
        <w:t>Deputy Registrar</w:t>
      </w:r>
      <w:r>
        <w:tab/>
        <w:t>President</w:t>
      </w:r>
    </w:p>
    <w:sectPr w:rsidRPr="008213D8" w:rsidR="00B66328" w:rsidSect="00204CB7">
      <w:headerReference w:type="even" r:id="rId8"/>
      <w:headerReference w:type="default" r:id="rId9"/>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93D" w:rsidRDefault="0008493D">
      <w:r>
        <w:separator/>
      </w:r>
    </w:p>
  </w:endnote>
  <w:endnote w:type="continuationSeparator" w:id="0">
    <w:p w:rsidR="0008493D" w:rsidRDefault="00084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93D" w:rsidRDefault="0008493D">
      <w:r>
        <w:separator/>
      </w:r>
    </w:p>
  </w:footnote>
  <w:footnote w:type="continuationSeparator" w:id="0">
    <w:p w:rsidR="0008493D" w:rsidRDefault="000849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93D" w:rsidRDefault="0008493D">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08493D" w:rsidRPr="00204CB7" w:rsidRDefault="0008493D" w:rsidP="00204CB7">
    <w:pPr>
      <w:pStyle w:val="Header"/>
      <w:jc w:val="cente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93D" w:rsidRDefault="0008493D">
    <w:pPr>
      <w:pStyle w:val="JuHeader"/>
    </w:pPr>
    <w:r>
      <w:rPr>
        <w:rStyle w:val="PageNumber"/>
      </w:rPr>
      <w:fldChar w:fldCharType="begin"/>
    </w:r>
    <w:r>
      <w:rPr>
        <w:rStyle w:val="PageNumber"/>
      </w:rPr>
      <w:instrText xml:space="preserve"> PAGE </w:instrText>
    </w:r>
    <w:r>
      <w:rPr>
        <w:rStyle w:val="PageNumber"/>
      </w:rPr>
      <w:fldChar w:fldCharType="separate"/>
    </w:r>
    <w:r w:rsidR="00C01D3E">
      <w:rPr>
        <w:rStyle w:val="PageNumber"/>
        <w:noProof/>
      </w:rPr>
      <w:t>46</w:t>
    </w:r>
    <w:r>
      <w:rPr>
        <w:rStyle w:val="PageNumber"/>
      </w:rPr>
      <w:fldChar w:fldCharType="end"/>
    </w:r>
    <w:r>
      <w:tab/>
      <w:t xml:space="preserve">COCCHIARELLA v. </w:t>
    </w:r>
    <w:smartTag w:uri="urn:schemas-microsoft-com:office:smarttags" w:element="place">
      <w:smartTag w:uri="urn:schemas-microsoft-com:office:smarttags" w:element="country-region">
        <w:r>
          <w:t>ITALY</w:t>
        </w:r>
      </w:smartTag>
    </w:smartTag>
    <w:r>
      <w:t xml:space="preserve">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93D" w:rsidRDefault="0008493D">
    <w:pPr>
      <w:pStyle w:val="JuHeader"/>
      <w:rPr>
        <w:rStyle w:val="PageNumber"/>
      </w:rPr>
    </w:pPr>
    <w:r>
      <w:tab/>
      <w:t xml:space="preserve">COCCHIARELLA v. </w:t>
    </w:r>
    <w:smartTag w:uri="urn:schemas-microsoft-com:office:smarttags" w:element="place">
      <w:smartTag w:uri="urn:schemas-microsoft-com:office:smarttags" w:element="country-region">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C01D3E">
      <w:rPr>
        <w:rStyle w:val="PageNumber"/>
        <w:noProof/>
      </w:rPr>
      <w:t>45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83E272E"/>
    <w:multiLevelType w:val="multilevel"/>
    <w:tmpl w:val="F0FC7BBE"/>
    <w:lvl w:ilvl="0">
      <w:start w:val="1"/>
      <w:numFmt w:val="upperLetter"/>
      <w:lvlText w:val="%1."/>
      <w:lvlJc w:val="left"/>
      <w:pPr>
        <w:tabs>
          <w:tab w:val="num" w:pos="592"/>
        </w:tabs>
        <w:ind w:left="592" w:hanging="360"/>
      </w:pPr>
      <w:rPr>
        <w:rFonts w:hint="default"/>
      </w:rPr>
    </w:lvl>
    <w:lvl w:ilvl="1">
      <w:start w:val="1"/>
      <w:numFmt w:val="lowerLetter"/>
      <w:lvlText w:val="%2."/>
      <w:lvlJc w:val="left"/>
      <w:pPr>
        <w:tabs>
          <w:tab w:val="num" w:pos="1312"/>
        </w:tabs>
        <w:ind w:left="1312" w:hanging="360"/>
      </w:pPr>
    </w:lvl>
    <w:lvl w:ilvl="2">
      <w:start w:val="1"/>
      <w:numFmt w:val="lowerRoman"/>
      <w:lvlText w:val="%3."/>
      <w:lvlJc w:val="right"/>
      <w:pPr>
        <w:tabs>
          <w:tab w:val="num" w:pos="2032"/>
        </w:tabs>
        <w:ind w:left="2032" w:hanging="180"/>
      </w:pPr>
    </w:lvl>
    <w:lvl w:ilvl="3">
      <w:start w:val="1"/>
      <w:numFmt w:val="decimal"/>
      <w:lvlText w:val="%4."/>
      <w:lvlJc w:val="left"/>
      <w:pPr>
        <w:tabs>
          <w:tab w:val="num" w:pos="2752"/>
        </w:tabs>
        <w:ind w:left="2752" w:hanging="360"/>
      </w:pPr>
    </w:lvl>
    <w:lvl w:ilvl="4">
      <w:start w:val="1"/>
      <w:numFmt w:val="lowerLetter"/>
      <w:lvlText w:val="%5."/>
      <w:lvlJc w:val="left"/>
      <w:pPr>
        <w:tabs>
          <w:tab w:val="num" w:pos="3472"/>
        </w:tabs>
        <w:ind w:left="3472" w:hanging="360"/>
      </w:pPr>
    </w:lvl>
    <w:lvl w:ilvl="5">
      <w:start w:val="1"/>
      <w:numFmt w:val="lowerRoman"/>
      <w:lvlText w:val="%6."/>
      <w:lvlJc w:val="right"/>
      <w:pPr>
        <w:tabs>
          <w:tab w:val="num" w:pos="4192"/>
        </w:tabs>
        <w:ind w:left="4192" w:hanging="180"/>
      </w:pPr>
    </w:lvl>
    <w:lvl w:ilvl="6">
      <w:start w:val="1"/>
      <w:numFmt w:val="decimal"/>
      <w:lvlText w:val="%7."/>
      <w:lvlJc w:val="left"/>
      <w:pPr>
        <w:tabs>
          <w:tab w:val="num" w:pos="4912"/>
        </w:tabs>
        <w:ind w:left="4912" w:hanging="360"/>
      </w:pPr>
    </w:lvl>
    <w:lvl w:ilvl="7">
      <w:start w:val="1"/>
      <w:numFmt w:val="lowerLetter"/>
      <w:lvlText w:val="%8."/>
      <w:lvlJc w:val="left"/>
      <w:pPr>
        <w:tabs>
          <w:tab w:val="num" w:pos="5632"/>
        </w:tabs>
        <w:ind w:left="5632" w:hanging="360"/>
      </w:pPr>
    </w:lvl>
    <w:lvl w:ilvl="8">
      <w:start w:val="1"/>
      <w:numFmt w:val="lowerRoman"/>
      <w:lvlText w:val="%9."/>
      <w:lvlJc w:val="right"/>
      <w:pPr>
        <w:tabs>
          <w:tab w:val="num" w:pos="6352"/>
        </w:tabs>
        <w:ind w:left="6352" w:hanging="180"/>
      </w:pPr>
    </w:lvl>
  </w:abstractNum>
  <w:abstractNum w:abstractNumId="10">
    <w:nsid w:val="1A055FDA"/>
    <w:multiLevelType w:val="hybridMultilevel"/>
    <w:tmpl w:val="202A7572"/>
    <w:lvl w:ilvl="0" w:tplc="55680C9C">
      <w:start w:val="1"/>
      <w:numFmt w:val="upperLetter"/>
      <w:lvlText w:val="%1."/>
      <w:lvlJc w:val="left"/>
      <w:pPr>
        <w:tabs>
          <w:tab w:val="num" w:pos="592"/>
        </w:tabs>
        <w:ind w:left="592" w:hanging="360"/>
      </w:pPr>
      <w:rPr>
        <w:rFonts w:hint="default"/>
      </w:rPr>
    </w:lvl>
    <w:lvl w:ilvl="1" w:tplc="040C0019" w:tentative="1">
      <w:start w:val="1"/>
      <w:numFmt w:val="lowerLetter"/>
      <w:lvlText w:val="%2."/>
      <w:lvlJc w:val="left"/>
      <w:pPr>
        <w:tabs>
          <w:tab w:val="num" w:pos="1312"/>
        </w:tabs>
        <w:ind w:left="1312" w:hanging="360"/>
      </w:pPr>
    </w:lvl>
    <w:lvl w:ilvl="2" w:tplc="040C001B" w:tentative="1">
      <w:start w:val="1"/>
      <w:numFmt w:val="lowerRoman"/>
      <w:lvlText w:val="%3."/>
      <w:lvlJc w:val="right"/>
      <w:pPr>
        <w:tabs>
          <w:tab w:val="num" w:pos="2032"/>
        </w:tabs>
        <w:ind w:left="2032" w:hanging="180"/>
      </w:pPr>
    </w:lvl>
    <w:lvl w:ilvl="3" w:tplc="040C000F" w:tentative="1">
      <w:start w:val="1"/>
      <w:numFmt w:val="decimal"/>
      <w:lvlText w:val="%4."/>
      <w:lvlJc w:val="left"/>
      <w:pPr>
        <w:tabs>
          <w:tab w:val="num" w:pos="2752"/>
        </w:tabs>
        <w:ind w:left="2752" w:hanging="360"/>
      </w:pPr>
    </w:lvl>
    <w:lvl w:ilvl="4" w:tplc="040C0019" w:tentative="1">
      <w:start w:val="1"/>
      <w:numFmt w:val="lowerLetter"/>
      <w:lvlText w:val="%5."/>
      <w:lvlJc w:val="left"/>
      <w:pPr>
        <w:tabs>
          <w:tab w:val="num" w:pos="3472"/>
        </w:tabs>
        <w:ind w:left="3472" w:hanging="360"/>
      </w:pPr>
    </w:lvl>
    <w:lvl w:ilvl="5" w:tplc="040C001B" w:tentative="1">
      <w:start w:val="1"/>
      <w:numFmt w:val="lowerRoman"/>
      <w:lvlText w:val="%6."/>
      <w:lvlJc w:val="right"/>
      <w:pPr>
        <w:tabs>
          <w:tab w:val="num" w:pos="4192"/>
        </w:tabs>
        <w:ind w:left="4192" w:hanging="180"/>
      </w:pPr>
    </w:lvl>
    <w:lvl w:ilvl="6" w:tplc="040C000F" w:tentative="1">
      <w:start w:val="1"/>
      <w:numFmt w:val="decimal"/>
      <w:lvlText w:val="%7."/>
      <w:lvlJc w:val="left"/>
      <w:pPr>
        <w:tabs>
          <w:tab w:val="num" w:pos="4912"/>
        </w:tabs>
        <w:ind w:left="4912" w:hanging="360"/>
      </w:pPr>
    </w:lvl>
    <w:lvl w:ilvl="7" w:tplc="040C0019" w:tentative="1">
      <w:start w:val="1"/>
      <w:numFmt w:val="lowerLetter"/>
      <w:lvlText w:val="%8."/>
      <w:lvlJc w:val="left"/>
      <w:pPr>
        <w:tabs>
          <w:tab w:val="num" w:pos="5632"/>
        </w:tabs>
        <w:ind w:left="5632" w:hanging="360"/>
      </w:pPr>
    </w:lvl>
    <w:lvl w:ilvl="8" w:tplc="040C001B" w:tentative="1">
      <w:start w:val="1"/>
      <w:numFmt w:val="lowerRoman"/>
      <w:lvlText w:val="%9."/>
      <w:lvlJc w:val="right"/>
      <w:pPr>
        <w:tabs>
          <w:tab w:val="num" w:pos="6352"/>
        </w:tabs>
        <w:ind w:left="6352" w:hanging="180"/>
      </w:pPr>
    </w:lvl>
  </w:abstractNum>
  <w:abstractNum w:abstractNumId="11">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2AF3CB3"/>
    <w:multiLevelType w:val="hybridMultilevel"/>
    <w:tmpl w:val="75ACCB18"/>
    <w:lvl w:ilvl="0" w:tplc="38BABE5C">
      <w:start w:val="1"/>
      <w:numFmt w:val="upperLetter"/>
      <w:lvlText w:val="%1."/>
      <w:lvlJc w:val="left"/>
      <w:pPr>
        <w:tabs>
          <w:tab w:val="num" w:pos="592"/>
        </w:tabs>
        <w:ind w:left="592" w:hanging="360"/>
      </w:pPr>
      <w:rPr>
        <w:rFonts w:hint="default"/>
      </w:rPr>
    </w:lvl>
    <w:lvl w:ilvl="1" w:tplc="040C0019" w:tentative="1">
      <w:start w:val="1"/>
      <w:numFmt w:val="lowerLetter"/>
      <w:lvlText w:val="%2."/>
      <w:lvlJc w:val="left"/>
      <w:pPr>
        <w:tabs>
          <w:tab w:val="num" w:pos="1312"/>
        </w:tabs>
        <w:ind w:left="1312" w:hanging="360"/>
      </w:pPr>
    </w:lvl>
    <w:lvl w:ilvl="2" w:tplc="040C001B" w:tentative="1">
      <w:start w:val="1"/>
      <w:numFmt w:val="lowerRoman"/>
      <w:lvlText w:val="%3."/>
      <w:lvlJc w:val="right"/>
      <w:pPr>
        <w:tabs>
          <w:tab w:val="num" w:pos="2032"/>
        </w:tabs>
        <w:ind w:left="2032" w:hanging="180"/>
      </w:pPr>
    </w:lvl>
    <w:lvl w:ilvl="3" w:tplc="040C000F" w:tentative="1">
      <w:start w:val="1"/>
      <w:numFmt w:val="decimal"/>
      <w:lvlText w:val="%4."/>
      <w:lvlJc w:val="left"/>
      <w:pPr>
        <w:tabs>
          <w:tab w:val="num" w:pos="2752"/>
        </w:tabs>
        <w:ind w:left="2752" w:hanging="360"/>
      </w:pPr>
    </w:lvl>
    <w:lvl w:ilvl="4" w:tplc="040C0019" w:tentative="1">
      <w:start w:val="1"/>
      <w:numFmt w:val="lowerLetter"/>
      <w:lvlText w:val="%5."/>
      <w:lvlJc w:val="left"/>
      <w:pPr>
        <w:tabs>
          <w:tab w:val="num" w:pos="3472"/>
        </w:tabs>
        <w:ind w:left="3472" w:hanging="360"/>
      </w:pPr>
    </w:lvl>
    <w:lvl w:ilvl="5" w:tplc="040C001B" w:tentative="1">
      <w:start w:val="1"/>
      <w:numFmt w:val="lowerRoman"/>
      <w:lvlText w:val="%6."/>
      <w:lvlJc w:val="right"/>
      <w:pPr>
        <w:tabs>
          <w:tab w:val="num" w:pos="4192"/>
        </w:tabs>
        <w:ind w:left="4192" w:hanging="180"/>
      </w:pPr>
    </w:lvl>
    <w:lvl w:ilvl="6" w:tplc="040C000F" w:tentative="1">
      <w:start w:val="1"/>
      <w:numFmt w:val="decimal"/>
      <w:lvlText w:val="%7."/>
      <w:lvlJc w:val="left"/>
      <w:pPr>
        <w:tabs>
          <w:tab w:val="num" w:pos="4912"/>
        </w:tabs>
        <w:ind w:left="4912" w:hanging="360"/>
      </w:pPr>
    </w:lvl>
    <w:lvl w:ilvl="7" w:tplc="040C0019" w:tentative="1">
      <w:start w:val="1"/>
      <w:numFmt w:val="lowerLetter"/>
      <w:lvlText w:val="%8."/>
      <w:lvlJc w:val="left"/>
      <w:pPr>
        <w:tabs>
          <w:tab w:val="num" w:pos="5632"/>
        </w:tabs>
        <w:ind w:left="5632" w:hanging="360"/>
      </w:pPr>
    </w:lvl>
    <w:lvl w:ilvl="8" w:tplc="040C001B" w:tentative="1">
      <w:start w:val="1"/>
      <w:numFmt w:val="lowerRoman"/>
      <w:lvlText w:val="%9."/>
      <w:lvlJc w:val="right"/>
      <w:pPr>
        <w:tabs>
          <w:tab w:val="num" w:pos="6352"/>
        </w:tabs>
        <w:ind w:left="6352" w:hanging="180"/>
      </w:pPr>
    </w:lvl>
  </w:abstractNum>
  <w:abstractNum w:abstractNumId="13">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4">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4001E61"/>
    <w:multiLevelType w:val="hybridMultilevel"/>
    <w:tmpl w:val="CF7E9092"/>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3E951807"/>
    <w:multiLevelType w:val="multilevel"/>
    <w:tmpl w:val="4E72F24E"/>
    <w:lvl w:ilvl="0">
      <w:start w:val="2"/>
      <w:numFmt w:val="lowerLetter"/>
      <w:lvlText w:val="%1)"/>
      <w:lvlJc w:val="left"/>
      <w:pPr>
        <w:tabs>
          <w:tab w:val="num" w:pos="995"/>
        </w:tabs>
        <w:ind w:left="995" w:hanging="360"/>
      </w:pPr>
      <w:rPr>
        <w:rFonts w:hint="default"/>
      </w:rPr>
    </w:lvl>
    <w:lvl w:ilvl="1">
      <w:start w:val="1"/>
      <w:numFmt w:val="lowerLetter"/>
      <w:lvlText w:val="%2."/>
      <w:lvlJc w:val="left"/>
      <w:pPr>
        <w:tabs>
          <w:tab w:val="num" w:pos="1715"/>
        </w:tabs>
        <w:ind w:left="1715" w:hanging="360"/>
      </w:pPr>
    </w:lvl>
    <w:lvl w:ilvl="2">
      <w:start w:val="1"/>
      <w:numFmt w:val="lowerRoman"/>
      <w:lvlText w:val="%3."/>
      <w:lvlJc w:val="right"/>
      <w:pPr>
        <w:tabs>
          <w:tab w:val="num" w:pos="2435"/>
        </w:tabs>
        <w:ind w:left="2435" w:hanging="180"/>
      </w:pPr>
    </w:lvl>
    <w:lvl w:ilvl="3">
      <w:start w:val="1"/>
      <w:numFmt w:val="decimal"/>
      <w:lvlText w:val="%4."/>
      <w:lvlJc w:val="left"/>
      <w:pPr>
        <w:tabs>
          <w:tab w:val="num" w:pos="3155"/>
        </w:tabs>
        <w:ind w:left="3155" w:hanging="360"/>
      </w:pPr>
    </w:lvl>
    <w:lvl w:ilvl="4">
      <w:start w:val="1"/>
      <w:numFmt w:val="lowerLetter"/>
      <w:lvlText w:val="%5."/>
      <w:lvlJc w:val="left"/>
      <w:pPr>
        <w:tabs>
          <w:tab w:val="num" w:pos="3875"/>
        </w:tabs>
        <w:ind w:left="3875" w:hanging="360"/>
      </w:pPr>
    </w:lvl>
    <w:lvl w:ilvl="5">
      <w:start w:val="1"/>
      <w:numFmt w:val="lowerRoman"/>
      <w:lvlText w:val="%6."/>
      <w:lvlJc w:val="right"/>
      <w:pPr>
        <w:tabs>
          <w:tab w:val="num" w:pos="4595"/>
        </w:tabs>
        <w:ind w:left="4595" w:hanging="180"/>
      </w:pPr>
    </w:lvl>
    <w:lvl w:ilvl="6">
      <w:start w:val="1"/>
      <w:numFmt w:val="decimal"/>
      <w:lvlText w:val="%7."/>
      <w:lvlJc w:val="left"/>
      <w:pPr>
        <w:tabs>
          <w:tab w:val="num" w:pos="5315"/>
        </w:tabs>
        <w:ind w:left="5315" w:hanging="360"/>
      </w:pPr>
    </w:lvl>
    <w:lvl w:ilvl="7">
      <w:start w:val="1"/>
      <w:numFmt w:val="lowerLetter"/>
      <w:lvlText w:val="%8."/>
      <w:lvlJc w:val="left"/>
      <w:pPr>
        <w:tabs>
          <w:tab w:val="num" w:pos="6035"/>
        </w:tabs>
        <w:ind w:left="6035" w:hanging="360"/>
      </w:pPr>
    </w:lvl>
    <w:lvl w:ilvl="8">
      <w:start w:val="1"/>
      <w:numFmt w:val="lowerRoman"/>
      <w:lvlText w:val="%9."/>
      <w:lvlJc w:val="right"/>
      <w:pPr>
        <w:tabs>
          <w:tab w:val="num" w:pos="6755"/>
        </w:tabs>
        <w:ind w:left="6755" w:hanging="180"/>
      </w:pPr>
    </w:lvl>
  </w:abstractNum>
  <w:abstractNum w:abstractNumId="23">
    <w:nsid w:val="4B664B11"/>
    <w:multiLevelType w:val="hybridMultilevel"/>
    <w:tmpl w:val="88C2DEBC"/>
    <w:lvl w:ilvl="0" w:tplc="7FE4C4E8">
      <w:start w:val="4"/>
      <w:numFmt w:val="decimal"/>
      <w:lvlText w:val="%1."/>
      <w:lvlJc w:val="left"/>
      <w:pPr>
        <w:tabs>
          <w:tab w:val="num" w:pos="791"/>
        </w:tabs>
        <w:ind w:left="791" w:hanging="360"/>
      </w:pPr>
      <w:rPr>
        <w:rFonts w:hint="default"/>
      </w:rPr>
    </w:lvl>
    <w:lvl w:ilvl="1" w:tplc="040C0019" w:tentative="1">
      <w:start w:val="1"/>
      <w:numFmt w:val="lowerLetter"/>
      <w:lvlText w:val="%2."/>
      <w:lvlJc w:val="left"/>
      <w:pPr>
        <w:tabs>
          <w:tab w:val="num" w:pos="1511"/>
        </w:tabs>
        <w:ind w:left="1511" w:hanging="360"/>
      </w:pPr>
    </w:lvl>
    <w:lvl w:ilvl="2" w:tplc="040C001B" w:tentative="1">
      <w:start w:val="1"/>
      <w:numFmt w:val="lowerRoman"/>
      <w:lvlText w:val="%3."/>
      <w:lvlJc w:val="right"/>
      <w:pPr>
        <w:tabs>
          <w:tab w:val="num" w:pos="2231"/>
        </w:tabs>
        <w:ind w:left="2231" w:hanging="180"/>
      </w:pPr>
    </w:lvl>
    <w:lvl w:ilvl="3" w:tplc="040C000F" w:tentative="1">
      <w:start w:val="1"/>
      <w:numFmt w:val="decimal"/>
      <w:lvlText w:val="%4."/>
      <w:lvlJc w:val="left"/>
      <w:pPr>
        <w:tabs>
          <w:tab w:val="num" w:pos="2951"/>
        </w:tabs>
        <w:ind w:left="2951" w:hanging="360"/>
      </w:pPr>
    </w:lvl>
    <w:lvl w:ilvl="4" w:tplc="040C0019" w:tentative="1">
      <w:start w:val="1"/>
      <w:numFmt w:val="lowerLetter"/>
      <w:lvlText w:val="%5."/>
      <w:lvlJc w:val="left"/>
      <w:pPr>
        <w:tabs>
          <w:tab w:val="num" w:pos="3671"/>
        </w:tabs>
        <w:ind w:left="3671" w:hanging="360"/>
      </w:pPr>
    </w:lvl>
    <w:lvl w:ilvl="5" w:tplc="040C001B" w:tentative="1">
      <w:start w:val="1"/>
      <w:numFmt w:val="lowerRoman"/>
      <w:lvlText w:val="%6."/>
      <w:lvlJc w:val="right"/>
      <w:pPr>
        <w:tabs>
          <w:tab w:val="num" w:pos="4391"/>
        </w:tabs>
        <w:ind w:left="4391" w:hanging="180"/>
      </w:pPr>
    </w:lvl>
    <w:lvl w:ilvl="6" w:tplc="040C000F" w:tentative="1">
      <w:start w:val="1"/>
      <w:numFmt w:val="decimal"/>
      <w:lvlText w:val="%7."/>
      <w:lvlJc w:val="left"/>
      <w:pPr>
        <w:tabs>
          <w:tab w:val="num" w:pos="5111"/>
        </w:tabs>
        <w:ind w:left="5111" w:hanging="360"/>
      </w:pPr>
    </w:lvl>
    <w:lvl w:ilvl="7" w:tplc="040C0019" w:tentative="1">
      <w:start w:val="1"/>
      <w:numFmt w:val="lowerLetter"/>
      <w:lvlText w:val="%8."/>
      <w:lvlJc w:val="left"/>
      <w:pPr>
        <w:tabs>
          <w:tab w:val="num" w:pos="5831"/>
        </w:tabs>
        <w:ind w:left="5831" w:hanging="360"/>
      </w:pPr>
    </w:lvl>
    <w:lvl w:ilvl="8" w:tplc="040C001B" w:tentative="1">
      <w:start w:val="1"/>
      <w:numFmt w:val="lowerRoman"/>
      <w:lvlText w:val="%9."/>
      <w:lvlJc w:val="right"/>
      <w:pPr>
        <w:tabs>
          <w:tab w:val="num" w:pos="6551"/>
        </w:tabs>
        <w:ind w:left="6551" w:hanging="180"/>
      </w:pPr>
    </w:lvl>
  </w:abstractNum>
  <w:abstractNum w:abstractNumId="24">
    <w:nsid w:val="4E584EB4"/>
    <w:multiLevelType w:val="hybridMultilevel"/>
    <w:tmpl w:val="4A8A225C"/>
    <w:lvl w:ilvl="0" w:tplc="8028E7DA">
      <w:start w:val="106"/>
      <w:numFmt w:val="decimal"/>
      <w:lvlText w:val="%1."/>
      <w:lvlJc w:val="left"/>
      <w:pPr>
        <w:tabs>
          <w:tab w:val="num" w:pos="284"/>
        </w:tabs>
        <w:ind w:left="0" w:firstLine="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5">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61C64323"/>
    <w:multiLevelType w:val="hybridMultilevel"/>
    <w:tmpl w:val="4E72F24E"/>
    <w:lvl w:ilvl="0" w:tplc="DC646594">
      <w:start w:val="2"/>
      <w:numFmt w:val="lowerLetter"/>
      <w:lvlText w:val="%1)"/>
      <w:lvlJc w:val="left"/>
      <w:pPr>
        <w:tabs>
          <w:tab w:val="num" w:pos="995"/>
        </w:tabs>
        <w:ind w:left="995" w:hanging="360"/>
      </w:pPr>
      <w:rPr>
        <w:rFonts w:hint="default"/>
      </w:rPr>
    </w:lvl>
    <w:lvl w:ilvl="1" w:tplc="040C0019" w:tentative="1">
      <w:start w:val="1"/>
      <w:numFmt w:val="lowerLetter"/>
      <w:lvlText w:val="%2."/>
      <w:lvlJc w:val="left"/>
      <w:pPr>
        <w:tabs>
          <w:tab w:val="num" w:pos="1715"/>
        </w:tabs>
        <w:ind w:left="1715" w:hanging="360"/>
      </w:pPr>
    </w:lvl>
    <w:lvl w:ilvl="2" w:tplc="040C001B" w:tentative="1">
      <w:start w:val="1"/>
      <w:numFmt w:val="lowerRoman"/>
      <w:lvlText w:val="%3."/>
      <w:lvlJc w:val="right"/>
      <w:pPr>
        <w:tabs>
          <w:tab w:val="num" w:pos="2435"/>
        </w:tabs>
        <w:ind w:left="2435" w:hanging="180"/>
      </w:pPr>
    </w:lvl>
    <w:lvl w:ilvl="3" w:tplc="040C000F" w:tentative="1">
      <w:start w:val="1"/>
      <w:numFmt w:val="decimal"/>
      <w:lvlText w:val="%4."/>
      <w:lvlJc w:val="left"/>
      <w:pPr>
        <w:tabs>
          <w:tab w:val="num" w:pos="3155"/>
        </w:tabs>
        <w:ind w:left="3155" w:hanging="360"/>
      </w:pPr>
    </w:lvl>
    <w:lvl w:ilvl="4" w:tplc="040C0019" w:tentative="1">
      <w:start w:val="1"/>
      <w:numFmt w:val="lowerLetter"/>
      <w:lvlText w:val="%5."/>
      <w:lvlJc w:val="left"/>
      <w:pPr>
        <w:tabs>
          <w:tab w:val="num" w:pos="3875"/>
        </w:tabs>
        <w:ind w:left="3875" w:hanging="360"/>
      </w:pPr>
    </w:lvl>
    <w:lvl w:ilvl="5" w:tplc="040C001B" w:tentative="1">
      <w:start w:val="1"/>
      <w:numFmt w:val="lowerRoman"/>
      <w:lvlText w:val="%6."/>
      <w:lvlJc w:val="right"/>
      <w:pPr>
        <w:tabs>
          <w:tab w:val="num" w:pos="4595"/>
        </w:tabs>
        <w:ind w:left="4595" w:hanging="180"/>
      </w:pPr>
    </w:lvl>
    <w:lvl w:ilvl="6" w:tplc="040C000F" w:tentative="1">
      <w:start w:val="1"/>
      <w:numFmt w:val="decimal"/>
      <w:lvlText w:val="%7."/>
      <w:lvlJc w:val="left"/>
      <w:pPr>
        <w:tabs>
          <w:tab w:val="num" w:pos="5315"/>
        </w:tabs>
        <w:ind w:left="5315" w:hanging="360"/>
      </w:pPr>
    </w:lvl>
    <w:lvl w:ilvl="7" w:tplc="040C0019" w:tentative="1">
      <w:start w:val="1"/>
      <w:numFmt w:val="lowerLetter"/>
      <w:lvlText w:val="%8."/>
      <w:lvlJc w:val="left"/>
      <w:pPr>
        <w:tabs>
          <w:tab w:val="num" w:pos="6035"/>
        </w:tabs>
        <w:ind w:left="6035" w:hanging="360"/>
      </w:pPr>
    </w:lvl>
    <w:lvl w:ilvl="8" w:tplc="040C001B" w:tentative="1">
      <w:start w:val="1"/>
      <w:numFmt w:val="lowerRoman"/>
      <w:lvlText w:val="%9."/>
      <w:lvlJc w:val="right"/>
      <w:pPr>
        <w:tabs>
          <w:tab w:val="num" w:pos="6755"/>
        </w:tabs>
        <w:ind w:left="6755" w:hanging="180"/>
      </w:pPr>
    </w:lvl>
  </w:abstractNum>
  <w:abstractNum w:abstractNumId="30">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1">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2">
    <w:nsid w:val="698A1FF1"/>
    <w:multiLevelType w:val="hybridMultilevel"/>
    <w:tmpl w:val="74D8EA84"/>
    <w:lvl w:ilvl="0" w:tplc="4B7C6642">
      <w:start w:val="1"/>
      <w:numFmt w:val="lowerRoman"/>
      <w:lvlText w:val="%1)"/>
      <w:lvlJc w:val="left"/>
      <w:pPr>
        <w:tabs>
          <w:tab w:val="num" w:pos="1553"/>
        </w:tabs>
        <w:ind w:left="1553" w:hanging="720"/>
      </w:pPr>
      <w:rPr>
        <w:rFonts w:hint="default"/>
      </w:rPr>
    </w:lvl>
    <w:lvl w:ilvl="1" w:tplc="040C0019" w:tentative="1">
      <w:start w:val="1"/>
      <w:numFmt w:val="lowerLetter"/>
      <w:lvlText w:val="%2."/>
      <w:lvlJc w:val="left"/>
      <w:pPr>
        <w:tabs>
          <w:tab w:val="num" w:pos="1913"/>
        </w:tabs>
        <w:ind w:left="1913" w:hanging="360"/>
      </w:pPr>
    </w:lvl>
    <w:lvl w:ilvl="2" w:tplc="040C001B" w:tentative="1">
      <w:start w:val="1"/>
      <w:numFmt w:val="lowerRoman"/>
      <w:lvlText w:val="%3."/>
      <w:lvlJc w:val="right"/>
      <w:pPr>
        <w:tabs>
          <w:tab w:val="num" w:pos="2633"/>
        </w:tabs>
        <w:ind w:left="2633" w:hanging="180"/>
      </w:pPr>
    </w:lvl>
    <w:lvl w:ilvl="3" w:tplc="040C000F" w:tentative="1">
      <w:start w:val="1"/>
      <w:numFmt w:val="decimal"/>
      <w:lvlText w:val="%4."/>
      <w:lvlJc w:val="left"/>
      <w:pPr>
        <w:tabs>
          <w:tab w:val="num" w:pos="3353"/>
        </w:tabs>
        <w:ind w:left="3353" w:hanging="360"/>
      </w:pPr>
    </w:lvl>
    <w:lvl w:ilvl="4" w:tplc="040C0019" w:tentative="1">
      <w:start w:val="1"/>
      <w:numFmt w:val="lowerLetter"/>
      <w:lvlText w:val="%5."/>
      <w:lvlJc w:val="left"/>
      <w:pPr>
        <w:tabs>
          <w:tab w:val="num" w:pos="4073"/>
        </w:tabs>
        <w:ind w:left="4073" w:hanging="360"/>
      </w:pPr>
    </w:lvl>
    <w:lvl w:ilvl="5" w:tplc="040C001B" w:tentative="1">
      <w:start w:val="1"/>
      <w:numFmt w:val="lowerRoman"/>
      <w:lvlText w:val="%6."/>
      <w:lvlJc w:val="right"/>
      <w:pPr>
        <w:tabs>
          <w:tab w:val="num" w:pos="4793"/>
        </w:tabs>
        <w:ind w:left="4793" w:hanging="180"/>
      </w:pPr>
    </w:lvl>
    <w:lvl w:ilvl="6" w:tplc="040C000F" w:tentative="1">
      <w:start w:val="1"/>
      <w:numFmt w:val="decimal"/>
      <w:lvlText w:val="%7."/>
      <w:lvlJc w:val="left"/>
      <w:pPr>
        <w:tabs>
          <w:tab w:val="num" w:pos="5513"/>
        </w:tabs>
        <w:ind w:left="5513" w:hanging="360"/>
      </w:pPr>
    </w:lvl>
    <w:lvl w:ilvl="7" w:tplc="040C0019" w:tentative="1">
      <w:start w:val="1"/>
      <w:numFmt w:val="lowerLetter"/>
      <w:lvlText w:val="%8."/>
      <w:lvlJc w:val="left"/>
      <w:pPr>
        <w:tabs>
          <w:tab w:val="num" w:pos="6233"/>
        </w:tabs>
        <w:ind w:left="6233" w:hanging="360"/>
      </w:pPr>
    </w:lvl>
    <w:lvl w:ilvl="8" w:tplc="040C001B" w:tentative="1">
      <w:start w:val="1"/>
      <w:numFmt w:val="lowerRoman"/>
      <w:lvlText w:val="%9."/>
      <w:lvlJc w:val="right"/>
      <w:pPr>
        <w:tabs>
          <w:tab w:val="num" w:pos="6953"/>
        </w:tabs>
        <w:ind w:left="6953" w:hanging="180"/>
      </w:pPr>
    </w:lvl>
  </w:abstractNum>
  <w:abstractNum w:abstractNumId="33">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4">
    <w:nsid w:val="713F4ABB"/>
    <w:multiLevelType w:val="hybridMultilevel"/>
    <w:tmpl w:val="D2524A78"/>
    <w:lvl w:ilvl="0" w:tplc="534C13FA">
      <w:start w:val="2"/>
      <w:numFmt w:val="lowerLetter"/>
      <w:lvlText w:val="%1)"/>
      <w:lvlJc w:val="left"/>
      <w:pPr>
        <w:tabs>
          <w:tab w:val="num" w:pos="995"/>
        </w:tabs>
        <w:ind w:left="995" w:hanging="360"/>
      </w:pPr>
      <w:rPr>
        <w:rFonts w:hint="default"/>
      </w:rPr>
    </w:lvl>
    <w:lvl w:ilvl="1" w:tplc="040C0019" w:tentative="1">
      <w:start w:val="1"/>
      <w:numFmt w:val="lowerLetter"/>
      <w:lvlText w:val="%2."/>
      <w:lvlJc w:val="left"/>
      <w:pPr>
        <w:tabs>
          <w:tab w:val="num" w:pos="1715"/>
        </w:tabs>
        <w:ind w:left="1715" w:hanging="360"/>
      </w:pPr>
    </w:lvl>
    <w:lvl w:ilvl="2" w:tplc="040C001B" w:tentative="1">
      <w:start w:val="1"/>
      <w:numFmt w:val="lowerRoman"/>
      <w:lvlText w:val="%3."/>
      <w:lvlJc w:val="right"/>
      <w:pPr>
        <w:tabs>
          <w:tab w:val="num" w:pos="2435"/>
        </w:tabs>
        <w:ind w:left="2435" w:hanging="180"/>
      </w:pPr>
    </w:lvl>
    <w:lvl w:ilvl="3" w:tplc="040C000F" w:tentative="1">
      <w:start w:val="1"/>
      <w:numFmt w:val="decimal"/>
      <w:lvlText w:val="%4."/>
      <w:lvlJc w:val="left"/>
      <w:pPr>
        <w:tabs>
          <w:tab w:val="num" w:pos="3155"/>
        </w:tabs>
        <w:ind w:left="3155" w:hanging="360"/>
      </w:pPr>
    </w:lvl>
    <w:lvl w:ilvl="4" w:tplc="040C0019" w:tentative="1">
      <w:start w:val="1"/>
      <w:numFmt w:val="lowerLetter"/>
      <w:lvlText w:val="%5."/>
      <w:lvlJc w:val="left"/>
      <w:pPr>
        <w:tabs>
          <w:tab w:val="num" w:pos="3875"/>
        </w:tabs>
        <w:ind w:left="3875" w:hanging="360"/>
      </w:pPr>
    </w:lvl>
    <w:lvl w:ilvl="5" w:tplc="040C001B" w:tentative="1">
      <w:start w:val="1"/>
      <w:numFmt w:val="lowerRoman"/>
      <w:lvlText w:val="%6."/>
      <w:lvlJc w:val="right"/>
      <w:pPr>
        <w:tabs>
          <w:tab w:val="num" w:pos="4595"/>
        </w:tabs>
        <w:ind w:left="4595" w:hanging="180"/>
      </w:pPr>
    </w:lvl>
    <w:lvl w:ilvl="6" w:tplc="040C000F" w:tentative="1">
      <w:start w:val="1"/>
      <w:numFmt w:val="decimal"/>
      <w:lvlText w:val="%7."/>
      <w:lvlJc w:val="left"/>
      <w:pPr>
        <w:tabs>
          <w:tab w:val="num" w:pos="5315"/>
        </w:tabs>
        <w:ind w:left="5315" w:hanging="360"/>
      </w:pPr>
    </w:lvl>
    <w:lvl w:ilvl="7" w:tplc="040C0019" w:tentative="1">
      <w:start w:val="1"/>
      <w:numFmt w:val="lowerLetter"/>
      <w:lvlText w:val="%8."/>
      <w:lvlJc w:val="left"/>
      <w:pPr>
        <w:tabs>
          <w:tab w:val="num" w:pos="6035"/>
        </w:tabs>
        <w:ind w:left="6035" w:hanging="360"/>
      </w:pPr>
    </w:lvl>
    <w:lvl w:ilvl="8" w:tplc="040C001B" w:tentative="1">
      <w:start w:val="1"/>
      <w:numFmt w:val="lowerRoman"/>
      <w:lvlText w:val="%9."/>
      <w:lvlJc w:val="right"/>
      <w:pPr>
        <w:tabs>
          <w:tab w:val="num" w:pos="6755"/>
        </w:tabs>
        <w:ind w:left="6755" w:hanging="180"/>
      </w:pPr>
    </w:lvl>
  </w:abstractNum>
  <w:abstractNum w:abstractNumId="35">
    <w:nsid w:val="72C41181"/>
    <w:multiLevelType w:val="hybridMultilevel"/>
    <w:tmpl w:val="44A85FBC"/>
    <w:lvl w:ilvl="0" w:tplc="49F00990">
      <w:start w:val="1"/>
      <w:numFmt w:val="lowerRoman"/>
      <w:lvlText w:val="%1."/>
      <w:lvlJc w:val="left"/>
      <w:pPr>
        <w:tabs>
          <w:tab w:val="num" w:pos="1424"/>
        </w:tabs>
        <w:ind w:left="1424" w:hanging="720"/>
      </w:pPr>
      <w:rPr>
        <w:rFonts w:hint="default"/>
      </w:rPr>
    </w:lvl>
    <w:lvl w:ilvl="1" w:tplc="040C0019" w:tentative="1">
      <w:start w:val="1"/>
      <w:numFmt w:val="lowerLetter"/>
      <w:lvlText w:val="%2."/>
      <w:lvlJc w:val="left"/>
      <w:pPr>
        <w:tabs>
          <w:tab w:val="num" w:pos="1784"/>
        </w:tabs>
        <w:ind w:left="1784" w:hanging="360"/>
      </w:pPr>
    </w:lvl>
    <w:lvl w:ilvl="2" w:tplc="040C001B" w:tentative="1">
      <w:start w:val="1"/>
      <w:numFmt w:val="lowerRoman"/>
      <w:lvlText w:val="%3."/>
      <w:lvlJc w:val="right"/>
      <w:pPr>
        <w:tabs>
          <w:tab w:val="num" w:pos="2504"/>
        </w:tabs>
        <w:ind w:left="2504" w:hanging="180"/>
      </w:pPr>
    </w:lvl>
    <w:lvl w:ilvl="3" w:tplc="040C000F" w:tentative="1">
      <w:start w:val="1"/>
      <w:numFmt w:val="decimal"/>
      <w:lvlText w:val="%4."/>
      <w:lvlJc w:val="left"/>
      <w:pPr>
        <w:tabs>
          <w:tab w:val="num" w:pos="3224"/>
        </w:tabs>
        <w:ind w:left="3224" w:hanging="360"/>
      </w:pPr>
    </w:lvl>
    <w:lvl w:ilvl="4" w:tplc="040C0019" w:tentative="1">
      <w:start w:val="1"/>
      <w:numFmt w:val="lowerLetter"/>
      <w:lvlText w:val="%5."/>
      <w:lvlJc w:val="left"/>
      <w:pPr>
        <w:tabs>
          <w:tab w:val="num" w:pos="3944"/>
        </w:tabs>
        <w:ind w:left="3944" w:hanging="360"/>
      </w:pPr>
    </w:lvl>
    <w:lvl w:ilvl="5" w:tplc="040C001B" w:tentative="1">
      <w:start w:val="1"/>
      <w:numFmt w:val="lowerRoman"/>
      <w:lvlText w:val="%6."/>
      <w:lvlJc w:val="right"/>
      <w:pPr>
        <w:tabs>
          <w:tab w:val="num" w:pos="4664"/>
        </w:tabs>
        <w:ind w:left="4664" w:hanging="180"/>
      </w:pPr>
    </w:lvl>
    <w:lvl w:ilvl="6" w:tplc="040C000F" w:tentative="1">
      <w:start w:val="1"/>
      <w:numFmt w:val="decimal"/>
      <w:lvlText w:val="%7."/>
      <w:lvlJc w:val="left"/>
      <w:pPr>
        <w:tabs>
          <w:tab w:val="num" w:pos="5384"/>
        </w:tabs>
        <w:ind w:left="5384" w:hanging="360"/>
      </w:pPr>
    </w:lvl>
    <w:lvl w:ilvl="7" w:tplc="040C0019" w:tentative="1">
      <w:start w:val="1"/>
      <w:numFmt w:val="lowerLetter"/>
      <w:lvlText w:val="%8."/>
      <w:lvlJc w:val="left"/>
      <w:pPr>
        <w:tabs>
          <w:tab w:val="num" w:pos="6104"/>
        </w:tabs>
        <w:ind w:left="6104" w:hanging="360"/>
      </w:pPr>
    </w:lvl>
    <w:lvl w:ilvl="8" w:tplc="040C001B" w:tentative="1">
      <w:start w:val="1"/>
      <w:numFmt w:val="lowerRoman"/>
      <w:lvlText w:val="%9."/>
      <w:lvlJc w:val="right"/>
      <w:pPr>
        <w:tabs>
          <w:tab w:val="num" w:pos="6824"/>
        </w:tabs>
        <w:ind w:left="6824" w:hanging="180"/>
      </w:pPr>
    </w:lvl>
  </w:abstractNum>
  <w:abstractNum w:abstractNumId="36">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7">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8">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9">
    <w:nsid w:val="799404BF"/>
    <w:multiLevelType w:val="hybridMultilevel"/>
    <w:tmpl w:val="F0FC7BBE"/>
    <w:lvl w:ilvl="0" w:tplc="271478BA">
      <w:start w:val="1"/>
      <w:numFmt w:val="upperLetter"/>
      <w:lvlText w:val="%1."/>
      <w:lvlJc w:val="left"/>
      <w:pPr>
        <w:tabs>
          <w:tab w:val="num" w:pos="592"/>
        </w:tabs>
        <w:ind w:left="592" w:hanging="360"/>
      </w:pPr>
      <w:rPr>
        <w:rFonts w:hint="default"/>
      </w:rPr>
    </w:lvl>
    <w:lvl w:ilvl="1" w:tplc="040C0019" w:tentative="1">
      <w:start w:val="1"/>
      <w:numFmt w:val="lowerLetter"/>
      <w:lvlText w:val="%2."/>
      <w:lvlJc w:val="left"/>
      <w:pPr>
        <w:tabs>
          <w:tab w:val="num" w:pos="1312"/>
        </w:tabs>
        <w:ind w:left="1312" w:hanging="360"/>
      </w:pPr>
    </w:lvl>
    <w:lvl w:ilvl="2" w:tplc="040C001B" w:tentative="1">
      <w:start w:val="1"/>
      <w:numFmt w:val="lowerRoman"/>
      <w:lvlText w:val="%3."/>
      <w:lvlJc w:val="right"/>
      <w:pPr>
        <w:tabs>
          <w:tab w:val="num" w:pos="2032"/>
        </w:tabs>
        <w:ind w:left="2032" w:hanging="180"/>
      </w:pPr>
    </w:lvl>
    <w:lvl w:ilvl="3" w:tplc="040C000F" w:tentative="1">
      <w:start w:val="1"/>
      <w:numFmt w:val="decimal"/>
      <w:lvlText w:val="%4."/>
      <w:lvlJc w:val="left"/>
      <w:pPr>
        <w:tabs>
          <w:tab w:val="num" w:pos="2752"/>
        </w:tabs>
        <w:ind w:left="2752" w:hanging="360"/>
      </w:pPr>
    </w:lvl>
    <w:lvl w:ilvl="4" w:tplc="040C0019" w:tentative="1">
      <w:start w:val="1"/>
      <w:numFmt w:val="lowerLetter"/>
      <w:lvlText w:val="%5."/>
      <w:lvlJc w:val="left"/>
      <w:pPr>
        <w:tabs>
          <w:tab w:val="num" w:pos="3472"/>
        </w:tabs>
        <w:ind w:left="3472" w:hanging="360"/>
      </w:pPr>
    </w:lvl>
    <w:lvl w:ilvl="5" w:tplc="040C001B" w:tentative="1">
      <w:start w:val="1"/>
      <w:numFmt w:val="lowerRoman"/>
      <w:lvlText w:val="%6."/>
      <w:lvlJc w:val="right"/>
      <w:pPr>
        <w:tabs>
          <w:tab w:val="num" w:pos="4192"/>
        </w:tabs>
        <w:ind w:left="4192" w:hanging="180"/>
      </w:pPr>
    </w:lvl>
    <w:lvl w:ilvl="6" w:tplc="040C000F" w:tentative="1">
      <w:start w:val="1"/>
      <w:numFmt w:val="decimal"/>
      <w:lvlText w:val="%7."/>
      <w:lvlJc w:val="left"/>
      <w:pPr>
        <w:tabs>
          <w:tab w:val="num" w:pos="4912"/>
        </w:tabs>
        <w:ind w:left="4912" w:hanging="360"/>
      </w:pPr>
    </w:lvl>
    <w:lvl w:ilvl="7" w:tplc="040C0019" w:tentative="1">
      <w:start w:val="1"/>
      <w:numFmt w:val="lowerLetter"/>
      <w:lvlText w:val="%8."/>
      <w:lvlJc w:val="left"/>
      <w:pPr>
        <w:tabs>
          <w:tab w:val="num" w:pos="5632"/>
        </w:tabs>
        <w:ind w:left="5632" w:hanging="360"/>
      </w:pPr>
    </w:lvl>
    <w:lvl w:ilvl="8" w:tplc="040C001B" w:tentative="1">
      <w:start w:val="1"/>
      <w:numFmt w:val="lowerRoman"/>
      <w:lvlText w:val="%9."/>
      <w:lvlJc w:val="right"/>
      <w:pPr>
        <w:tabs>
          <w:tab w:val="num" w:pos="6352"/>
        </w:tabs>
        <w:ind w:left="6352" w:hanging="180"/>
      </w:pPr>
    </w:lvl>
  </w:abstractNum>
  <w:abstractNum w:abstractNumId="40">
    <w:nsid w:val="79DD615B"/>
    <w:multiLevelType w:val="hybridMultilevel"/>
    <w:tmpl w:val="A7747BA0"/>
    <w:lvl w:ilvl="0" w:tplc="851016D0">
      <w:start w:val="4"/>
      <w:numFmt w:val="decimal"/>
      <w:lvlText w:val="%1."/>
      <w:lvlJc w:val="left"/>
      <w:pPr>
        <w:tabs>
          <w:tab w:val="num" w:pos="791"/>
        </w:tabs>
        <w:ind w:left="791" w:hanging="360"/>
      </w:pPr>
      <w:rPr>
        <w:rFonts w:hint="default"/>
      </w:rPr>
    </w:lvl>
    <w:lvl w:ilvl="1" w:tplc="040C0019" w:tentative="1">
      <w:start w:val="1"/>
      <w:numFmt w:val="lowerLetter"/>
      <w:lvlText w:val="%2."/>
      <w:lvlJc w:val="left"/>
      <w:pPr>
        <w:tabs>
          <w:tab w:val="num" w:pos="1511"/>
        </w:tabs>
        <w:ind w:left="1511" w:hanging="360"/>
      </w:pPr>
    </w:lvl>
    <w:lvl w:ilvl="2" w:tplc="040C001B" w:tentative="1">
      <w:start w:val="1"/>
      <w:numFmt w:val="lowerRoman"/>
      <w:lvlText w:val="%3."/>
      <w:lvlJc w:val="right"/>
      <w:pPr>
        <w:tabs>
          <w:tab w:val="num" w:pos="2231"/>
        </w:tabs>
        <w:ind w:left="2231" w:hanging="180"/>
      </w:pPr>
    </w:lvl>
    <w:lvl w:ilvl="3" w:tplc="040C000F" w:tentative="1">
      <w:start w:val="1"/>
      <w:numFmt w:val="decimal"/>
      <w:lvlText w:val="%4."/>
      <w:lvlJc w:val="left"/>
      <w:pPr>
        <w:tabs>
          <w:tab w:val="num" w:pos="2951"/>
        </w:tabs>
        <w:ind w:left="2951" w:hanging="360"/>
      </w:pPr>
    </w:lvl>
    <w:lvl w:ilvl="4" w:tplc="040C0019" w:tentative="1">
      <w:start w:val="1"/>
      <w:numFmt w:val="lowerLetter"/>
      <w:lvlText w:val="%5."/>
      <w:lvlJc w:val="left"/>
      <w:pPr>
        <w:tabs>
          <w:tab w:val="num" w:pos="3671"/>
        </w:tabs>
        <w:ind w:left="3671" w:hanging="360"/>
      </w:pPr>
    </w:lvl>
    <w:lvl w:ilvl="5" w:tplc="040C001B" w:tentative="1">
      <w:start w:val="1"/>
      <w:numFmt w:val="lowerRoman"/>
      <w:lvlText w:val="%6."/>
      <w:lvlJc w:val="right"/>
      <w:pPr>
        <w:tabs>
          <w:tab w:val="num" w:pos="4391"/>
        </w:tabs>
        <w:ind w:left="4391" w:hanging="180"/>
      </w:pPr>
    </w:lvl>
    <w:lvl w:ilvl="6" w:tplc="040C000F" w:tentative="1">
      <w:start w:val="1"/>
      <w:numFmt w:val="decimal"/>
      <w:lvlText w:val="%7."/>
      <w:lvlJc w:val="left"/>
      <w:pPr>
        <w:tabs>
          <w:tab w:val="num" w:pos="5111"/>
        </w:tabs>
        <w:ind w:left="5111" w:hanging="360"/>
      </w:pPr>
    </w:lvl>
    <w:lvl w:ilvl="7" w:tplc="040C0019" w:tentative="1">
      <w:start w:val="1"/>
      <w:numFmt w:val="lowerLetter"/>
      <w:lvlText w:val="%8."/>
      <w:lvlJc w:val="left"/>
      <w:pPr>
        <w:tabs>
          <w:tab w:val="num" w:pos="5831"/>
        </w:tabs>
        <w:ind w:left="5831" w:hanging="360"/>
      </w:pPr>
    </w:lvl>
    <w:lvl w:ilvl="8" w:tplc="040C001B" w:tentative="1">
      <w:start w:val="1"/>
      <w:numFmt w:val="lowerRoman"/>
      <w:lvlText w:val="%9."/>
      <w:lvlJc w:val="right"/>
      <w:pPr>
        <w:tabs>
          <w:tab w:val="num" w:pos="6551"/>
        </w:tabs>
        <w:ind w:left="6551" w:hanging="180"/>
      </w:pPr>
    </w:lvl>
  </w:abstractNum>
  <w:abstractNum w:abstractNumId="41">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2">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3">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11"/>
  </w:num>
  <w:num w:numId="2">
    <w:abstractNumId w:val="33"/>
  </w:num>
  <w:num w:numId="3">
    <w:abstractNumId w:val="15"/>
  </w:num>
  <w:num w:numId="4">
    <w:abstractNumId w:val="30"/>
  </w:num>
  <w:num w:numId="5">
    <w:abstractNumId w:val="43"/>
  </w:num>
  <w:num w:numId="6">
    <w:abstractNumId w:val="5"/>
  </w:num>
  <w:num w:numId="7">
    <w:abstractNumId w:val="38"/>
  </w:num>
  <w:num w:numId="8">
    <w:abstractNumId w:val="4"/>
  </w:num>
  <w:num w:numId="9">
    <w:abstractNumId w:val="2"/>
  </w:num>
  <w:num w:numId="10">
    <w:abstractNumId w:val="1"/>
  </w:num>
  <w:num w:numId="11">
    <w:abstractNumId w:val="0"/>
  </w:num>
  <w:num w:numId="12">
    <w:abstractNumId w:val="3"/>
  </w:num>
  <w:num w:numId="13">
    <w:abstractNumId w:val="13"/>
  </w:num>
  <w:num w:numId="14">
    <w:abstractNumId w:val="27"/>
  </w:num>
  <w:num w:numId="15">
    <w:abstractNumId w:val="36"/>
  </w:num>
  <w:num w:numId="16">
    <w:abstractNumId w:val="16"/>
  </w:num>
  <w:num w:numId="17">
    <w:abstractNumId w:val="28"/>
  </w:num>
  <w:num w:numId="18">
    <w:abstractNumId w:val="41"/>
  </w:num>
  <w:num w:numId="19">
    <w:abstractNumId w:val="37"/>
  </w:num>
  <w:num w:numId="20">
    <w:abstractNumId w:val="14"/>
  </w:num>
  <w:num w:numId="21">
    <w:abstractNumId w:val="31"/>
  </w:num>
  <w:num w:numId="22">
    <w:abstractNumId w:val="20"/>
  </w:num>
  <w:num w:numId="23">
    <w:abstractNumId w:val="25"/>
  </w:num>
  <w:num w:numId="24">
    <w:abstractNumId w:val="6"/>
  </w:num>
  <w:num w:numId="25">
    <w:abstractNumId w:val="8"/>
  </w:num>
  <w:num w:numId="26">
    <w:abstractNumId w:val="42"/>
  </w:num>
  <w:num w:numId="27">
    <w:abstractNumId w:val="19"/>
  </w:num>
  <w:num w:numId="28">
    <w:abstractNumId w:val="26"/>
  </w:num>
  <w:num w:numId="29">
    <w:abstractNumId w:val="21"/>
  </w:num>
  <w:num w:numId="30">
    <w:abstractNumId w:val="18"/>
  </w:num>
  <w:num w:numId="31">
    <w:abstractNumId w:val="7"/>
  </w:num>
  <w:num w:numId="32">
    <w:abstractNumId w:val="24"/>
  </w:num>
  <w:num w:numId="33">
    <w:abstractNumId w:val="17"/>
  </w:num>
  <w:num w:numId="34">
    <w:abstractNumId w:val="10"/>
  </w:num>
  <w:num w:numId="35">
    <w:abstractNumId w:val="39"/>
  </w:num>
  <w:num w:numId="36">
    <w:abstractNumId w:val="29"/>
  </w:num>
  <w:num w:numId="37">
    <w:abstractNumId w:val="9"/>
  </w:num>
  <w:num w:numId="38">
    <w:abstractNumId w:val="40"/>
  </w:num>
  <w:num w:numId="39">
    <w:abstractNumId w:val="22"/>
  </w:num>
  <w:num w:numId="40">
    <w:abstractNumId w:val="34"/>
  </w:num>
  <w:num w:numId="41">
    <w:abstractNumId w:val="35"/>
  </w:num>
  <w:num w:numId="42">
    <w:abstractNumId w:val="12"/>
  </w:num>
  <w:num w:numId="43">
    <w:abstractNumId w:val="32"/>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3F8B"/>
    <w:rsid w:val="000012DA"/>
    <w:rsid w:val="0000618D"/>
    <w:rsid w:val="0001331E"/>
    <w:rsid w:val="00037EA2"/>
    <w:rsid w:val="0007632C"/>
    <w:rsid w:val="0008493D"/>
    <w:rsid w:val="00085109"/>
    <w:rsid w:val="00091A2B"/>
    <w:rsid w:val="000C30F3"/>
    <w:rsid w:val="000C5228"/>
    <w:rsid w:val="000C537C"/>
    <w:rsid w:val="000E3C68"/>
    <w:rsid w:val="000E489F"/>
    <w:rsid w:val="000F5861"/>
    <w:rsid w:val="001057DD"/>
    <w:rsid w:val="001059C2"/>
    <w:rsid w:val="0010750A"/>
    <w:rsid w:val="00121B25"/>
    <w:rsid w:val="00124DE8"/>
    <w:rsid w:val="00136071"/>
    <w:rsid w:val="00157C7F"/>
    <w:rsid w:val="00172B10"/>
    <w:rsid w:val="001952BC"/>
    <w:rsid w:val="001A332F"/>
    <w:rsid w:val="001A3A3D"/>
    <w:rsid w:val="001E0A11"/>
    <w:rsid w:val="001E13EA"/>
    <w:rsid w:val="001E44AA"/>
    <w:rsid w:val="002016D2"/>
    <w:rsid w:val="00204CB7"/>
    <w:rsid w:val="002167CD"/>
    <w:rsid w:val="00222571"/>
    <w:rsid w:val="00223EF5"/>
    <w:rsid w:val="0026094E"/>
    <w:rsid w:val="00264351"/>
    <w:rsid w:val="00267BF8"/>
    <w:rsid w:val="0027239F"/>
    <w:rsid w:val="00283F8B"/>
    <w:rsid w:val="002878F6"/>
    <w:rsid w:val="002A7BAA"/>
    <w:rsid w:val="002B45C6"/>
    <w:rsid w:val="002B78DA"/>
    <w:rsid w:val="002C116A"/>
    <w:rsid w:val="002C1DE0"/>
    <w:rsid w:val="002C605E"/>
    <w:rsid w:val="002D5258"/>
    <w:rsid w:val="002E5B4F"/>
    <w:rsid w:val="002E6488"/>
    <w:rsid w:val="002F2B62"/>
    <w:rsid w:val="00310A22"/>
    <w:rsid w:val="00315820"/>
    <w:rsid w:val="0032554A"/>
    <w:rsid w:val="00327DED"/>
    <w:rsid w:val="00333F3E"/>
    <w:rsid w:val="003536AC"/>
    <w:rsid w:val="00374CB6"/>
    <w:rsid w:val="00382F85"/>
    <w:rsid w:val="0039117A"/>
    <w:rsid w:val="00393A86"/>
    <w:rsid w:val="003A18B7"/>
    <w:rsid w:val="003A386A"/>
    <w:rsid w:val="003D3B82"/>
    <w:rsid w:val="003D48BF"/>
    <w:rsid w:val="003E5B66"/>
    <w:rsid w:val="00412737"/>
    <w:rsid w:val="00422543"/>
    <w:rsid w:val="00436F3F"/>
    <w:rsid w:val="00437744"/>
    <w:rsid w:val="00446BA8"/>
    <w:rsid w:val="00471D30"/>
    <w:rsid w:val="00480631"/>
    <w:rsid w:val="004821A8"/>
    <w:rsid w:val="00496B01"/>
    <w:rsid w:val="004A6D26"/>
    <w:rsid w:val="004B54D0"/>
    <w:rsid w:val="004B63A7"/>
    <w:rsid w:val="004D380C"/>
    <w:rsid w:val="004F1FB8"/>
    <w:rsid w:val="00520A26"/>
    <w:rsid w:val="005308FF"/>
    <w:rsid w:val="0053470A"/>
    <w:rsid w:val="00540AF1"/>
    <w:rsid w:val="00553DBB"/>
    <w:rsid w:val="00560154"/>
    <w:rsid w:val="00567A69"/>
    <w:rsid w:val="005803E1"/>
    <w:rsid w:val="005814EC"/>
    <w:rsid w:val="005820BB"/>
    <w:rsid w:val="005831FC"/>
    <w:rsid w:val="005856F4"/>
    <w:rsid w:val="00587536"/>
    <w:rsid w:val="005877BE"/>
    <w:rsid w:val="00595AC4"/>
    <w:rsid w:val="005A0F55"/>
    <w:rsid w:val="005B3C44"/>
    <w:rsid w:val="005D2887"/>
    <w:rsid w:val="005E0F74"/>
    <w:rsid w:val="0060220C"/>
    <w:rsid w:val="00617057"/>
    <w:rsid w:val="00617345"/>
    <w:rsid w:val="0062559E"/>
    <w:rsid w:val="006542DE"/>
    <w:rsid w:val="00666582"/>
    <w:rsid w:val="00680841"/>
    <w:rsid w:val="00682202"/>
    <w:rsid w:val="006B4FE9"/>
    <w:rsid w:val="006D3397"/>
    <w:rsid w:val="006E5350"/>
    <w:rsid w:val="006F0E98"/>
    <w:rsid w:val="006F1D54"/>
    <w:rsid w:val="006F27B3"/>
    <w:rsid w:val="006F4414"/>
    <w:rsid w:val="0070435C"/>
    <w:rsid w:val="0070452E"/>
    <w:rsid w:val="00710EA4"/>
    <w:rsid w:val="00716079"/>
    <w:rsid w:val="00721F95"/>
    <w:rsid w:val="0072703B"/>
    <w:rsid w:val="00736420"/>
    <w:rsid w:val="00757517"/>
    <w:rsid w:val="007663F7"/>
    <w:rsid w:val="00766930"/>
    <w:rsid w:val="007815D2"/>
    <w:rsid w:val="0078692E"/>
    <w:rsid w:val="0079234C"/>
    <w:rsid w:val="0079559F"/>
    <w:rsid w:val="007A43C8"/>
    <w:rsid w:val="007B071C"/>
    <w:rsid w:val="007C4610"/>
    <w:rsid w:val="007D2983"/>
    <w:rsid w:val="007D3D2D"/>
    <w:rsid w:val="007D41C8"/>
    <w:rsid w:val="007E10F3"/>
    <w:rsid w:val="007E77F4"/>
    <w:rsid w:val="007F14DA"/>
    <w:rsid w:val="007F1D28"/>
    <w:rsid w:val="007F409C"/>
    <w:rsid w:val="007F455D"/>
    <w:rsid w:val="00804042"/>
    <w:rsid w:val="00823BFA"/>
    <w:rsid w:val="00845F2F"/>
    <w:rsid w:val="00867608"/>
    <w:rsid w:val="00870608"/>
    <w:rsid w:val="008B0AA7"/>
    <w:rsid w:val="008B46C1"/>
    <w:rsid w:val="008C48D1"/>
    <w:rsid w:val="008C6CE3"/>
    <w:rsid w:val="008D6212"/>
    <w:rsid w:val="008E36F2"/>
    <w:rsid w:val="008F51E8"/>
    <w:rsid w:val="008F5EFF"/>
    <w:rsid w:val="0093227F"/>
    <w:rsid w:val="009607CB"/>
    <w:rsid w:val="00974FC3"/>
    <w:rsid w:val="00986C30"/>
    <w:rsid w:val="009A0233"/>
    <w:rsid w:val="009B6977"/>
    <w:rsid w:val="009C75D4"/>
    <w:rsid w:val="009E62FF"/>
    <w:rsid w:val="009F1BDE"/>
    <w:rsid w:val="00A16917"/>
    <w:rsid w:val="00A20093"/>
    <w:rsid w:val="00A25A26"/>
    <w:rsid w:val="00A27D16"/>
    <w:rsid w:val="00A30FF2"/>
    <w:rsid w:val="00A31EB8"/>
    <w:rsid w:val="00A33957"/>
    <w:rsid w:val="00A4260B"/>
    <w:rsid w:val="00A42C02"/>
    <w:rsid w:val="00A7291E"/>
    <w:rsid w:val="00A73560"/>
    <w:rsid w:val="00A76F5E"/>
    <w:rsid w:val="00A779D6"/>
    <w:rsid w:val="00A817DC"/>
    <w:rsid w:val="00A85CDA"/>
    <w:rsid w:val="00A90421"/>
    <w:rsid w:val="00A94C91"/>
    <w:rsid w:val="00AB193C"/>
    <w:rsid w:val="00AC1673"/>
    <w:rsid w:val="00AE137E"/>
    <w:rsid w:val="00AF139E"/>
    <w:rsid w:val="00B04AFE"/>
    <w:rsid w:val="00B16E95"/>
    <w:rsid w:val="00B17EC7"/>
    <w:rsid w:val="00B51783"/>
    <w:rsid w:val="00B66328"/>
    <w:rsid w:val="00B71C55"/>
    <w:rsid w:val="00B816C3"/>
    <w:rsid w:val="00B94EAF"/>
    <w:rsid w:val="00B97214"/>
    <w:rsid w:val="00BA30DB"/>
    <w:rsid w:val="00BA52E1"/>
    <w:rsid w:val="00BA63BC"/>
    <w:rsid w:val="00BB0280"/>
    <w:rsid w:val="00BB43E5"/>
    <w:rsid w:val="00BB4E56"/>
    <w:rsid w:val="00BC799B"/>
    <w:rsid w:val="00BF31EE"/>
    <w:rsid w:val="00C01177"/>
    <w:rsid w:val="00C01D3E"/>
    <w:rsid w:val="00C10EDE"/>
    <w:rsid w:val="00C51932"/>
    <w:rsid w:val="00C649B5"/>
    <w:rsid w:val="00C653F5"/>
    <w:rsid w:val="00C74018"/>
    <w:rsid w:val="00C96A0A"/>
    <w:rsid w:val="00CC7FC8"/>
    <w:rsid w:val="00CD49A7"/>
    <w:rsid w:val="00CE293A"/>
    <w:rsid w:val="00CE419C"/>
    <w:rsid w:val="00CE5123"/>
    <w:rsid w:val="00D02611"/>
    <w:rsid w:val="00D22646"/>
    <w:rsid w:val="00D246A2"/>
    <w:rsid w:val="00D24C39"/>
    <w:rsid w:val="00D26B46"/>
    <w:rsid w:val="00D35E1B"/>
    <w:rsid w:val="00D64793"/>
    <w:rsid w:val="00D751F4"/>
    <w:rsid w:val="00D90F55"/>
    <w:rsid w:val="00DC20FF"/>
    <w:rsid w:val="00DD47C5"/>
    <w:rsid w:val="00DE5D14"/>
    <w:rsid w:val="00E1745D"/>
    <w:rsid w:val="00E20119"/>
    <w:rsid w:val="00E2393B"/>
    <w:rsid w:val="00E34F71"/>
    <w:rsid w:val="00E6048A"/>
    <w:rsid w:val="00E650E8"/>
    <w:rsid w:val="00E71EDB"/>
    <w:rsid w:val="00E728AA"/>
    <w:rsid w:val="00E7504E"/>
    <w:rsid w:val="00E75176"/>
    <w:rsid w:val="00E9311D"/>
    <w:rsid w:val="00E95550"/>
    <w:rsid w:val="00EB70CB"/>
    <w:rsid w:val="00EE5B03"/>
    <w:rsid w:val="00F02369"/>
    <w:rsid w:val="00F12EB7"/>
    <w:rsid w:val="00F42695"/>
    <w:rsid w:val="00F43833"/>
    <w:rsid w:val="00F843B7"/>
    <w:rsid w:val="00F84BBF"/>
    <w:rsid w:val="00F87F77"/>
    <w:rsid w:val="00F90256"/>
    <w:rsid w:val="00F92A55"/>
    <w:rsid w:val="00FA262D"/>
    <w:rsid w:val="00FA439A"/>
    <w:rsid w:val="00FA6A81"/>
    <w:rsid w:val="00FB4A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date"/>
  <w:smartTagType w:namespaceuri="urn:schemas-microsoft-com:office:smarttags" w:name="country-region"/>
  <w:smartTagType w:namespaceuri="urn:schemas-microsoft-com:office:smarttags" w:name="place"/>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983"/>
    <w:pPr>
      <w:suppressAutoHyphens/>
    </w:pPr>
    <w:rPr>
      <w:sz w:val="24"/>
      <w:lang w:val="en-GB" w:eastAsia="fr-FR"/>
    </w:rPr>
  </w:style>
  <w:style w:type="paragraph" w:styleId="Heading1">
    <w:name w:val="heading 1"/>
    <w:basedOn w:val="Normal"/>
    <w:next w:val="Normal"/>
    <w:qFormat/>
    <w:rsid w:val="007D2983"/>
    <w:pPr>
      <w:keepNext/>
      <w:spacing w:before="360" w:after="240"/>
      <w:jc w:val="center"/>
      <w:outlineLvl w:val="0"/>
    </w:pPr>
    <w:rPr>
      <w:b/>
      <w:sz w:val="28"/>
    </w:rPr>
  </w:style>
  <w:style w:type="paragraph" w:styleId="Heading2">
    <w:name w:val="heading 2"/>
    <w:basedOn w:val="Normal"/>
    <w:next w:val="Normal"/>
    <w:qFormat/>
    <w:rsid w:val="007D2983"/>
    <w:pPr>
      <w:keepNext/>
      <w:spacing w:before="240" w:after="120"/>
      <w:ind w:left="284" w:hanging="284"/>
      <w:outlineLvl w:val="1"/>
    </w:pPr>
    <w:rPr>
      <w:b/>
    </w:rPr>
  </w:style>
  <w:style w:type="paragraph" w:styleId="Heading3">
    <w:name w:val="heading 3"/>
    <w:basedOn w:val="Normal"/>
    <w:next w:val="Normal"/>
    <w:qFormat/>
    <w:rsid w:val="007D2983"/>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7D2983"/>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7D2983"/>
  </w:style>
  <w:style w:type="paragraph" w:customStyle="1" w:styleId="JuPara">
    <w:name w:val="Ju_Para"/>
    <w:basedOn w:val="Normal"/>
    <w:link w:val="JuParaChar1"/>
    <w:rsid w:val="007D2983"/>
    <w:pPr>
      <w:ind w:firstLine="284"/>
      <w:jc w:val="both"/>
    </w:pPr>
  </w:style>
  <w:style w:type="paragraph" w:customStyle="1" w:styleId="JuHIRoman">
    <w:name w:val="Ju_H_I_Roman"/>
    <w:basedOn w:val="JuHHead"/>
    <w:next w:val="JuPara"/>
    <w:link w:val="JuHIRomanChar"/>
    <w:rsid w:val="007D2983"/>
    <w:pPr>
      <w:tabs>
        <w:tab w:val="left" w:pos="357"/>
      </w:tabs>
      <w:spacing w:before="360"/>
      <w:ind w:left="357" w:hanging="357"/>
    </w:pPr>
    <w:rPr>
      <w:sz w:val="24"/>
    </w:rPr>
  </w:style>
  <w:style w:type="paragraph" w:customStyle="1" w:styleId="JuHHead">
    <w:name w:val="Ju_H_Head"/>
    <w:basedOn w:val="Normal"/>
    <w:next w:val="JuPara"/>
    <w:link w:val="JuHHeadChar"/>
    <w:rsid w:val="007D2983"/>
    <w:pPr>
      <w:keepNext/>
      <w:keepLines/>
      <w:spacing w:before="720" w:after="240"/>
      <w:jc w:val="both"/>
    </w:pPr>
    <w:rPr>
      <w:sz w:val="28"/>
    </w:rPr>
  </w:style>
  <w:style w:type="paragraph" w:styleId="Footer">
    <w:name w:val="footer"/>
    <w:basedOn w:val="Normal"/>
    <w:rsid w:val="007D2983"/>
    <w:pPr>
      <w:tabs>
        <w:tab w:val="center" w:pos="3686"/>
        <w:tab w:val="right" w:pos="7371"/>
      </w:tabs>
    </w:pPr>
    <w:rPr>
      <w:sz w:val="18"/>
    </w:rPr>
  </w:style>
  <w:style w:type="paragraph" w:customStyle="1" w:styleId="JuJudges">
    <w:name w:val="Ju_Judges"/>
    <w:basedOn w:val="Normal"/>
    <w:rsid w:val="007D2983"/>
    <w:pPr>
      <w:tabs>
        <w:tab w:val="left" w:pos="567"/>
        <w:tab w:val="left" w:pos="1134"/>
      </w:tabs>
    </w:pPr>
  </w:style>
  <w:style w:type="character" w:customStyle="1" w:styleId="JuNames">
    <w:name w:val="Ju_Names"/>
    <w:basedOn w:val="DefaultParagraphFont"/>
    <w:rsid w:val="007D2983"/>
    <w:rPr>
      <w:smallCaps/>
    </w:rPr>
  </w:style>
  <w:style w:type="paragraph" w:customStyle="1" w:styleId="JuHA">
    <w:name w:val="Ju_H_A"/>
    <w:basedOn w:val="JuHIRoman"/>
    <w:next w:val="JuPara"/>
    <w:link w:val="JuHAChar"/>
    <w:rsid w:val="007D2983"/>
    <w:pPr>
      <w:tabs>
        <w:tab w:val="clear" w:pos="357"/>
        <w:tab w:val="left" w:pos="584"/>
      </w:tabs>
      <w:ind w:left="584" w:hanging="352"/>
    </w:pPr>
    <w:rPr>
      <w:b/>
    </w:rPr>
  </w:style>
  <w:style w:type="paragraph" w:customStyle="1" w:styleId="JuQuot">
    <w:name w:val="Ju_Quot"/>
    <w:basedOn w:val="JuPara"/>
    <w:link w:val="JuQuotChar1"/>
    <w:rsid w:val="007D2983"/>
    <w:pPr>
      <w:spacing w:before="120" w:after="120"/>
      <w:ind w:left="425" w:firstLine="142"/>
    </w:pPr>
    <w:rPr>
      <w:sz w:val="20"/>
    </w:rPr>
  </w:style>
  <w:style w:type="paragraph" w:customStyle="1" w:styleId="JuSigned">
    <w:name w:val="Ju_Signed"/>
    <w:basedOn w:val="Normal"/>
    <w:next w:val="JuParaLast"/>
    <w:rsid w:val="00267BF8"/>
    <w:pPr>
      <w:tabs>
        <w:tab w:val="center" w:pos="1219"/>
        <w:tab w:val="center" w:pos="6379"/>
      </w:tabs>
      <w:spacing w:before="720"/>
    </w:pPr>
  </w:style>
  <w:style w:type="paragraph" w:customStyle="1" w:styleId="JuParaLast">
    <w:name w:val="Ju_Para_Last"/>
    <w:basedOn w:val="JuPara"/>
    <w:next w:val="JuPara"/>
    <w:rsid w:val="007D2983"/>
    <w:pPr>
      <w:spacing w:before="240"/>
    </w:pPr>
  </w:style>
  <w:style w:type="paragraph" w:customStyle="1" w:styleId="JuCase">
    <w:name w:val="Ju_Case"/>
    <w:basedOn w:val="JuPara"/>
    <w:next w:val="JuPara"/>
    <w:rsid w:val="007D2983"/>
    <w:rPr>
      <w:b/>
    </w:rPr>
  </w:style>
  <w:style w:type="paragraph" w:customStyle="1" w:styleId="JuList">
    <w:name w:val="Ju_List"/>
    <w:basedOn w:val="JuPara"/>
    <w:rsid w:val="007D2983"/>
    <w:pPr>
      <w:ind w:left="340" w:hanging="340"/>
    </w:pPr>
  </w:style>
  <w:style w:type="paragraph" w:customStyle="1" w:styleId="JuHArticle">
    <w:name w:val="Ju_H_Article"/>
    <w:basedOn w:val="JuHa0"/>
    <w:next w:val="JuQuot"/>
    <w:rsid w:val="007D2983"/>
    <w:pPr>
      <w:ind w:left="0" w:firstLine="0"/>
      <w:jc w:val="center"/>
    </w:pPr>
  </w:style>
  <w:style w:type="paragraph" w:customStyle="1" w:styleId="JuHa0">
    <w:name w:val="Ju_H_a"/>
    <w:basedOn w:val="JuH1"/>
    <w:next w:val="JuPara"/>
    <w:link w:val="JuHaChar0"/>
    <w:rsid w:val="007D2983"/>
    <w:pPr>
      <w:tabs>
        <w:tab w:val="clear" w:pos="731"/>
        <w:tab w:val="left" w:pos="975"/>
      </w:tabs>
      <w:ind w:left="975" w:hanging="340"/>
    </w:pPr>
    <w:rPr>
      <w:b/>
      <w:i w:val="0"/>
      <w:sz w:val="20"/>
    </w:rPr>
  </w:style>
  <w:style w:type="paragraph" w:customStyle="1" w:styleId="JuH1">
    <w:name w:val="Ju_H_1."/>
    <w:basedOn w:val="JuHA"/>
    <w:next w:val="JuPara"/>
    <w:link w:val="JuH1Char1"/>
    <w:rsid w:val="007D2983"/>
    <w:pPr>
      <w:tabs>
        <w:tab w:val="clear" w:pos="584"/>
        <w:tab w:val="left" w:pos="731"/>
      </w:tabs>
      <w:spacing w:before="240" w:after="120"/>
      <w:ind w:left="732" w:hanging="301"/>
    </w:pPr>
    <w:rPr>
      <w:b w:val="0"/>
      <w:i/>
    </w:rPr>
  </w:style>
  <w:style w:type="paragraph" w:styleId="CommentSubject">
    <w:name w:val="annotation subject"/>
    <w:basedOn w:val="CommentText"/>
    <w:next w:val="CommentText"/>
    <w:semiHidden/>
    <w:rsid w:val="00F43833"/>
    <w:rPr>
      <w:b/>
      <w:bCs/>
    </w:rPr>
  </w:style>
  <w:style w:type="paragraph" w:styleId="CommentText">
    <w:name w:val="annotation text"/>
    <w:basedOn w:val="Normal"/>
    <w:semiHidden/>
    <w:rPr>
      <w:sz w:val="20"/>
    </w:rPr>
  </w:style>
  <w:style w:type="paragraph" w:customStyle="1" w:styleId="JuCourt">
    <w:name w:val="Ju_Court"/>
    <w:basedOn w:val="JuJudges"/>
    <w:rsid w:val="007D2983"/>
    <w:pPr>
      <w:tabs>
        <w:tab w:val="clear" w:pos="567"/>
        <w:tab w:val="clear" w:pos="1134"/>
        <w:tab w:val="left" w:pos="907"/>
        <w:tab w:val="left" w:pos="1701"/>
        <w:tab w:val="right" w:pos="7371"/>
      </w:tabs>
      <w:spacing w:before="240"/>
      <w:ind w:left="397" w:hanging="397"/>
    </w:pPr>
  </w:style>
  <w:style w:type="paragraph" w:styleId="FootnoteText">
    <w:name w:val="footnote text"/>
    <w:basedOn w:val="Normal"/>
    <w:semiHidden/>
    <w:rsid w:val="007D2983"/>
    <w:pPr>
      <w:jc w:val="both"/>
    </w:pPr>
    <w:rPr>
      <w:sz w:val="20"/>
    </w:rPr>
  </w:style>
  <w:style w:type="character" w:styleId="FootnoteReference">
    <w:name w:val="footnote reference"/>
    <w:basedOn w:val="DefaultParagraphFont"/>
    <w:semiHidden/>
    <w:rsid w:val="007D2983"/>
    <w:rPr>
      <w:vertAlign w:val="superscript"/>
    </w:rPr>
  </w:style>
  <w:style w:type="paragraph" w:customStyle="1" w:styleId="JuHi">
    <w:name w:val="Ju_H_i"/>
    <w:basedOn w:val="JuHa0"/>
    <w:next w:val="JuPara"/>
    <w:rsid w:val="007D2983"/>
    <w:pPr>
      <w:tabs>
        <w:tab w:val="clear" w:pos="975"/>
        <w:tab w:val="left" w:pos="1191"/>
      </w:tabs>
      <w:ind w:left="1190" w:hanging="357"/>
    </w:pPr>
    <w:rPr>
      <w:b w:val="0"/>
      <w:i/>
    </w:rPr>
  </w:style>
  <w:style w:type="paragraph" w:styleId="Header">
    <w:name w:val="header"/>
    <w:basedOn w:val="Normal"/>
    <w:rsid w:val="007D2983"/>
    <w:pPr>
      <w:tabs>
        <w:tab w:val="center" w:pos="3686"/>
        <w:tab w:val="right" w:pos="7371"/>
      </w:tabs>
    </w:pPr>
    <w:rPr>
      <w:sz w:val="18"/>
    </w:rPr>
  </w:style>
  <w:style w:type="character" w:styleId="PageNumber">
    <w:name w:val="page number"/>
    <w:basedOn w:val="DefaultParagraphFont"/>
    <w:rsid w:val="007D2983"/>
    <w:rPr>
      <w:sz w:val="18"/>
    </w:rPr>
  </w:style>
  <w:style w:type="paragraph" w:customStyle="1" w:styleId="JuH">
    <w:name w:val="Ju_H_–"/>
    <w:basedOn w:val="JuHalpha"/>
    <w:next w:val="JuPara"/>
    <w:rsid w:val="007D2983"/>
    <w:pPr>
      <w:tabs>
        <w:tab w:val="clear" w:pos="1372"/>
      </w:tabs>
      <w:ind w:left="1236" w:firstLine="0"/>
    </w:pPr>
    <w:rPr>
      <w:i/>
    </w:rPr>
  </w:style>
  <w:style w:type="paragraph" w:customStyle="1" w:styleId="JuHalpha">
    <w:name w:val="Ju_H_alpha"/>
    <w:basedOn w:val="JuHi"/>
    <w:next w:val="JuPara"/>
    <w:rsid w:val="007D2983"/>
    <w:pPr>
      <w:tabs>
        <w:tab w:val="clear" w:pos="1191"/>
        <w:tab w:val="left" w:pos="1372"/>
      </w:tabs>
      <w:ind w:left="1373" w:hanging="335"/>
    </w:pPr>
    <w:rPr>
      <w:i w:val="0"/>
    </w:rPr>
  </w:style>
  <w:style w:type="paragraph" w:customStyle="1" w:styleId="JuLista">
    <w:name w:val="Ju_List_a"/>
    <w:basedOn w:val="JuList"/>
    <w:rsid w:val="007D2983"/>
    <w:pPr>
      <w:ind w:left="346" w:firstLine="0"/>
    </w:pPr>
  </w:style>
  <w:style w:type="paragraph" w:customStyle="1" w:styleId="JuListi">
    <w:name w:val="Ju_List_i"/>
    <w:basedOn w:val="JuLista"/>
    <w:rsid w:val="007D2983"/>
    <w:pPr>
      <w:ind w:left="794"/>
    </w:pPr>
  </w:style>
  <w:style w:type="character" w:styleId="CommentReference">
    <w:name w:val="annotation reference"/>
    <w:basedOn w:val="DefaultParagraphFont"/>
    <w:semiHidden/>
    <w:rPr>
      <w:sz w:val="16"/>
    </w:rPr>
  </w:style>
  <w:style w:type="paragraph" w:customStyle="1" w:styleId="OpiHHead">
    <w:name w:val="Opi_H_Head"/>
    <w:basedOn w:val="JuHHead"/>
    <w:next w:val="OpiPara"/>
    <w:rsid w:val="007D2983"/>
    <w:pPr>
      <w:spacing w:before="0"/>
      <w:jc w:val="center"/>
    </w:pPr>
  </w:style>
  <w:style w:type="paragraph" w:customStyle="1" w:styleId="OpiPara">
    <w:name w:val="Opi_Para"/>
    <w:basedOn w:val="JuPara"/>
    <w:rsid w:val="007D2983"/>
  </w:style>
  <w:style w:type="paragraph" w:customStyle="1" w:styleId="OpiTranslation">
    <w:name w:val="Opi_Translation"/>
    <w:basedOn w:val="OpiHHead"/>
    <w:next w:val="OpiPara"/>
    <w:rsid w:val="007D2983"/>
    <w:rPr>
      <w:sz w:val="24"/>
    </w:rPr>
  </w:style>
  <w:style w:type="paragraph" w:customStyle="1" w:styleId="JuInitialled">
    <w:name w:val="Ju_Initialled"/>
    <w:basedOn w:val="JuSigned"/>
    <w:rsid w:val="007D2983"/>
    <w:pPr>
      <w:jc w:val="right"/>
    </w:pPr>
  </w:style>
  <w:style w:type="paragraph" w:customStyle="1" w:styleId="JuHeader">
    <w:name w:val="Ju_Header"/>
    <w:basedOn w:val="Header"/>
    <w:rsid w:val="007D2983"/>
  </w:style>
  <w:style w:type="paragraph" w:customStyle="1" w:styleId="DecHTitle">
    <w:name w:val="Dec_H_Title"/>
    <w:basedOn w:val="Normal"/>
    <w:rsid w:val="007D2983"/>
    <w:pPr>
      <w:spacing w:after="240"/>
      <w:jc w:val="center"/>
    </w:pPr>
    <w:rPr>
      <w:sz w:val="28"/>
    </w:rPr>
  </w:style>
  <w:style w:type="paragraph" w:customStyle="1" w:styleId="DecHCase">
    <w:name w:val="Dec_H_Case"/>
    <w:basedOn w:val="DecHTitle"/>
    <w:next w:val="JuPara"/>
    <w:rsid w:val="007D2983"/>
    <w:rPr>
      <w:sz w:val="24"/>
    </w:rPr>
  </w:style>
  <w:style w:type="paragraph" w:customStyle="1" w:styleId="DecList">
    <w:name w:val="Dec_List"/>
    <w:basedOn w:val="Normal"/>
    <w:rsid w:val="007D2983"/>
    <w:pPr>
      <w:spacing w:before="240"/>
      <w:ind w:left="284"/>
      <w:jc w:val="both"/>
    </w:pPr>
  </w:style>
  <w:style w:type="paragraph" w:customStyle="1" w:styleId="JuParaSub">
    <w:name w:val="Ju_Para_Sub"/>
    <w:basedOn w:val="JuPara"/>
    <w:rsid w:val="007D2983"/>
    <w:pPr>
      <w:ind w:left="284"/>
    </w:pPr>
    <w:rPr>
      <w:szCs w:val="24"/>
    </w:rPr>
  </w:style>
  <w:style w:type="paragraph" w:customStyle="1" w:styleId="JuQuotSub">
    <w:name w:val="Ju_Quot_Sub"/>
    <w:basedOn w:val="JuQuot"/>
    <w:rsid w:val="007D2983"/>
    <w:pPr>
      <w:ind w:left="567"/>
    </w:pPr>
  </w:style>
  <w:style w:type="paragraph" w:styleId="BalloonText">
    <w:name w:val="Balloon Text"/>
    <w:basedOn w:val="Normal"/>
    <w:semiHidden/>
    <w:rsid w:val="00283F8B"/>
    <w:rPr>
      <w:rFonts w:ascii="Tahoma" w:hAnsi="Tahoma" w:cs="Tahoma"/>
      <w:sz w:val="16"/>
      <w:szCs w:val="16"/>
    </w:rPr>
  </w:style>
  <w:style w:type="paragraph" w:customStyle="1" w:styleId="PJuPara">
    <w:name w:val="P_Ju_Para"/>
    <w:basedOn w:val="Normal"/>
    <w:rsid w:val="007D2983"/>
    <w:pPr>
      <w:ind w:firstLine="284"/>
      <w:jc w:val="both"/>
    </w:pPr>
  </w:style>
  <w:style w:type="paragraph" w:customStyle="1" w:styleId="PJuQuot">
    <w:name w:val="P_Ju_Quot"/>
    <w:basedOn w:val="Normal"/>
    <w:rsid w:val="007D2983"/>
    <w:pPr>
      <w:spacing w:before="120" w:after="120"/>
      <w:ind w:left="403" w:firstLine="176"/>
      <w:jc w:val="both"/>
    </w:pPr>
    <w:rPr>
      <w:sz w:val="20"/>
    </w:rPr>
  </w:style>
  <w:style w:type="paragraph" w:customStyle="1" w:styleId="OpiHA">
    <w:name w:val="Opi_H_A"/>
    <w:basedOn w:val="JuHIRoman"/>
    <w:next w:val="OpiPara"/>
    <w:rsid w:val="007D2983"/>
    <w:pPr>
      <w:tabs>
        <w:tab w:val="clear" w:pos="357"/>
      </w:tabs>
    </w:pPr>
    <w:rPr>
      <w:b/>
    </w:rPr>
  </w:style>
  <w:style w:type="paragraph" w:customStyle="1" w:styleId="OpiH1">
    <w:name w:val="Opi_H_1."/>
    <w:basedOn w:val="OpiHA"/>
    <w:next w:val="OpiPara"/>
    <w:rsid w:val="007D2983"/>
    <w:pPr>
      <w:spacing w:before="240" w:after="120"/>
      <w:ind w:left="635"/>
    </w:pPr>
    <w:rPr>
      <w:b w:val="0"/>
      <w:i/>
    </w:rPr>
  </w:style>
  <w:style w:type="paragraph" w:customStyle="1" w:styleId="OpiHa0">
    <w:name w:val="Opi_H_a"/>
    <w:basedOn w:val="OpiH1"/>
    <w:next w:val="OpiPara"/>
    <w:rsid w:val="007D2983"/>
    <w:pPr>
      <w:ind w:left="834"/>
    </w:pPr>
    <w:rPr>
      <w:b/>
      <w:i w:val="0"/>
      <w:sz w:val="20"/>
    </w:rPr>
  </w:style>
  <w:style w:type="paragraph" w:customStyle="1" w:styleId="OpiHi">
    <w:name w:val="Opi_H_i"/>
    <w:basedOn w:val="OpiHa0"/>
    <w:next w:val="OpiPara"/>
    <w:rsid w:val="007D2983"/>
    <w:pPr>
      <w:ind w:left="1038"/>
    </w:pPr>
    <w:rPr>
      <w:b w:val="0"/>
      <w:i/>
    </w:rPr>
  </w:style>
  <w:style w:type="paragraph" w:customStyle="1" w:styleId="PListArticleSubject">
    <w:name w:val="P_List_ArticleSubject"/>
    <w:basedOn w:val="Normal"/>
    <w:rsid w:val="007D2983"/>
    <w:pPr>
      <w:tabs>
        <w:tab w:val="left" w:pos="2977"/>
      </w:tabs>
      <w:ind w:left="2977" w:hanging="2977"/>
    </w:pPr>
  </w:style>
  <w:style w:type="paragraph" w:customStyle="1" w:styleId="OpiQuot">
    <w:name w:val="Opi_Quot"/>
    <w:basedOn w:val="JuQuot"/>
    <w:rsid w:val="007D2983"/>
  </w:style>
  <w:style w:type="paragraph" w:customStyle="1" w:styleId="SuCoverTitle1">
    <w:name w:val="Su_Cover_Title1"/>
    <w:basedOn w:val="Normal"/>
    <w:next w:val="SuCoverTitle2"/>
    <w:rsid w:val="007D2983"/>
    <w:pPr>
      <w:spacing w:before="2500"/>
      <w:jc w:val="center"/>
    </w:pPr>
    <w:rPr>
      <w:sz w:val="22"/>
    </w:rPr>
  </w:style>
  <w:style w:type="paragraph" w:customStyle="1" w:styleId="SuCoverTitle2">
    <w:name w:val="Su_Cover_Title2"/>
    <w:basedOn w:val="SuCoverTitle1"/>
    <w:next w:val="Normal"/>
    <w:rsid w:val="007D2983"/>
    <w:pPr>
      <w:spacing w:before="240"/>
    </w:pPr>
    <w:rPr>
      <w:sz w:val="18"/>
    </w:rPr>
  </w:style>
  <w:style w:type="paragraph" w:customStyle="1" w:styleId="SuPara">
    <w:name w:val="Su_Para"/>
    <w:basedOn w:val="SuKeywords"/>
    <w:rsid w:val="007D2983"/>
    <w:pPr>
      <w:spacing w:before="0" w:after="0"/>
    </w:pPr>
    <w:rPr>
      <w:i w:val="0"/>
    </w:rPr>
  </w:style>
  <w:style w:type="paragraph" w:customStyle="1" w:styleId="SuKeywords">
    <w:name w:val="Su_Keywords"/>
    <w:basedOn w:val="SuHHead"/>
    <w:rsid w:val="007D2983"/>
    <w:pPr>
      <w:spacing w:before="120"/>
    </w:pPr>
    <w:rPr>
      <w:b w:val="0"/>
      <w:i/>
    </w:rPr>
  </w:style>
  <w:style w:type="paragraph" w:customStyle="1" w:styleId="SuHHead">
    <w:name w:val="Su_H_Head"/>
    <w:basedOn w:val="SuSubject"/>
    <w:rsid w:val="007D2983"/>
    <w:pPr>
      <w:spacing w:after="120"/>
    </w:pPr>
  </w:style>
  <w:style w:type="paragraph" w:customStyle="1" w:styleId="SuSubject">
    <w:name w:val="Su_Subject"/>
    <w:basedOn w:val="SuSummary"/>
    <w:rsid w:val="007D2983"/>
    <w:pPr>
      <w:spacing w:before="360"/>
      <w:jc w:val="both"/>
    </w:pPr>
    <w:rPr>
      <w:b/>
      <w:sz w:val="22"/>
    </w:rPr>
  </w:style>
  <w:style w:type="paragraph" w:customStyle="1" w:styleId="SuSummary">
    <w:name w:val="Su_Summary"/>
    <w:basedOn w:val="Normal"/>
    <w:next w:val="SuSubject"/>
    <w:rsid w:val="007D2983"/>
    <w:pPr>
      <w:spacing w:after="240"/>
      <w:jc w:val="center"/>
    </w:pPr>
  </w:style>
  <w:style w:type="paragraph" w:customStyle="1" w:styleId="PListCaseNo">
    <w:name w:val="P_List_CaseNo"/>
    <w:basedOn w:val="Normal"/>
    <w:rsid w:val="007D2983"/>
    <w:pPr>
      <w:tabs>
        <w:tab w:val="left" w:pos="1276"/>
      </w:tabs>
      <w:spacing w:line="288" w:lineRule="auto"/>
      <w:ind w:left="1276" w:hanging="1276"/>
    </w:pPr>
  </w:style>
  <w:style w:type="paragraph" w:customStyle="1" w:styleId="PListCases">
    <w:name w:val="P_List_Cases"/>
    <w:basedOn w:val="Normal"/>
    <w:rsid w:val="007D2983"/>
    <w:pPr>
      <w:spacing w:line="288" w:lineRule="auto"/>
    </w:pPr>
  </w:style>
  <w:style w:type="paragraph" w:customStyle="1" w:styleId="PTextIntro">
    <w:name w:val="P_Text_Intro"/>
    <w:basedOn w:val="Normal"/>
    <w:rsid w:val="007D2983"/>
    <w:pPr>
      <w:jc w:val="both"/>
    </w:pPr>
    <w:rPr>
      <w:i/>
      <w:sz w:val="20"/>
    </w:rPr>
  </w:style>
  <w:style w:type="paragraph" w:customStyle="1" w:styleId="PTitleCover">
    <w:name w:val="P_Title_Cover"/>
    <w:basedOn w:val="Normal"/>
    <w:rsid w:val="007D2983"/>
    <w:pPr>
      <w:spacing w:before="2500"/>
      <w:jc w:val="center"/>
    </w:pPr>
    <w:rPr>
      <w:b/>
      <w:smallCaps/>
      <w:sz w:val="30"/>
    </w:rPr>
  </w:style>
  <w:style w:type="paragraph" w:customStyle="1" w:styleId="PTitle1Alpha">
    <w:name w:val="P_Title1_Alpha"/>
    <w:basedOn w:val="Normal"/>
    <w:next w:val="Normal"/>
    <w:rsid w:val="007D2983"/>
    <w:pPr>
      <w:spacing w:after="120"/>
      <w:jc w:val="center"/>
    </w:pPr>
    <w:rPr>
      <w:b/>
      <w:smallCaps/>
      <w:sz w:val="30"/>
    </w:rPr>
  </w:style>
  <w:style w:type="paragraph" w:customStyle="1" w:styleId="PTitle1IndexArticle">
    <w:name w:val="P_Title1_IndexArticle"/>
    <w:basedOn w:val="Normal"/>
    <w:rsid w:val="007D2983"/>
    <w:pPr>
      <w:spacing w:after="120"/>
      <w:jc w:val="center"/>
    </w:pPr>
    <w:rPr>
      <w:b/>
      <w:smallCaps/>
      <w:sz w:val="30"/>
    </w:rPr>
  </w:style>
  <w:style w:type="paragraph" w:customStyle="1" w:styleId="PTitle1IndexKey">
    <w:name w:val="P_Title1_IndexKey"/>
    <w:basedOn w:val="Normal"/>
    <w:rsid w:val="007D2983"/>
    <w:pPr>
      <w:spacing w:after="600"/>
      <w:jc w:val="center"/>
    </w:pPr>
    <w:rPr>
      <w:b/>
      <w:smallCaps/>
      <w:sz w:val="30"/>
    </w:rPr>
  </w:style>
  <w:style w:type="paragraph" w:customStyle="1" w:styleId="PTitle1Num">
    <w:name w:val="P_Title1_Num"/>
    <w:basedOn w:val="Normal"/>
    <w:next w:val="PListCaseNo"/>
    <w:rsid w:val="007D2983"/>
    <w:pPr>
      <w:spacing w:after="720"/>
      <w:jc w:val="center"/>
    </w:pPr>
    <w:rPr>
      <w:b/>
      <w:smallCaps/>
      <w:sz w:val="30"/>
    </w:rPr>
  </w:style>
  <w:style w:type="paragraph" w:customStyle="1" w:styleId="PTitle2Country">
    <w:name w:val="P_Title2_Country"/>
    <w:basedOn w:val="Normal"/>
    <w:next w:val="PListCases"/>
    <w:rsid w:val="007D2983"/>
    <w:pPr>
      <w:keepNext/>
      <w:keepLines/>
      <w:spacing w:before="600" w:after="360"/>
    </w:pPr>
    <w:rPr>
      <w:b/>
    </w:rPr>
  </w:style>
  <w:style w:type="paragraph" w:customStyle="1" w:styleId="PTitle2Letters">
    <w:name w:val="P_Title2_Letters"/>
    <w:basedOn w:val="Normal"/>
    <w:next w:val="PListCases"/>
    <w:rsid w:val="007D2983"/>
    <w:pPr>
      <w:keepNext/>
      <w:keepLines/>
      <w:spacing w:before="600" w:after="360"/>
    </w:pPr>
    <w:rPr>
      <w:b/>
      <w:sz w:val="28"/>
    </w:rPr>
  </w:style>
  <w:style w:type="paragraph" w:customStyle="1" w:styleId="PTitle2Part">
    <w:name w:val="P_Title2_Part"/>
    <w:basedOn w:val="Normal"/>
    <w:rsid w:val="007D2983"/>
    <w:pPr>
      <w:keepNext/>
      <w:keepLines/>
      <w:spacing w:before="600" w:after="240"/>
      <w:jc w:val="center"/>
    </w:pPr>
    <w:rPr>
      <w:b/>
      <w:caps/>
    </w:rPr>
  </w:style>
  <w:style w:type="paragraph" w:customStyle="1" w:styleId="PTitle3Article">
    <w:name w:val="P_Title3_Article"/>
    <w:basedOn w:val="Normal"/>
    <w:rsid w:val="007D2983"/>
    <w:pPr>
      <w:keepNext/>
      <w:keepLines/>
      <w:spacing w:before="360" w:after="120"/>
      <w:jc w:val="center"/>
    </w:pPr>
    <w:rPr>
      <w:b/>
      <w:smallCaps/>
      <w:sz w:val="22"/>
    </w:rPr>
  </w:style>
  <w:style w:type="paragraph" w:customStyle="1" w:styleId="PTitle4ArticleSub">
    <w:name w:val="P_Title4_Article_Sub"/>
    <w:basedOn w:val="PTitle3Article"/>
    <w:rsid w:val="007D2983"/>
    <w:pPr>
      <w:spacing w:before="240"/>
    </w:pPr>
    <w:rPr>
      <w:smallCaps w:val="0"/>
      <w:sz w:val="20"/>
    </w:rPr>
  </w:style>
  <w:style w:type="paragraph" w:customStyle="1" w:styleId="PTitle5Subject">
    <w:name w:val="P_Title5_Subject"/>
    <w:basedOn w:val="Normal"/>
    <w:rsid w:val="007D2983"/>
    <w:pPr>
      <w:keepNext/>
      <w:keepLines/>
      <w:spacing w:before="240" w:after="120"/>
      <w:jc w:val="both"/>
    </w:pPr>
    <w:rPr>
      <w:b/>
      <w:i/>
    </w:rPr>
  </w:style>
  <w:style w:type="paragraph" w:customStyle="1" w:styleId="PTitle6SubjectSub">
    <w:name w:val="P_Title6_Subject_Sub"/>
    <w:basedOn w:val="Normal"/>
    <w:rsid w:val="007D2983"/>
    <w:pPr>
      <w:keepNext/>
      <w:keepLines/>
      <w:spacing w:before="240" w:after="120"/>
      <w:ind w:left="284"/>
      <w:jc w:val="both"/>
    </w:pPr>
    <w:rPr>
      <w:b/>
      <w:sz w:val="20"/>
    </w:rPr>
  </w:style>
  <w:style w:type="paragraph" w:customStyle="1" w:styleId="PTitle7CaseName">
    <w:name w:val="P_Title7_CaseName"/>
    <w:basedOn w:val="Normal"/>
    <w:rsid w:val="007D2983"/>
    <w:pPr>
      <w:keepLines/>
      <w:spacing w:after="240"/>
      <w:jc w:val="right"/>
    </w:pPr>
    <w:rPr>
      <w:sz w:val="22"/>
    </w:rPr>
  </w:style>
  <w:style w:type="paragraph" w:customStyle="1" w:styleId="OpiParaSub">
    <w:name w:val="Opi_Para_Sub"/>
    <w:basedOn w:val="JuParaSub"/>
    <w:rsid w:val="007D2983"/>
  </w:style>
  <w:style w:type="paragraph" w:customStyle="1" w:styleId="OpiQuotSub">
    <w:name w:val="Opi_Quot_Sub"/>
    <w:basedOn w:val="JuQuotSub"/>
    <w:rsid w:val="007D2983"/>
  </w:style>
  <w:style w:type="paragraph" w:customStyle="1" w:styleId="JuParaCharChar">
    <w:name w:val="Ju_Para Char Char"/>
    <w:basedOn w:val="Normal"/>
    <w:link w:val="JuParaCharCharChar1"/>
    <w:rsid w:val="00B66328"/>
    <w:pPr>
      <w:ind w:firstLine="284"/>
      <w:jc w:val="both"/>
    </w:pPr>
  </w:style>
  <w:style w:type="paragraph" w:customStyle="1" w:styleId="OpiCommission">
    <w:name w:val="Opi_Commission"/>
    <w:basedOn w:val="JuJudges"/>
    <w:rsid w:val="00B66328"/>
    <w:pPr>
      <w:tabs>
        <w:tab w:val="clear" w:pos="567"/>
        <w:tab w:val="clear" w:pos="1134"/>
        <w:tab w:val="left" w:pos="1814"/>
        <w:tab w:val="left" w:pos="2381"/>
        <w:tab w:val="left" w:pos="3119"/>
      </w:tabs>
      <w:ind w:left="1418"/>
    </w:pPr>
    <w:rPr>
      <w:sz w:val="20"/>
    </w:rPr>
  </w:style>
  <w:style w:type="paragraph" w:customStyle="1" w:styleId="OpiConclusion">
    <w:name w:val="Opi_Conclusion"/>
    <w:basedOn w:val="OpiPara"/>
    <w:next w:val="OpiPara"/>
    <w:rsid w:val="00B66328"/>
    <w:pPr>
      <w:spacing w:before="360" w:after="120"/>
      <w:ind w:firstLine="0"/>
    </w:pPr>
    <w:rPr>
      <w:i/>
    </w:rPr>
  </w:style>
  <w:style w:type="paragraph" w:customStyle="1" w:styleId="OpiHCommission">
    <w:name w:val="Opi_H_Commission"/>
    <w:basedOn w:val="OpiTranslation"/>
    <w:next w:val="OpiPara"/>
    <w:rsid w:val="00B66328"/>
    <w:pPr>
      <w:spacing w:before="480"/>
      <w:ind w:left="1418"/>
      <w:jc w:val="left"/>
    </w:pPr>
    <w:rPr>
      <w:sz w:val="20"/>
    </w:rPr>
  </w:style>
  <w:style w:type="paragraph" w:customStyle="1" w:styleId="OpiHOpinion">
    <w:name w:val="Opi_H_Opinion"/>
    <w:basedOn w:val="OpiHHead"/>
    <w:next w:val="OpiPara"/>
    <w:rsid w:val="00B66328"/>
    <w:pPr>
      <w:spacing w:before="240"/>
    </w:pPr>
    <w:rPr>
      <w:b/>
    </w:rPr>
  </w:style>
  <w:style w:type="paragraph" w:customStyle="1" w:styleId="OpiList">
    <w:name w:val="Opi_List"/>
    <w:basedOn w:val="JuList"/>
    <w:rsid w:val="00B66328"/>
  </w:style>
  <w:style w:type="character" w:customStyle="1" w:styleId="OpiNames">
    <w:name w:val="Opi_Names"/>
    <w:basedOn w:val="JuNames"/>
    <w:rsid w:val="00B66328"/>
    <w:rPr>
      <w:smallCaps/>
    </w:rPr>
  </w:style>
  <w:style w:type="paragraph" w:customStyle="1" w:styleId="OpiQuotList">
    <w:name w:val="Opi_Quot_List"/>
    <w:basedOn w:val="OpiQuot"/>
    <w:rsid w:val="00B66328"/>
    <w:pPr>
      <w:tabs>
        <w:tab w:val="left" w:pos="1021"/>
      </w:tabs>
      <w:ind w:left="567" w:firstLine="0"/>
    </w:pPr>
  </w:style>
  <w:style w:type="paragraph" w:customStyle="1" w:styleId="OpiSigned">
    <w:name w:val="Opi_Signed"/>
    <w:basedOn w:val="JuSigned"/>
    <w:rsid w:val="00B66328"/>
    <w:pPr>
      <w:tabs>
        <w:tab w:val="clear" w:pos="1219"/>
        <w:tab w:val="clear" w:pos="6379"/>
        <w:tab w:val="center" w:pos="1418"/>
        <w:tab w:val="center" w:pos="5954"/>
        <w:tab w:val="center" w:pos="6407"/>
      </w:tabs>
    </w:pPr>
  </w:style>
  <w:style w:type="paragraph" w:customStyle="1" w:styleId="COETitre">
    <w:name w:val="COE_Titre"/>
    <w:basedOn w:val="Normal"/>
    <w:rsid w:val="00B66328"/>
    <w:pPr>
      <w:suppressAutoHyphens w:val="0"/>
    </w:pPr>
    <w:rPr>
      <w:rFonts w:ascii="Arial" w:hAnsi="Arial"/>
      <w:sz w:val="36"/>
      <w:szCs w:val="24"/>
    </w:rPr>
  </w:style>
  <w:style w:type="paragraph" w:customStyle="1" w:styleId="JuParaCharCharChar">
    <w:name w:val="Ju_Para Char Char Char"/>
    <w:basedOn w:val="Normal"/>
    <w:rsid w:val="00B66328"/>
    <w:pPr>
      <w:ind w:firstLine="284"/>
      <w:jc w:val="both"/>
    </w:pPr>
    <w:rPr>
      <w:lang w:val="fr-FR"/>
    </w:rPr>
  </w:style>
  <w:style w:type="paragraph" w:customStyle="1" w:styleId="JuH1Char">
    <w:name w:val="Ju_H_1. Char"/>
    <w:basedOn w:val="JuHA"/>
    <w:next w:val="JuParaCharChar"/>
    <w:rsid w:val="00B66328"/>
    <w:pPr>
      <w:tabs>
        <w:tab w:val="clear" w:pos="584"/>
        <w:tab w:val="left" w:pos="731"/>
      </w:tabs>
      <w:spacing w:before="240" w:after="120"/>
      <w:ind w:left="732" w:hanging="301"/>
    </w:pPr>
    <w:rPr>
      <w:b w:val="0"/>
      <w:i/>
      <w:lang w:val="fr-FR"/>
    </w:rPr>
  </w:style>
  <w:style w:type="character" w:customStyle="1" w:styleId="JuQuotChar">
    <w:name w:val="Ju_Quot Char"/>
    <w:basedOn w:val="DefaultParagraphFont"/>
    <w:rsid w:val="00B66328"/>
    <w:rPr>
      <w:sz w:val="24"/>
      <w:lang w:val="fr-FR" w:eastAsia="fr-FR" w:bidi="ar-SA"/>
    </w:rPr>
  </w:style>
  <w:style w:type="character" w:customStyle="1" w:styleId="JuParaCharCharChar1">
    <w:name w:val="Ju_Para Char Char Char1"/>
    <w:basedOn w:val="DefaultParagraphFont"/>
    <w:link w:val="JuParaCharChar"/>
    <w:rsid w:val="00B66328"/>
    <w:rPr>
      <w:sz w:val="24"/>
      <w:lang w:val="en-GB" w:eastAsia="fr-FR" w:bidi="ar-SA"/>
    </w:rPr>
  </w:style>
  <w:style w:type="character" w:customStyle="1" w:styleId="JuParaChar1">
    <w:name w:val="Ju_Para Char1"/>
    <w:basedOn w:val="DefaultParagraphFont"/>
    <w:link w:val="JuPara"/>
    <w:rsid w:val="00B66328"/>
    <w:rPr>
      <w:sz w:val="24"/>
      <w:lang w:val="en-GB" w:eastAsia="fr-FR" w:bidi="ar-SA"/>
    </w:rPr>
  </w:style>
  <w:style w:type="paragraph" w:customStyle="1" w:styleId="JuParaChar">
    <w:name w:val="Ju_Para Char"/>
    <w:basedOn w:val="Normal"/>
    <w:link w:val="JuParaCharChar1"/>
    <w:rsid w:val="00B66328"/>
    <w:pPr>
      <w:ind w:firstLine="284"/>
      <w:jc w:val="both"/>
    </w:pPr>
    <w:rPr>
      <w:lang w:eastAsia="en-US"/>
    </w:rPr>
  </w:style>
  <w:style w:type="character" w:customStyle="1" w:styleId="ju-005fpara--char">
    <w:name w:val="ju-005fpara--char"/>
    <w:basedOn w:val="DefaultParagraphFont"/>
    <w:rsid w:val="00B66328"/>
  </w:style>
  <w:style w:type="character" w:customStyle="1" w:styleId="JuParaCharChar1">
    <w:name w:val="Ju_Para Char Char1"/>
    <w:basedOn w:val="DefaultParagraphFont"/>
    <w:link w:val="JuParaChar"/>
    <w:rsid w:val="00B66328"/>
    <w:rPr>
      <w:sz w:val="24"/>
      <w:lang w:val="en-GB" w:eastAsia="en-US" w:bidi="ar-SA"/>
    </w:rPr>
  </w:style>
  <w:style w:type="character" w:customStyle="1" w:styleId="JuHHeadChar">
    <w:name w:val="Ju_H_Head Char"/>
    <w:basedOn w:val="DefaultParagraphFont"/>
    <w:link w:val="JuHHead"/>
    <w:rsid w:val="00B66328"/>
    <w:rPr>
      <w:sz w:val="28"/>
      <w:lang w:val="en-GB" w:eastAsia="fr-FR" w:bidi="ar-SA"/>
    </w:rPr>
  </w:style>
  <w:style w:type="character" w:customStyle="1" w:styleId="JuHIRomanChar">
    <w:name w:val="Ju_H_I_Roman Char"/>
    <w:basedOn w:val="JuHHeadChar"/>
    <w:link w:val="JuHIRoman"/>
    <w:rsid w:val="00B66328"/>
    <w:rPr>
      <w:sz w:val="24"/>
      <w:lang w:val="en-GB" w:eastAsia="fr-FR" w:bidi="ar-SA"/>
    </w:rPr>
  </w:style>
  <w:style w:type="character" w:customStyle="1" w:styleId="JuHAChar">
    <w:name w:val="Ju_H_A Char"/>
    <w:basedOn w:val="JuHIRomanChar"/>
    <w:link w:val="JuHA"/>
    <w:rsid w:val="00B66328"/>
    <w:rPr>
      <w:b/>
      <w:sz w:val="24"/>
      <w:lang w:val="en-GB" w:eastAsia="fr-FR" w:bidi="ar-SA"/>
    </w:rPr>
  </w:style>
  <w:style w:type="character" w:customStyle="1" w:styleId="JuQuotChar1">
    <w:name w:val="Ju_Quot Char1"/>
    <w:basedOn w:val="JuParaCharCharChar1"/>
    <w:link w:val="JuQuot"/>
    <w:rsid w:val="00B66328"/>
    <w:rPr>
      <w:sz w:val="24"/>
      <w:lang w:val="en-GB" w:eastAsia="fr-FR" w:bidi="ar-SA"/>
    </w:rPr>
  </w:style>
  <w:style w:type="character" w:customStyle="1" w:styleId="JuParaChar2">
    <w:name w:val="Ju_Para Char2"/>
    <w:basedOn w:val="DefaultParagraphFont"/>
    <w:rsid w:val="00B66328"/>
    <w:rPr>
      <w:sz w:val="24"/>
      <w:lang w:val="fr-FR" w:eastAsia="fr-FR" w:bidi="ar-SA"/>
    </w:rPr>
  </w:style>
  <w:style w:type="character" w:customStyle="1" w:styleId="JuH1Char1">
    <w:name w:val="Ju_H_1. Char1"/>
    <w:basedOn w:val="JuHAChar"/>
    <w:link w:val="JuH1"/>
    <w:rsid w:val="00E650E8"/>
    <w:rPr>
      <w:b/>
      <w:i/>
      <w:sz w:val="24"/>
      <w:lang w:val="en-GB" w:eastAsia="fr-FR" w:bidi="ar-SA"/>
    </w:rPr>
  </w:style>
  <w:style w:type="character" w:customStyle="1" w:styleId="JuHaChar0">
    <w:name w:val="Ju_H_a Char"/>
    <w:basedOn w:val="JuH1Char1"/>
    <w:link w:val="JuHa0"/>
    <w:rsid w:val="00E650E8"/>
    <w:rPr>
      <w:b/>
      <w:i/>
      <w:sz w:val="24"/>
      <w:lang w:val="en-GB" w:eastAsia="fr-FR" w:bidi="ar-SA"/>
    </w:rPr>
  </w:style>
  <w:style w:type="character" w:customStyle="1" w:styleId="JuHaChar1">
    <w:name w:val="Ju_H_a Char1"/>
    <w:basedOn w:val="DefaultParagraphFont"/>
    <w:rsid w:val="002C116A"/>
    <w:rPr>
      <w:b/>
      <w:lang w:val="fr-FR" w:eastAsia="fr-FR" w:bidi="ar-SA"/>
    </w:rPr>
  </w:style>
  <w:style w:type="character" w:customStyle="1" w:styleId="JuHaCharChar">
    <w:name w:val="Ju_H_a Char Char"/>
    <w:basedOn w:val="JuH1Char1"/>
    <w:rsid w:val="005831FC"/>
    <w:rPr>
      <w:b/>
      <w:i/>
      <w:sz w:val="24"/>
      <w:lang w:val="en-GB"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69A890-7F43-4D9F-B9B0-E5ADFAB716F8}"/>
</file>

<file path=customXml/itemProps2.xml><?xml version="1.0" encoding="utf-8"?>
<ds:datastoreItem xmlns:ds="http://schemas.openxmlformats.org/officeDocument/2006/customXml" ds:itemID="{FFFC3496-2252-4255-A734-080355B758EF}"/>
</file>

<file path=customXml/itemProps3.xml><?xml version="1.0" encoding="utf-8"?>
<ds:datastoreItem xmlns:ds="http://schemas.openxmlformats.org/officeDocument/2006/customXml" ds:itemID="{51B740E8-B8D0-436A-959C-B1380339A781}"/>
</file>

<file path=docProps/app.xml><?xml version="1.0" encoding="utf-8"?>
<Properties xmlns="http://schemas.openxmlformats.org/officeDocument/2006/extended-properties" xmlns:vt="http://schemas.openxmlformats.org/officeDocument/2006/docPropsVTypes">
  <Template>Normal.dotm</Template>
  <TotalTime>984</TotalTime>
  <Pages>1</Pages>
  <Words>18952</Words>
  <Characters>108028</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126727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18</cp:revision>
  <cp:lastPrinted>2009-02-26T14:18:00Z</cp:lastPrinted>
  <dcterms:created xsi:type="dcterms:W3CDTF">2017-09-15T12:22:00Z</dcterms:created>
  <dcterms:modified xsi:type="dcterms:W3CDTF">2017-09-15T12:22:00Z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