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11473C" w:rsidR="009152DD" w:rsidP="00BB5349" w:rsidRDefault="009152DD">
      <w:pPr>
        <w:jc w:val="center"/>
      </w:pPr>
    </w:p>
    <w:p w:rsidRPr="0011473C" w:rsidR="009152DD" w:rsidP="00BB5349" w:rsidRDefault="009152DD">
      <w:pPr>
        <w:jc w:val="center"/>
      </w:pPr>
    </w:p>
    <w:p w:rsidRPr="0011473C" w:rsidR="00CD49A7" w:rsidP="00BB5349" w:rsidRDefault="00CD49A7">
      <w:pPr>
        <w:jc w:val="center"/>
      </w:pPr>
    </w:p>
    <w:p w:rsidRPr="0011473C" w:rsidR="00CD49A7" w:rsidP="00BB5349" w:rsidRDefault="009152DD">
      <w:pPr>
        <w:jc w:val="center"/>
      </w:pPr>
      <w:r w:rsidRPr="0011473C">
        <w:t>THIRD SECTION</w:t>
      </w:r>
    </w:p>
    <w:p w:rsidRPr="0011473C" w:rsidR="009152DD" w:rsidP="00BB5349" w:rsidRDefault="009152DD">
      <w:pPr>
        <w:jc w:val="center"/>
      </w:pPr>
    </w:p>
    <w:p w:rsidRPr="0011473C" w:rsidR="009152DD" w:rsidP="00BB5349" w:rsidRDefault="009152DD">
      <w:pPr>
        <w:jc w:val="center"/>
      </w:pPr>
    </w:p>
    <w:p w:rsidRPr="0011473C" w:rsidR="009152DD" w:rsidP="00BB5349" w:rsidRDefault="009152DD">
      <w:pPr>
        <w:jc w:val="center"/>
      </w:pPr>
    </w:p>
    <w:p w:rsidRPr="0011473C" w:rsidR="009152DD" w:rsidP="00BB5349" w:rsidRDefault="009152DD">
      <w:pPr>
        <w:jc w:val="center"/>
      </w:pPr>
    </w:p>
    <w:p w:rsidRPr="0011473C" w:rsidR="009152DD" w:rsidP="00BB5349" w:rsidRDefault="009152DD">
      <w:pPr>
        <w:jc w:val="center"/>
      </w:pPr>
    </w:p>
    <w:p w:rsidRPr="0011473C" w:rsidR="00CD49A7" w:rsidP="00BB5349" w:rsidRDefault="00CD49A7">
      <w:pPr>
        <w:jc w:val="center"/>
      </w:pPr>
    </w:p>
    <w:p w:rsidRPr="0011473C" w:rsidR="00CD49A7" w:rsidP="00BB5349" w:rsidRDefault="00CD49A7">
      <w:pPr>
        <w:jc w:val="center"/>
        <w:rPr>
          <w:b/>
        </w:rPr>
      </w:pPr>
      <w:r w:rsidRPr="0011473C">
        <w:rPr>
          <w:b/>
        </w:rPr>
        <w:t xml:space="preserve">CASE OF </w:t>
      </w:r>
      <w:r w:rsidRPr="0011473C" w:rsidR="009152DD">
        <w:rPr>
          <w:b/>
        </w:rPr>
        <w:t xml:space="preserve">FODALE v. </w:t>
      </w:r>
      <w:smartTag w:uri="urn:schemas-microsoft-com:office:smarttags" w:element="place">
        <w:smartTag w:uri="urn:schemas-microsoft-com:office:smarttags" w:element="country-region">
          <w:r w:rsidR="009152DD" w:rsidRPr="0011473C">
            <w:rPr>
              <w:b/>
            </w:rPr>
            <w:t>ITALY</w:t>
          </w:r>
        </w:smartTag>
      </w:smartTag>
    </w:p>
    <w:p w:rsidRPr="0011473C" w:rsidR="00CD49A7" w:rsidP="00BB5349" w:rsidRDefault="00CD49A7">
      <w:pPr>
        <w:jc w:val="center"/>
      </w:pPr>
    </w:p>
    <w:p w:rsidRPr="0011473C" w:rsidR="00CD49A7" w:rsidP="00BB5349" w:rsidRDefault="00CD49A7">
      <w:pPr>
        <w:jc w:val="center"/>
        <w:rPr>
          <w:i/>
        </w:rPr>
      </w:pPr>
      <w:r w:rsidRPr="0011473C">
        <w:rPr>
          <w:i/>
        </w:rPr>
        <w:t>(</w:t>
      </w:r>
      <w:r w:rsidRPr="0011473C" w:rsidR="009152DD">
        <w:rPr>
          <w:i/>
        </w:rPr>
        <w:t>Application no. 70148/01</w:t>
      </w:r>
      <w:r w:rsidRPr="0011473C">
        <w:rPr>
          <w:i/>
        </w:rPr>
        <w:t>)</w:t>
      </w:r>
    </w:p>
    <w:p w:rsidRPr="0011473C" w:rsidR="009152DD" w:rsidP="00BB5349" w:rsidRDefault="009152DD">
      <w:pPr>
        <w:pStyle w:val="JuCase"/>
        <w:ind w:firstLine="0"/>
        <w:jc w:val="center"/>
        <w:rPr>
          <w:b w:val="0"/>
        </w:rPr>
      </w:pPr>
    </w:p>
    <w:p w:rsidRPr="0011473C" w:rsidR="009152DD" w:rsidP="00BB5349" w:rsidRDefault="009152DD">
      <w:pPr>
        <w:pStyle w:val="JuPara"/>
        <w:ind w:firstLine="0"/>
        <w:jc w:val="center"/>
      </w:pPr>
    </w:p>
    <w:p w:rsidRPr="0011473C" w:rsidR="009152DD" w:rsidP="00BB5349" w:rsidRDefault="009152DD">
      <w:pPr>
        <w:pStyle w:val="JuPara"/>
        <w:ind w:firstLine="0"/>
        <w:jc w:val="center"/>
      </w:pPr>
    </w:p>
    <w:p w:rsidRPr="0011473C" w:rsidR="009152DD" w:rsidP="00BB5349" w:rsidRDefault="009152DD">
      <w:pPr>
        <w:pStyle w:val="JuPara"/>
        <w:ind w:firstLine="0"/>
        <w:jc w:val="center"/>
      </w:pPr>
    </w:p>
    <w:p w:rsidRPr="0011473C" w:rsidR="009152DD" w:rsidP="00BB5349" w:rsidRDefault="009152DD">
      <w:pPr>
        <w:pStyle w:val="JuPara"/>
        <w:ind w:firstLine="0"/>
        <w:jc w:val="center"/>
      </w:pPr>
    </w:p>
    <w:p w:rsidRPr="0011473C" w:rsidR="009152DD" w:rsidP="00BB5349" w:rsidRDefault="009152DD">
      <w:pPr>
        <w:pStyle w:val="JuPara"/>
        <w:ind w:firstLine="0"/>
        <w:jc w:val="center"/>
      </w:pPr>
    </w:p>
    <w:p w:rsidRPr="0011473C" w:rsidR="009152DD" w:rsidP="00BB5349" w:rsidRDefault="009152DD">
      <w:pPr>
        <w:pStyle w:val="JuPara"/>
        <w:ind w:firstLine="0"/>
        <w:jc w:val="center"/>
      </w:pPr>
    </w:p>
    <w:p w:rsidRPr="0011473C" w:rsidR="009152DD" w:rsidP="00BB5349" w:rsidRDefault="009152DD">
      <w:pPr>
        <w:pStyle w:val="JuPara"/>
        <w:ind w:firstLine="0"/>
        <w:jc w:val="center"/>
      </w:pPr>
      <w:r w:rsidRPr="0011473C">
        <w:t>JUDGMENT</w:t>
      </w:r>
    </w:p>
    <w:p w:rsidRPr="0011473C" w:rsidR="009152DD" w:rsidP="00BB5349" w:rsidRDefault="009152DD">
      <w:pPr>
        <w:pStyle w:val="JuPara"/>
        <w:ind w:firstLine="0"/>
        <w:jc w:val="center"/>
      </w:pPr>
    </w:p>
    <w:p w:rsidRPr="0011473C" w:rsidR="009152DD" w:rsidP="00BB5349" w:rsidRDefault="009152DD">
      <w:pPr>
        <w:pStyle w:val="JuPara"/>
        <w:ind w:firstLine="0"/>
        <w:jc w:val="center"/>
      </w:pPr>
    </w:p>
    <w:p w:rsidRPr="0011473C" w:rsidR="009152DD" w:rsidP="00BB5349" w:rsidRDefault="009152DD">
      <w:pPr>
        <w:pStyle w:val="JuPara"/>
        <w:ind w:firstLine="0"/>
        <w:jc w:val="center"/>
      </w:pPr>
    </w:p>
    <w:p w:rsidRPr="0011473C" w:rsidR="009152DD" w:rsidP="00BB5349" w:rsidRDefault="009152DD">
      <w:pPr>
        <w:pStyle w:val="JuPara"/>
        <w:ind w:firstLine="0"/>
        <w:jc w:val="center"/>
      </w:pPr>
      <w:smartTag w:uri="urn:schemas-microsoft-com:office:smarttags" w:element="place">
        <w:smartTag w:uri="urn:schemas-microsoft-com:office:smarttags" w:element="City">
          <w:r w:rsidRPr="0011473C">
            <w:t>STRASBOURG</w:t>
          </w:r>
        </w:smartTag>
      </w:smartTag>
    </w:p>
    <w:p w:rsidRPr="0011473C" w:rsidR="009152DD" w:rsidP="00BB5349" w:rsidRDefault="009152DD">
      <w:pPr>
        <w:pStyle w:val="JuPara"/>
        <w:ind w:firstLine="0"/>
        <w:jc w:val="center"/>
      </w:pPr>
    </w:p>
    <w:p w:rsidRPr="0011473C" w:rsidR="009152DD" w:rsidP="00BB5349" w:rsidRDefault="005D342F">
      <w:pPr>
        <w:pStyle w:val="JuPara"/>
        <w:ind w:firstLine="0"/>
        <w:jc w:val="center"/>
      </w:pPr>
      <w:r w:rsidRPr="0011473C">
        <w:t>1 June 2006</w:t>
      </w:r>
    </w:p>
    <w:p w:rsidR="009152DD" w:rsidP="00BB5349" w:rsidRDefault="009152DD">
      <w:pPr>
        <w:pStyle w:val="JuPara"/>
        <w:ind w:firstLine="0"/>
        <w:jc w:val="center"/>
      </w:pPr>
    </w:p>
    <w:p w:rsidRPr="002A0C51" w:rsidR="00BB5349" w:rsidP="00BB5349" w:rsidRDefault="00BB5349">
      <w:pPr>
        <w:jc w:val="center"/>
        <w:rPr>
          <w:b/>
          <w:color w:val="FF0000"/>
          <w:sz w:val="36"/>
          <w:u w:val="single"/>
        </w:rPr>
      </w:pPr>
      <w:r>
        <w:rPr>
          <w:b/>
          <w:color w:val="FF0000"/>
          <w:sz w:val="36"/>
          <w:u w:val="single"/>
        </w:rPr>
        <w:t>FINAL</w:t>
      </w:r>
    </w:p>
    <w:p w:rsidRPr="002A0C51" w:rsidR="00BB5349" w:rsidP="00BB5349" w:rsidRDefault="00BB5349">
      <w:pPr>
        <w:jc w:val="center"/>
        <w:rPr>
          <w:i/>
          <w:color w:val="FF0000"/>
        </w:rPr>
      </w:pPr>
    </w:p>
    <w:p w:rsidRPr="002A0C51" w:rsidR="00BB5349" w:rsidP="00BB5349" w:rsidRDefault="00BB5349">
      <w:pPr>
        <w:jc w:val="center"/>
        <w:rPr>
          <w:b/>
          <w:i/>
          <w:color w:val="FF0000"/>
          <w:sz w:val="36"/>
          <w:szCs w:val="36"/>
        </w:rPr>
      </w:pPr>
      <w:r>
        <w:rPr>
          <w:b/>
          <w:i/>
          <w:color w:val="FF0000"/>
          <w:sz w:val="36"/>
          <w:szCs w:val="36"/>
        </w:rPr>
        <w:t>2</w:t>
      </w:r>
      <w:r w:rsidR="00846462">
        <w:rPr>
          <w:b/>
          <w:i/>
          <w:color w:val="FF0000"/>
          <w:sz w:val="36"/>
          <w:szCs w:val="36"/>
        </w:rPr>
        <w:t>3</w:t>
      </w:r>
      <w:r>
        <w:rPr>
          <w:b/>
          <w:i/>
          <w:color w:val="FF0000"/>
          <w:sz w:val="36"/>
          <w:szCs w:val="36"/>
        </w:rPr>
        <w:t>/</w:t>
      </w:r>
      <w:r w:rsidR="00846462">
        <w:rPr>
          <w:b/>
          <w:i/>
          <w:color w:val="FF0000"/>
          <w:sz w:val="36"/>
          <w:szCs w:val="36"/>
        </w:rPr>
        <w:t>10</w:t>
      </w:r>
      <w:bookmarkStart w:name="_GoBack" w:id="0"/>
      <w:bookmarkEnd w:id="0"/>
      <w:r w:rsidRPr="002A0C51">
        <w:rPr>
          <w:b/>
          <w:i/>
          <w:color w:val="FF0000"/>
          <w:sz w:val="36"/>
          <w:szCs w:val="36"/>
        </w:rPr>
        <w:t>/2006</w:t>
      </w:r>
    </w:p>
    <w:p w:rsidRPr="0011473C" w:rsidR="00BB5349" w:rsidP="00BB5349" w:rsidRDefault="00BB5349">
      <w:pPr>
        <w:pStyle w:val="JuPara"/>
        <w:jc w:val="center"/>
      </w:pPr>
    </w:p>
    <w:p w:rsidRPr="0011473C" w:rsidR="005D342F" w:rsidP="009152DD" w:rsidRDefault="005D342F">
      <w:pPr>
        <w:pStyle w:val="JuPara"/>
        <w:ind w:firstLine="0"/>
        <w:rPr>
          <w:i/>
        </w:rPr>
      </w:pPr>
    </w:p>
    <w:p w:rsidRPr="0011473C" w:rsidR="009152DD" w:rsidP="009152DD" w:rsidRDefault="009152DD">
      <w:pPr>
        <w:pStyle w:val="JuPara"/>
        <w:ind w:firstLine="0"/>
        <w:sectPr w:rsidRPr="0011473C" w:rsidR="009152DD" w:rsidSect="009152DD">
          <w:headerReference w:type="default" r:id="rId7"/>
          <w:footnotePr>
            <w:numRestart w:val="eachPage"/>
          </w:footnotePr>
          <w:pgSz w:w="11906" w:h="16838" w:code="9"/>
          <w:pgMar w:top="2274" w:right="2274" w:bottom="2274" w:left="2274" w:header="1701" w:footer="720" w:gutter="0"/>
          <w:pgNumType w:start="1"/>
          <w:cols w:space="720"/>
          <w:docGrid w:linePitch="326"/>
        </w:sectPr>
      </w:pPr>
    </w:p>
    <w:p w:rsidRPr="0011473C" w:rsidR="00CD49A7" w:rsidRDefault="00CD49A7">
      <w:pPr>
        <w:pStyle w:val="JuCase"/>
      </w:pPr>
      <w:r w:rsidRPr="0011473C">
        <w:t xml:space="preserve">In the case of </w:t>
      </w:r>
      <w:r w:rsidRPr="0011473C" w:rsidR="009152DD">
        <w:t xml:space="preserve">Fodale v. </w:t>
      </w:r>
      <w:smartTag w:uri="urn:schemas-microsoft-com:office:smarttags" w:element="place">
        <w:smartTag w:uri="urn:schemas-microsoft-com:office:smarttags" w:element="country-region">
          <w:r w:rsidR="009152DD" w:rsidRPr="0011473C">
            <w:t>Italy</w:t>
          </w:r>
        </w:smartTag>
      </w:smartTag>
      <w:r w:rsidRPr="0011473C">
        <w:t>,</w:t>
      </w:r>
    </w:p>
    <w:p w:rsidRPr="0011473C" w:rsidR="005803E1" w:rsidP="005803E1" w:rsidRDefault="00CD49A7">
      <w:pPr>
        <w:pStyle w:val="JuPara"/>
      </w:pPr>
      <w:r w:rsidRPr="0011473C">
        <w:t>The European Court of Human Rights</w:t>
      </w:r>
      <w:r w:rsidRPr="0011473C" w:rsidR="009152DD">
        <w:t xml:space="preserve"> (Third Section)</w:t>
      </w:r>
      <w:r w:rsidRPr="0011473C">
        <w:t xml:space="preserve">, sitting as a </w:t>
      </w:r>
      <w:r w:rsidRPr="0011473C" w:rsidR="009152DD">
        <w:t>Chamber</w:t>
      </w:r>
      <w:r w:rsidRPr="0011473C">
        <w:t xml:space="preserve"> </w:t>
      </w:r>
      <w:r w:rsidRPr="0011473C" w:rsidR="005803E1">
        <w:t>composed of:</w:t>
      </w:r>
    </w:p>
    <w:p w:rsidRPr="00D77899" w:rsidR="00CD49A7" w:rsidP="005803E1" w:rsidRDefault="00D77899">
      <w:pPr>
        <w:pStyle w:val="JuJudges"/>
      </w:pPr>
      <w:r w:rsidRPr="00D77899">
        <w:tab/>
        <w:t>Boštjan M.</w:t>
      </w:r>
      <w:r>
        <w:t xml:space="preserve"> </w:t>
      </w:r>
      <w:r w:rsidRPr="00D77899">
        <w:t>Zupančič</w:t>
      </w:r>
      <w:r>
        <w:t>,</w:t>
      </w:r>
      <w:r w:rsidRPr="00D77899">
        <w:rPr>
          <w:i/>
        </w:rPr>
        <w:t xml:space="preserve"> President</w:t>
      </w:r>
      <w:r w:rsidRPr="00475984">
        <w:t>,</w:t>
      </w:r>
      <w:r>
        <w:rPr>
          <w:i/>
        </w:rPr>
        <w:br/>
      </w:r>
      <w:r w:rsidRPr="00D77899">
        <w:tab/>
        <w:t>John</w:t>
      </w:r>
      <w:r>
        <w:t xml:space="preserve"> </w:t>
      </w:r>
      <w:r w:rsidRPr="00D77899">
        <w:t>Hedigan</w:t>
      </w:r>
      <w:r>
        <w:t>,</w:t>
      </w:r>
      <w:r>
        <w:rPr>
          <w:i/>
        </w:rPr>
        <w:br/>
      </w:r>
      <w:r w:rsidRPr="00D77899">
        <w:tab/>
        <w:t>Lucius</w:t>
      </w:r>
      <w:r>
        <w:t xml:space="preserve"> </w:t>
      </w:r>
      <w:r w:rsidRPr="00D77899">
        <w:t>Caflisch</w:t>
      </w:r>
      <w:r>
        <w:t>,</w:t>
      </w:r>
      <w:r>
        <w:rPr>
          <w:i/>
        </w:rPr>
        <w:br/>
      </w:r>
      <w:r w:rsidRPr="00D77899">
        <w:tab/>
        <w:t>Corneliu</w:t>
      </w:r>
      <w:r>
        <w:t xml:space="preserve"> </w:t>
      </w:r>
      <w:r w:rsidRPr="00D77899">
        <w:t>Bîrsan</w:t>
      </w:r>
      <w:r>
        <w:t>,</w:t>
      </w:r>
      <w:r>
        <w:rPr>
          <w:i/>
        </w:rPr>
        <w:br/>
      </w:r>
      <w:r w:rsidRPr="00D77899">
        <w:tab/>
        <w:t>Vladimiro</w:t>
      </w:r>
      <w:r>
        <w:t xml:space="preserve"> </w:t>
      </w:r>
      <w:r w:rsidRPr="00D77899">
        <w:t>Zagrebelsky</w:t>
      </w:r>
      <w:r>
        <w:t>,</w:t>
      </w:r>
      <w:r>
        <w:rPr>
          <w:i/>
        </w:rPr>
        <w:br/>
      </w:r>
      <w:r w:rsidRPr="00D77899">
        <w:tab/>
        <w:t>Egbert</w:t>
      </w:r>
      <w:r>
        <w:t xml:space="preserve"> </w:t>
      </w:r>
      <w:r w:rsidRPr="00D77899">
        <w:t>Myjer</w:t>
      </w:r>
      <w:r>
        <w:t>,</w:t>
      </w:r>
      <w:r>
        <w:rPr>
          <w:i/>
        </w:rPr>
        <w:br/>
      </w:r>
      <w:r w:rsidRPr="00D77899">
        <w:tab/>
        <w:t>Dav</w:t>
      </w:r>
      <w:r>
        <w:t>í</w:t>
      </w:r>
      <w:r w:rsidRPr="00D77899">
        <w:t>d Thór</w:t>
      </w:r>
      <w:r>
        <w:t xml:space="preserve"> </w:t>
      </w:r>
      <w:r w:rsidRPr="00D77899">
        <w:t>Björgvinsson</w:t>
      </w:r>
      <w:r>
        <w:t>,</w:t>
      </w:r>
      <w:r w:rsidRPr="00D77899">
        <w:rPr>
          <w:i/>
        </w:rPr>
        <w:t xml:space="preserve"> judges</w:t>
      </w:r>
      <w:r w:rsidRPr="00D77899">
        <w:t>,</w:t>
      </w:r>
      <w:r>
        <w:rPr>
          <w:i/>
        </w:rPr>
        <w:br/>
      </w:r>
      <w:r w:rsidRPr="0011473C" w:rsidR="00CD49A7">
        <w:t xml:space="preserve">and </w:t>
      </w:r>
      <w:r>
        <w:t>Vincent</w:t>
      </w:r>
      <w:r w:rsidRPr="0011473C" w:rsidR="00CD49A7">
        <w:t xml:space="preserve"> </w:t>
      </w:r>
      <w:r w:rsidRPr="0011473C" w:rsidR="009152DD">
        <w:rPr>
          <w:rStyle w:val="JuNames"/>
        </w:rPr>
        <w:t>B</w:t>
      </w:r>
      <w:r w:rsidRPr="00D77899">
        <w:rPr>
          <w:rStyle w:val="JuNames"/>
          <w:rFonts w:ascii="Times New (W1)" w:hAnsi="Times New (W1)"/>
          <w:smallCaps w:val="0"/>
        </w:rPr>
        <w:t>erger</w:t>
      </w:r>
      <w:r w:rsidRPr="0011473C" w:rsidR="00CD49A7">
        <w:t xml:space="preserve">, </w:t>
      </w:r>
      <w:r w:rsidRPr="0011473C" w:rsidR="009152DD">
        <w:rPr>
          <w:i/>
        </w:rPr>
        <w:t>Section Registrar</w:t>
      </w:r>
      <w:r>
        <w:t>,</w:t>
      </w:r>
    </w:p>
    <w:p w:rsidRPr="0011473C" w:rsidR="00CD49A7" w:rsidRDefault="00CD49A7">
      <w:pPr>
        <w:pStyle w:val="JuPara"/>
      </w:pPr>
      <w:r w:rsidRPr="0011473C">
        <w:t xml:space="preserve">Having deliberated in private on </w:t>
      </w:r>
      <w:r w:rsidRPr="0011473C" w:rsidR="002F2C54">
        <w:t>18 November 2004 and 11 May 2006</w:t>
      </w:r>
      <w:r w:rsidRPr="0011473C">
        <w:t>,</w:t>
      </w:r>
    </w:p>
    <w:p w:rsidRPr="0011473C" w:rsidR="00CD49A7" w:rsidRDefault="00CD49A7">
      <w:pPr>
        <w:pStyle w:val="JuPara"/>
      </w:pPr>
      <w:r w:rsidRPr="0011473C">
        <w:t>Delivers the following judgment, which was adopted on the last</w:t>
      </w:r>
      <w:r w:rsidR="00DF0612">
        <w:t>-</w:t>
      </w:r>
      <w:r w:rsidRPr="0011473C">
        <w:t>mentioned date:</w:t>
      </w:r>
    </w:p>
    <w:p w:rsidRPr="0011473C" w:rsidR="00CD49A7" w:rsidRDefault="00CD49A7">
      <w:pPr>
        <w:pStyle w:val="JuHHead"/>
      </w:pPr>
      <w:r w:rsidRPr="0011473C">
        <w:t>PROCEDURE</w:t>
      </w:r>
    </w:p>
    <w:p w:rsidRPr="0011473C" w:rsidR="00CD49A7" w:rsidP="00085109" w:rsidRDefault="009152DD">
      <w:pPr>
        <w:pStyle w:val="JuPara"/>
      </w:pPr>
      <w:r w:rsidRPr="0011473C">
        <w:fldChar w:fldCharType="begin"/>
      </w:r>
      <w:r w:rsidRPr="0011473C">
        <w:instrText xml:space="preserve"> SEQ level0 \*arabic </w:instrText>
      </w:r>
      <w:r w:rsidRPr="0011473C">
        <w:fldChar w:fldCharType="separate"/>
      </w:r>
      <w:r w:rsidR="008B4220">
        <w:rPr>
          <w:noProof/>
        </w:rPr>
        <w:t>1</w:t>
      </w:r>
      <w:r w:rsidRPr="0011473C">
        <w:fldChar w:fldCharType="end"/>
      </w:r>
      <w:r w:rsidRPr="0011473C" w:rsidR="00CD49A7">
        <w:t xml:space="preserve">.  The case originated in </w:t>
      </w:r>
      <w:r w:rsidRPr="0011473C">
        <w:t>an application (no. 70148/01)</w:t>
      </w:r>
      <w:r w:rsidRPr="0011473C" w:rsidR="00CD49A7">
        <w:t xml:space="preserve"> against </w:t>
      </w:r>
      <w:r w:rsidRPr="0011473C">
        <w:t xml:space="preserve">the </w:t>
      </w:r>
      <w:smartTag w:uri="urn:schemas-microsoft-com:office:smarttags" w:element="place">
        <w:smartTag w:uri="urn:schemas-microsoft-com:office:smarttags" w:element="PlaceName">
          <w:r w:rsidRPr="0011473C">
            <w:t>Italian</w:t>
          </w:r>
        </w:smartTag>
        <w:r w:rsidRPr="0011473C">
          <w:t xml:space="preserve"> </w:t>
        </w:r>
        <w:smartTag w:uri="urn:schemas-microsoft-com:office:smarttags" w:element="PlaceType">
          <w:r w:rsidRPr="0011473C">
            <w:t>Republic</w:t>
          </w:r>
        </w:smartTag>
      </w:smartTag>
      <w:r w:rsidRPr="0011473C" w:rsidR="00CD49A7">
        <w:t xml:space="preserve"> lodged with the </w:t>
      </w:r>
      <w:r w:rsidRPr="0011473C">
        <w:t>Court under Article 34</w:t>
      </w:r>
      <w:r w:rsidRPr="0011473C" w:rsidR="00CD49A7">
        <w:t xml:space="preserve"> of the Convention for the Protection of Human Rights and Fundamental Freedoms (“the Convention”) by </w:t>
      </w:r>
      <w:r w:rsidRPr="0011473C" w:rsidR="002F2C54">
        <w:t>an</w:t>
      </w:r>
      <w:r w:rsidRPr="0011473C">
        <w:t xml:space="preserve"> Italian national, Mr Carmelo Fodale (“the applicant”), on 20 October 2000</w:t>
      </w:r>
      <w:r w:rsidRPr="0011473C" w:rsidR="00CD49A7">
        <w:t>.</w:t>
      </w:r>
    </w:p>
    <w:p w:rsidRPr="0011473C" w:rsidR="00CD49A7" w:rsidRDefault="009152DD">
      <w:pPr>
        <w:pStyle w:val="JuPara"/>
      </w:pPr>
      <w:r w:rsidRPr="0011473C">
        <w:fldChar w:fldCharType="begin"/>
      </w:r>
      <w:r w:rsidRPr="0011473C">
        <w:instrText xml:space="preserve"> SEQ level0 \*arabic </w:instrText>
      </w:r>
      <w:r w:rsidRPr="0011473C">
        <w:fldChar w:fldCharType="separate"/>
      </w:r>
      <w:r w:rsidR="008B4220">
        <w:rPr>
          <w:noProof/>
        </w:rPr>
        <w:t>2</w:t>
      </w:r>
      <w:r w:rsidRPr="0011473C">
        <w:fldChar w:fldCharType="end"/>
      </w:r>
      <w:r w:rsidRPr="0011473C" w:rsidR="00CD49A7">
        <w:t>.  </w:t>
      </w:r>
      <w:r w:rsidRPr="0011473C">
        <w:t xml:space="preserve">The applicant was represented by Mr G. Oddo, a lawyer practising in </w:t>
      </w:r>
      <w:smartTag w:uri="urn:schemas-microsoft-com:office:smarttags" w:element="place">
        <w:smartTag w:uri="urn:schemas-microsoft-com:office:smarttags" w:element="City">
          <w:r w:rsidR="002F2C54" w:rsidRPr="0011473C">
            <w:t>Palermo</w:t>
          </w:r>
        </w:smartTag>
      </w:smartTag>
      <w:r w:rsidRPr="0011473C">
        <w:t xml:space="preserve">. </w:t>
      </w:r>
      <w:r w:rsidRPr="0011473C" w:rsidR="00CD49A7">
        <w:t xml:space="preserve">The </w:t>
      </w:r>
      <w:r w:rsidRPr="0011473C">
        <w:t>Italian</w:t>
      </w:r>
      <w:r w:rsidRPr="0011473C" w:rsidR="00CD49A7">
        <w:t xml:space="preserve"> Government (“the Government”) were represented by their Agent, Mr</w:t>
      </w:r>
      <w:r w:rsidR="00DD412C">
        <w:t xml:space="preserve"> I.</w:t>
      </w:r>
      <w:r w:rsidR="00DF0612">
        <w:t>M.</w:t>
      </w:r>
      <w:r w:rsidRPr="0011473C" w:rsidR="002F2C54">
        <w:t xml:space="preserve"> Braguglia</w:t>
      </w:r>
      <w:r w:rsidRPr="0011473C" w:rsidR="00CD49A7">
        <w:t xml:space="preserve">, </w:t>
      </w:r>
      <w:r w:rsidRPr="0011473C" w:rsidR="002F2C54">
        <w:t xml:space="preserve">and by their </w:t>
      </w:r>
      <w:r w:rsidR="00DD412C">
        <w:t>d</w:t>
      </w:r>
      <w:r w:rsidRPr="0011473C" w:rsidR="002F2C54">
        <w:t xml:space="preserve">eputy </w:t>
      </w:r>
      <w:r w:rsidR="00DD412C">
        <w:t>c</w:t>
      </w:r>
      <w:r w:rsidRPr="0011473C" w:rsidR="002F2C54">
        <w:t>o-Agent, Mr</w:t>
      </w:r>
      <w:r w:rsidR="00DF0612">
        <w:t> </w:t>
      </w:r>
      <w:r w:rsidRPr="0011473C" w:rsidR="002F2C54">
        <w:t>N.</w:t>
      </w:r>
      <w:r w:rsidR="00DF0612">
        <w:t> </w:t>
      </w:r>
      <w:r w:rsidRPr="0011473C" w:rsidR="002F2C54">
        <w:t>Lettieri</w:t>
      </w:r>
      <w:r w:rsidRPr="0011473C" w:rsidR="00CD49A7">
        <w:t>.</w:t>
      </w:r>
    </w:p>
    <w:p w:rsidRPr="0011473C" w:rsidR="009152DD" w:rsidRDefault="009152DD">
      <w:pPr>
        <w:pStyle w:val="JuPara"/>
      </w:pPr>
      <w:r w:rsidRPr="0011473C">
        <w:fldChar w:fldCharType="begin"/>
      </w:r>
      <w:r w:rsidRPr="0011473C">
        <w:instrText xml:space="preserve"> SEQ level0 \*arabic </w:instrText>
      </w:r>
      <w:r w:rsidRPr="0011473C">
        <w:fldChar w:fldCharType="separate"/>
      </w:r>
      <w:r w:rsidR="008B4220">
        <w:rPr>
          <w:noProof/>
        </w:rPr>
        <w:t>3</w:t>
      </w:r>
      <w:r w:rsidRPr="0011473C">
        <w:fldChar w:fldCharType="end"/>
      </w:r>
      <w:r w:rsidRPr="0011473C" w:rsidR="00CD49A7">
        <w:t xml:space="preserve">.  The </w:t>
      </w:r>
      <w:r w:rsidRPr="0011473C">
        <w:t>applicant</w:t>
      </w:r>
      <w:r w:rsidRPr="0011473C" w:rsidR="00CD49A7">
        <w:t xml:space="preserve"> alleged </w:t>
      </w:r>
      <w:r w:rsidRPr="0011473C" w:rsidR="002F2C54">
        <w:t xml:space="preserve">that the </w:t>
      </w:r>
      <w:r w:rsidR="00DF0612">
        <w:t xml:space="preserve">proceedings for a </w:t>
      </w:r>
      <w:r w:rsidRPr="0011473C" w:rsidR="002F2C54">
        <w:t xml:space="preserve">review of </w:t>
      </w:r>
      <w:r w:rsidR="00195930">
        <w:t xml:space="preserve">the lawfulness of </w:t>
      </w:r>
      <w:r w:rsidRPr="0011473C" w:rsidR="002F2C54">
        <w:t xml:space="preserve">his detention </w:t>
      </w:r>
      <w:r w:rsidR="00195930">
        <w:t>pending trial</w:t>
      </w:r>
      <w:r w:rsidRPr="0011473C" w:rsidR="002F2C54">
        <w:t xml:space="preserve"> had not been fair</w:t>
      </w:r>
      <w:r w:rsidRPr="0011473C" w:rsidR="00CD49A7">
        <w:t>.</w:t>
      </w:r>
    </w:p>
    <w:p w:rsidRPr="0011473C" w:rsidR="009152DD" w:rsidRDefault="009152DD">
      <w:pPr>
        <w:pStyle w:val="JuPara"/>
      </w:pPr>
      <w:r w:rsidRPr="0011473C">
        <w:fldChar w:fldCharType="begin"/>
      </w:r>
      <w:r w:rsidRPr="0011473C">
        <w:instrText xml:space="preserve"> SEQ level0 \*arabic </w:instrText>
      </w:r>
      <w:r w:rsidRPr="0011473C">
        <w:fldChar w:fldCharType="separate"/>
      </w:r>
      <w:r w:rsidR="008B4220">
        <w:rPr>
          <w:noProof/>
        </w:rPr>
        <w:t>4</w:t>
      </w:r>
      <w:r w:rsidRPr="0011473C">
        <w:fldChar w:fldCharType="end"/>
      </w:r>
      <w:r w:rsidRPr="0011473C">
        <w:t>.  </w:t>
      </w:r>
      <w:r w:rsidRPr="0011473C" w:rsidR="002F2C54">
        <w:t xml:space="preserve">The application was allocated to the Third Section </w:t>
      </w:r>
      <w:r w:rsidR="00DF0612">
        <w:t xml:space="preserve">of the Court </w:t>
      </w:r>
      <w:r w:rsidRPr="0011473C" w:rsidR="002F2C54">
        <w:t>(Rule</w:t>
      </w:r>
      <w:r w:rsidR="00DF0612">
        <w:t> </w:t>
      </w:r>
      <w:r w:rsidRPr="0011473C" w:rsidR="002F2C54">
        <w:t>52</w:t>
      </w:r>
      <w:r w:rsidR="00D77899">
        <w:t xml:space="preserve"> </w:t>
      </w:r>
      <w:r w:rsidRPr="0011473C" w:rsidR="002F2C54">
        <w:t>§</w:t>
      </w:r>
      <w:r w:rsidR="00DF0612">
        <w:t xml:space="preserve"> </w:t>
      </w:r>
      <w:r w:rsidRPr="0011473C" w:rsidR="002F2C54">
        <w:t>1 of the Rules of Court). Within that Section, the Chamber that would consider the case (Article 27 § 1 of the Convention) was constituted as provided in Rule 26 § 1.</w:t>
      </w:r>
    </w:p>
    <w:p w:rsidRPr="0011473C" w:rsidR="00CD49A7" w:rsidRDefault="009152DD">
      <w:pPr>
        <w:pStyle w:val="JuPara"/>
      </w:pPr>
      <w:r w:rsidRPr="0011473C">
        <w:fldChar w:fldCharType="begin"/>
      </w:r>
      <w:r w:rsidRPr="0011473C">
        <w:instrText xml:space="preserve"> SEQ level0 \*arabic </w:instrText>
      </w:r>
      <w:r w:rsidRPr="0011473C">
        <w:fldChar w:fldCharType="separate"/>
      </w:r>
      <w:r w:rsidR="008B4220">
        <w:rPr>
          <w:noProof/>
        </w:rPr>
        <w:t>5</w:t>
      </w:r>
      <w:r w:rsidRPr="0011473C">
        <w:fldChar w:fldCharType="end"/>
      </w:r>
      <w:r w:rsidRPr="0011473C">
        <w:t>.  By a decision of 18 November 2004</w:t>
      </w:r>
      <w:r w:rsidRPr="0011473C" w:rsidR="002F2C54">
        <w:t>,</w:t>
      </w:r>
      <w:r w:rsidRPr="0011473C">
        <w:t xml:space="preserve"> the</w:t>
      </w:r>
      <w:r w:rsidRPr="0011473C" w:rsidR="002F2C54">
        <w:t xml:space="preserve"> </w:t>
      </w:r>
      <w:r w:rsidR="00DF0612">
        <w:t>Chamber</w:t>
      </w:r>
      <w:r w:rsidRPr="0011473C" w:rsidR="002F2C54">
        <w:t xml:space="preserve"> declared the application</w:t>
      </w:r>
      <w:r w:rsidRPr="0011473C">
        <w:t xml:space="preserve"> admissible.</w:t>
      </w:r>
    </w:p>
    <w:p w:rsidRPr="0011473C" w:rsidR="00CD49A7" w:rsidRDefault="009152DD">
      <w:pPr>
        <w:pStyle w:val="JuPara"/>
      </w:pPr>
      <w:r w:rsidRPr="0011473C">
        <w:fldChar w:fldCharType="begin"/>
      </w:r>
      <w:r w:rsidRPr="0011473C">
        <w:instrText xml:space="preserve"> SEQ level0 \*arabic </w:instrText>
      </w:r>
      <w:r w:rsidRPr="0011473C">
        <w:fldChar w:fldCharType="separate"/>
      </w:r>
      <w:r w:rsidR="008B4220">
        <w:rPr>
          <w:noProof/>
        </w:rPr>
        <w:t>6</w:t>
      </w:r>
      <w:r w:rsidRPr="0011473C">
        <w:fldChar w:fldCharType="end"/>
      </w:r>
      <w:r w:rsidRPr="0011473C" w:rsidR="002F2C54">
        <w:t>.  </w:t>
      </w:r>
      <w:r w:rsidRPr="0011473C" w:rsidR="00CD49A7">
        <w:t xml:space="preserve">The </w:t>
      </w:r>
      <w:r w:rsidRPr="0011473C">
        <w:t>applicant</w:t>
      </w:r>
      <w:r w:rsidRPr="0011473C" w:rsidR="00CD49A7">
        <w:t xml:space="preserve"> and the Government each filed </w:t>
      </w:r>
      <w:r w:rsidRPr="0011473C">
        <w:t>further observations (Rule 59 § 1).</w:t>
      </w:r>
    </w:p>
    <w:p w:rsidRPr="0011473C" w:rsidR="00CD49A7" w:rsidP="00F92A55" w:rsidRDefault="00CD49A7">
      <w:pPr>
        <w:pStyle w:val="JuHHead"/>
      </w:pPr>
      <w:r w:rsidRPr="0011473C">
        <w:t>THE FACTS</w:t>
      </w:r>
    </w:p>
    <w:p w:rsidRPr="0011473C" w:rsidR="00CD49A7" w:rsidP="00F92A55" w:rsidRDefault="009152DD">
      <w:pPr>
        <w:pStyle w:val="JuPara"/>
        <w:keepNext/>
        <w:keepLines/>
      </w:pPr>
      <w:r w:rsidRPr="0011473C">
        <w:fldChar w:fldCharType="begin"/>
      </w:r>
      <w:r w:rsidRPr="0011473C">
        <w:instrText xml:space="preserve"> SEQ level0 \*arabic </w:instrText>
      </w:r>
      <w:r w:rsidRPr="0011473C">
        <w:fldChar w:fldCharType="separate"/>
      </w:r>
      <w:r w:rsidR="008B4220">
        <w:rPr>
          <w:noProof/>
        </w:rPr>
        <w:t>7</w:t>
      </w:r>
      <w:r w:rsidRPr="0011473C">
        <w:fldChar w:fldCharType="end"/>
      </w:r>
      <w:r w:rsidRPr="0011473C" w:rsidR="00CD49A7">
        <w:t xml:space="preserve">.  The </w:t>
      </w:r>
      <w:r w:rsidRPr="0011473C">
        <w:t>applicant was born in 1947 and lives</w:t>
      </w:r>
      <w:r w:rsidRPr="0011473C" w:rsidR="00CD49A7">
        <w:t xml:space="preserve"> in </w:t>
      </w:r>
      <w:smartTag w:uri="urn:schemas-microsoft-com:office:smarttags" w:element="place">
        <w:smartTag w:uri="urn:schemas-microsoft-com:office:smarttags" w:element="City">
          <w:r w:rsidR="00121CDE" w:rsidRPr="0011473C">
            <w:t>Trapani</w:t>
          </w:r>
        </w:smartTag>
      </w:smartTag>
      <w:r w:rsidRPr="0011473C" w:rsidR="00CD49A7">
        <w:t>.</w:t>
      </w:r>
      <w:r w:rsidRPr="0011473C" w:rsidR="00121CDE">
        <w:t xml:space="preserve"> He is an oil producer.</w:t>
      </w:r>
    </w:p>
    <w:p w:rsidRPr="0011473C" w:rsidR="00CD49A7" w:rsidRDefault="00CD49A7">
      <w:pPr>
        <w:pStyle w:val="JuHA"/>
      </w:pPr>
      <w:r w:rsidRPr="0011473C">
        <w:t>A.  </w:t>
      </w:r>
      <w:r w:rsidRPr="0011473C" w:rsidR="00121CDE">
        <w:t>The applicant</w:t>
      </w:r>
      <w:r w:rsidR="00BB5349">
        <w:t>’</w:t>
      </w:r>
      <w:r w:rsidRPr="0011473C" w:rsidR="00121CDE">
        <w:t>s arrest and his appeals against his deprivation of liberty</w:t>
      </w:r>
    </w:p>
    <w:p w:rsidRPr="0011473C" w:rsidR="00B94749" w:rsidRDefault="00121CDE">
      <w:pPr>
        <w:pStyle w:val="JuPara"/>
      </w:pPr>
      <w:r w:rsidRPr="0011473C">
        <w:fldChar w:fldCharType="begin"/>
      </w:r>
      <w:r w:rsidRPr="0011473C">
        <w:instrText xml:space="preserve"> SEQ level0 \*arabic </w:instrText>
      </w:r>
      <w:r w:rsidRPr="0011473C">
        <w:fldChar w:fldCharType="separate"/>
      </w:r>
      <w:r w:rsidR="008B4220">
        <w:rPr>
          <w:noProof/>
        </w:rPr>
        <w:t>8</w:t>
      </w:r>
      <w:r w:rsidRPr="0011473C">
        <w:fldChar w:fldCharType="end"/>
      </w:r>
      <w:r w:rsidRPr="0011473C">
        <w:t xml:space="preserve">.  On an unspecified date criminal proceedings were brought against the applicant, who was charged with attempted extortion, attempted arson and arson, and </w:t>
      </w:r>
      <w:r w:rsidRPr="0011473C" w:rsidR="00DF0612">
        <w:t xml:space="preserve">(under Article 416 </w:t>
      </w:r>
      <w:r w:rsidRPr="0011473C" w:rsidR="00DF0612">
        <w:rPr>
          <w:i/>
        </w:rPr>
        <w:t>bis</w:t>
      </w:r>
      <w:r w:rsidRPr="0011473C" w:rsidR="00DF0612">
        <w:t xml:space="preserve"> of the Criminal Code)</w:t>
      </w:r>
      <w:r w:rsidR="00DF0612">
        <w:t xml:space="preserve"> </w:t>
      </w:r>
      <w:r w:rsidRPr="0011473C">
        <w:t xml:space="preserve">with </w:t>
      </w:r>
      <w:r w:rsidRPr="0011473C" w:rsidR="009D7A87">
        <w:t>being a member</w:t>
      </w:r>
      <w:r w:rsidRPr="0011473C">
        <w:t xml:space="preserve"> of a mafia-type criminal association </w:t>
      </w:r>
      <w:r w:rsidR="001654A2">
        <w:t>based in</w:t>
      </w:r>
      <w:r w:rsidRPr="0011473C" w:rsidR="001654A2">
        <w:t xml:space="preserve"> </w:t>
      </w:r>
      <w:smartTag w:uri="urn:schemas-microsoft-com:office:smarttags" w:element="place">
        <w:smartTag w:uri="urn:schemas-microsoft-com:office:smarttags" w:element="State">
          <w:r w:rsidR="001654A2" w:rsidRPr="0011473C">
            <w:t>Sicily</w:t>
          </w:r>
        </w:smartTag>
      </w:smartTag>
      <w:r w:rsidRPr="0011473C">
        <w:t>.</w:t>
      </w:r>
    </w:p>
    <w:p w:rsidRPr="0011473C" w:rsidR="00B94749" w:rsidRDefault="00B94749">
      <w:pPr>
        <w:pStyle w:val="JuPara"/>
      </w:pPr>
      <w:r w:rsidRPr="0011473C">
        <w:fldChar w:fldCharType="begin"/>
      </w:r>
      <w:r w:rsidRPr="0011473C">
        <w:instrText xml:space="preserve"> SEQ level0 \*arabic </w:instrText>
      </w:r>
      <w:r w:rsidRPr="0011473C">
        <w:fldChar w:fldCharType="separate"/>
      </w:r>
      <w:r w:rsidR="008B4220">
        <w:rPr>
          <w:noProof/>
        </w:rPr>
        <w:t>9</w:t>
      </w:r>
      <w:r w:rsidRPr="0011473C">
        <w:fldChar w:fldCharType="end"/>
      </w:r>
      <w:r w:rsidRPr="0011473C">
        <w:t>.  </w:t>
      </w:r>
      <w:r w:rsidR="00DF0612">
        <w:t>By</w:t>
      </w:r>
      <w:r w:rsidRPr="0011473C">
        <w:t xml:space="preserve"> an </w:t>
      </w:r>
      <w:r w:rsidRPr="0011473C" w:rsidR="004F0C88">
        <w:t>o</w:t>
      </w:r>
      <w:r w:rsidRPr="0011473C">
        <w:t>rder of 12 July 1999</w:t>
      </w:r>
      <w:r w:rsidR="00DF0612">
        <w:t>,</w:t>
      </w:r>
      <w:r w:rsidRPr="0011473C">
        <w:t xml:space="preserve"> the </w:t>
      </w:r>
      <w:smartTag w:uri="urn:schemas-microsoft-com:office:smarttags" w:element="place">
        <w:smartTag w:uri="urn:schemas-microsoft-com:office:smarttags" w:element="City">
          <w:r w:rsidRPr="0011473C">
            <w:t>Palermo</w:t>
          </w:r>
        </w:smartTag>
      </w:smartTag>
      <w:r w:rsidRPr="0011473C">
        <w:t xml:space="preserve"> </w:t>
      </w:r>
      <w:r w:rsidR="00CD3BAC">
        <w:t>preliminary investigations</w:t>
      </w:r>
      <w:r w:rsidRPr="0011473C" w:rsidR="00CD3BAC">
        <w:t xml:space="preserve"> judge </w:t>
      </w:r>
      <w:r w:rsidRPr="0011473C">
        <w:t>(</w:t>
      </w:r>
      <w:bookmarkStart w:name="HIT1" w:id="1"/>
      <w:bookmarkEnd w:id="1"/>
      <w:r w:rsidRPr="0011473C">
        <w:rPr>
          <w:rStyle w:val="ju-005fpara--char"/>
          <w:bCs/>
          <w:i/>
          <w:iCs/>
        </w:rPr>
        <w:t>giudice</w:t>
      </w:r>
      <w:r w:rsidRPr="0011473C">
        <w:rPr>
          <w:rStyle w:val="ju-005fpara--char"/>
          <w:i/>
          <w:iCs/>
        </w:rPr>
        <w:t xml:space="preserve"> per le indagini preliminari</w:t>
      </w:r>
      <w:r w:rsidRPr="0011473C">
        <w:t xml:space="preserve">), </w:t>
      </w:r>
      <w:r w:rsidRPr="0011473C" w:rsidR="004F0C88">
        <w:t xml:space="preserve">considering that there </w:t>
      </w:r>
      <w:r w:rsidR="00475984">
        <w:t>were</w:t>
      </w:r>
      <w:r w:rsidRPr="0011473C" w:rsidR="004F0C88">
        <w:t xml:space="preserve"> </w:t>
      </w:r>
      <w:bookmarkStart w:name="OLE_LINK1" w:id="2"/>
      <w:bookmarkStart w:name="OLE_LINK2" w:id="3"/>
      <w:r w:rsidRPr="0011473C" w:rsidR="004F0C88">
        <w:t>“</w:t>
      </w:r>
      <w:r w:rsidR="007A481E">
        <w:t xml:space="preserve">substantial </w:t>
      </w:r>
      <w:r w:rsidR="00475984">
        <w:t>indications</w:t>
      </w:r>
      <w:r w:rsidRPr="0011473C" w:rsidR="004F0C88">
        <w:t xml:space="preserve">” </w:t>
      </w:r>
      <w:r w:rsidR="005B66E7">
        <w:t xml:space="preserve">of </w:t>
      </w:r>
      <w:r w:rsidRPr="0011473C" w:rsidR="004F0C88">
        <w:t>the applicant</w:t>
      </w:r>
      <w:r w:rsidR="00BB5349">
        <w:t>’</w:t>
      </w:r>
      <w:r w:rsidR="005B66E7">
        <w:t xml:space="preserve">s </w:t>
      </w:r>
      <w:r w:rsidRPr="0011473C" w:rsidR="005B66E7">
        <w:t>guilt</w:t>
      </w:r>
      <w:bookmarkEnd w:id="2"/>
      <w:bookmarkEnd w:id="3"/>
      <w:r w:rsidRPr="0011473C" w:rsidR="004F0C88">
        <w:t xml:space="preserve">, remanded him in custody. As to the existence of </w:t>
      </w:r>
      <w:r w:rsidR="002B0CF5">
        <w:t>special</w:t>
      </w:r>
      <w:r w:rsidRPr="0011473C" w:rsidR="004F0C88">
        <w:t xml:space="preserve"> requirements (</w:t>
      </w:r>
      <w:r w:rsidRPr="0011473C" w:rsidR="004F0C88">
        <w:rPr>
          <w:i/>
        </w:rPr>
        <w:t>esigenze cautelari</w:t>
      </w:r>
      <w:r w:rsidRPr="0011473C" w:rsidR="004F0C88">
        <w:t xml:space="preserve">) </w:t>
      </w:r>
      <w:r w:rsidRPr="0011473C" w:rsidR="0011473C">
        <w:t>justifying</w:t>
      </w:r>
      <w:r w:rsidRPr="0011473C" w:rsidR="004F0C88">
        <w:t xml:space="preserve"> his detention </w:t>
      </w:r>
      <w:r w:rsidR="00E9395D">
        <w:t>pending trial</w:t>
      </w:r>
      <w:r w:rsidRPr="0011473C" w:rsidR="004F0C88">
        <w:t xml:space="preserve"> under Article 274 of the Code of Criminal Procedure</w:t>
      </w:r>
      <w:r w:rsidRPr="0011473C" w:rsidR="006379FF">
        <w:t xml:space="preserve">, the </w:t>
      </w:r>
      <w:r w:rsidR="00CD3BAC">
        <w:t>preliminary investigations</w:t>
      </w:r>
      <w:r w:rsidRPr="0011473C" w:rsidR="00CD3BAC">
        <w:t xml:space="preserve"> judge</w:t>
      </w:r>
      <w:r w:rsidRPr="0011473C" w:rsidR="006379FF">
        <w:t xml:space="preserve"> </w:t>
      </w:r>
      <w:r w:rsidR="00475984">
        <w:t>observed that</w:t>
      </w:r>
      <w:r w:rsidRPr="0011473C" w:rsidR="006379FF">
        <w:t xml:space="preserve"> </w:t>
      </w:r>
      <w:r w:rsidR="001654A2">
        <w:t>on account</w:t>
      </w:r>
      <w:r w:rsidRPr="0011473C" w:rsidR="006379FF">
        <w:t xml:space="preserve"> of his </w:t>
      </w:r>
      <w:r w:rsidRPr="0011473C" w:rsidR="0011473C">
        <w:t>involvement</w:t>
      </w:r>
      <w:r w:rsidRPr="0011473C" w:rsidR="006379FF">
        <w:t xml:space="preserve"> in a criminal organisation the applicant had contacts</w:t>
      </w:r>
      <w:r w:rsidR="00E9395D">
        <w:t xml:space="preserve"> which</w:t>
      </w:r>
      <w:r w:rsidRPr="0011473C" w:rsidR="006379FF">
        <w:t xml:space="preserve"> might</w:t>
      </w:r>
      <w:r w:rsidR="00E9395D">
        <w:t xml:space="preserve"> enable him to</w:t>
      </w:r>
      <w:r w:rsidR="00DF0612">
        <w:t xml:space="preserve"> re</w:t>
      </w:r>
      <w:r w:rsidRPr="0011473C" w:rsidR="006379FF">
        <w:t xml:space="preserve">offend, abscond, or </w:t>
      </w:r>
      <w:r w:rsidR="00E9395D">
        <w:t>pervert the course of justice</w:t>
      </w:r>
      <w:r w:rsidRPr="0011473C" w:rsidR="006379FF">
        <w:t xml:space="preserve">. Moreover, given that the applicant had also been charged with the offence provided for under Article 416 </w:t>
      </w:r>
      <w:r w:rsidRPr="0011473C" w:rsidR="006379FF">
        <w:rPr>
          <w:i/>
        </w:rPr>
        <w:t>bis</w:t>
      </w:r>
      <w:r w:rsidRPr="0011473C" w:rsidR="006379FF">
        <w:t xml:space="preserve"> of the Criminal Code, the requirements referred to </w:t>
      </w:r>
      <w:r w:rsidR="001654A2">
        <w:t>in</w:t>
      </w:r>
      <w:r w:rsidRPr="0011473C" w:rsidR="006379FF">
        <w:t xml:space="preserve"> Article 274 of the </w:t>
      </w:r>
      <w:r w:rsidRPr="0011473C" w:rsidR="00DF0612">
        <w:t>Code of Criminal Procedure</w:t>
      </w:r>
      <w:r w:rsidRPr="0011473C" w:rsidR="006379FF">
        <w:t xml:space="preserve"> were to be presumed </w:t>
      </w:r>
      <w:r w:rsidR="001654A2">
        <w:t xml:space="preserve">to have been met </w:t>
      </w:r>
      <w:r w:rsidRPr="0011473C" w:rsidR="006379FF">
        <w:t>unless there was proof to the contrary.</w:t>
      </w:r>
    </w:p>
    <w:p w:rsidRPr="0011473C" w:rsidR="00B94749" w:rsidRDefault="006379FF">
      <w:pPr>
        <w:pStyle w:val="JuPara"/>
      </w:pPr>
      <w:r w:rsidRPr="0011473C">
        <w:fldChar w:fldCharType="begin"/>
      </w:r>
      <w:r w:rsidRPr="0011473C">
        <w:instrText xml:space="preserve"> SEQ level0 \*arabic </w:instrText>
      </w:r>
      <w:r w:rsidRPr="0011473C">
        <w:fldChar w:fldCharType="separate"/>
      </w:r>
      <w:r w:rsidR="008B4220">
        <w:rPr>
          <w:noProof/>
        </w:rPr>
        <w:t>10</w:t>
      </w:r>
      <w:r w:rsidRPr="0011473C">
        <w:fldChar w:fldCharType="end"/>
      </w:r>
      <w:r w:rsidRPr="0011473C">
        <w:t>.  </w:t>
      </w:r>
      <w:r w:rsidRPr="0011473C" w:rsidR="000E6CD2">
        <w:t>The applicant appealed against the order of 12 July 1999.</w:t>
      </w:r>
    </w:p>
    <w:p w:rsidRPr="0011473C" w:rsidR="00B94749" w:rsidRDefault="000E6CD2">
      <w:pPr>
        <w:pStyle w:val="JuPara"/>
      </w:pPr>
      <w:r w:rsidRPr="0011473C">
        <w:fldChar w:fldCharType="begin"/>
      </w:r>
      <w:r w:rsidRPr="0011473C">
        <w:instrText xml:space="preserve"> SEQ level0 \*arabic </w:instrText>
      </w:r>
      <w:r w:rsidRPr="0011473C">
        <w:fldChar w:fldCharType="separate"/>
      </w:r>
      <w:r w:rsidR="008B4220">
        <w:rPr>
          <w:noProof/>
        </w:rPr>
        <w:t>11</w:t>
      </w:r>
      <w:r w:rsidRPr="0011473C">
        <w:fldChar w:fldCharType="end"/>
      </w:r>
      <w:r w:rsidR="00E9395D">
        <w:t>.  </w:t>
      </w:r>
      <w:r w:rsidR="00DF0612">
        <w:t>By</w:t>
      </w:r>
      <w:r w:rsidR="00E9395D">
        <w:t xml:space="preserve"> an order of 2 August 1999</w:t>
      </w:r>
      <w:r w:rsidR="00DF0612">
        <w:t>,</w:t>
      </w:r>
      <w:r w:rsidRPr="0011473C">
        <w:t xml:space="preserve"> the division of the Palermo District Court </w:t>
      </w:r>
      <w:r w:rsidRPr="0011473C" w:rsidR="009D7A87">
        <w:t>responsible for reviewing pre</w:t>
      </w:r>
      <w:r w:rsidR="00E9395D">
        <w:t>cautionary</w:t>
      </w:r>
      <w:r w:rsidRPr="0011473C" w:rsidR="009D7A87">
        <w:t xml:space="preserve"> measures (</w:t>
      </w:r>
      <w:r w:rsidR="00FD0A1E">
        <w:t>“</w:t>
      </w:r>
      <w:r w:rsidRPr="0011473C" w:rsidR="009D7A87">
        <w:t xml:space="preserve">the </w:t>
      </w:r>
      <w:r w:rsidRPr="0011473C">
        <w:t>Specialised Division”</w:t>
      </w:r>
      <w:r w:rsidRPr="0011473C" w:rsidR="009D7A87">
        <w:t xml:space="preserve">), finding that the </w:t>
      </w:r>
      <w:r w:rsidR="00CD3BAC">
        <w:t>preliminary investigations</w:t>
      </w:r>
      <w:r w:rsidRPr="0011473C" w:rsidR="00CD3BAC">
        <w:t xml:space="preserve"> judge </w:t>
      </w:r>
      <w:r w:rsidRPr="0011473C" w:rsidR="009D7A87">
        <w:t xml:space="preserve">had not correctly assessed the </w:t>
      </w:r>
      <w:r w:rsidR="00E9395D">
        <w:t>evidence</w:t>
      </w:r>
      <w:r w:rsidRPr="0011473C" w:rsidR="009D7A87">
        <w:t xml:space="preserve"> of</w:t>
      </w:r>
      <w:r w:rsidR="00E9395D">
        <w:t xml:space="preserve"> the applicant</w:t>
      </w:r>
      <w:r w:rsidR="00BB5349">
        <w:t>’</w:t>
      </w:r>
      <w:r w:rsidR="00E9395D">
        <w:t>s guilt</w:t>
      </w:r>
      <w:r w:rsidRPr="0011473C" w:rsidR="009D7A87">
        <w:t>, set aside the order of 12</w:t>
      </w:r>
      <w:r w:rsidR="00D77899">
        <w:t xml:space="preserve"> </w:t>
      </w:r>
      <w:r w:rsidRPr="0011473C" w:rsidR="009D7A87">
        <w:t>July 1999 and ordered the applicant</w:t>
      </w:r>
      <w:r w:rsidR="00BB5349">
        <w:t>’</w:t>
      </w:r>
      <w:r w:rsidRPr="0011473C" w:rsidR="009D7A87">
        <w:t>s release.</w:t>
      </w:r>
    </w:p>
    <w:p w:rsidRPr="0011473C" w:rsidR="009D7A87" w:rsidRDefault="009D7A87">
      <w:pPr>
        <w:pStyle w:val="JuPara"/>
      </w:pPr>
      <w:r w:rsidRPr="0011473C">
        <w:fldChar w:fldCharType="begin"/>
      </w:r>
      <w:r w:rsidRPr="0011473C">
        <w:instrText xml:space="preserve"> SEQ level0 \*arabic </w:instrText>
      </w:r>
      <w:r w:rsidRPr="0011473C">
        <w:fldChar w:fldCharType="separate"/>
      </w:r>
      <w:r w:rsidR="008B4220">
        <w:rPr>
          <w:noProof/>
        </w:rPr>
        <w:t>12</w:t>
      </w:r>
      <w:r w:rsidRPr="0011473C">
        <w:fldChar w:fldCharType="end"/>
      </w:r>
      <w:r w:rsidRPr="0011473C">
        <w:t>.  The public prosecutor</w:t>
      </w:r>
      <w:r w:rsidR="00BB5349">
        <w:t>’</w:t>
      </w:r>
      <w:r w:rsidRPr="0011473C">
        <w:t>s office appealed on points of law. It alleged in particular that the Specialised Division ha</w:t>
      </w:r>
      <w:r w:rsidR="001654A2">
        <w:t>d</w:t>
      </w:r>
      <w:r w:rsidRPr="0011473C">
        <w:t xml:space="preserve"> given the reasons for its decision in an illogical and contradictory manner.</w:t>
      </w:r>
    </w:p>
    <w:p w:rsidRPr="0011473C" w:rsidR="009D7A87" w:rsidRDefault="009D7A87">
      <w:pPr>
        <w:pStyle w:val="JuPara"/>
      </w:pPr>
      <w:r w:rsidRPr="0011473C">
        <w:fldChar w:fldCharType="begin"/>
      </w:r>
      <w:r w:rsidRPr="0011473C">
        <w:instrText xml:space="preserve"> SEQ level0 \*arabic </w:instrText>
      </w:r>
      <w:r w:rsidRPr="0011473C">
        <w:fldChar w:fldCharType="separate"/>
      </w:r>
      <w:r w:rsidR="008B4220">
        <w:rPr>
          <w:noProof/>
        </w:rPr>
        <w:t>13</w:t>
      </w:r>
      <w:r w:rsidRPr="0011473C">
        <w:fldChar w:fldCharType="end"/>
      </w:r>
      <w:r w:rsidRPr="0011473C">
        <w:t xml:space="preserve">.  The Court of Cassation </w:t>
      </w:r>
      <w:r w:rsidR="00E9395D">
        <w:t xml:space="preserve">set the case down for </w:t>
      </w:r>
      <w:r w:rsidR="003464D7">
        <w:t xml:space="preserve">a </w:t>
      </w:r>
      <w:r w:rsidR="00E9395D">
        <w:t>hearing on</w:t>
      </w:r>
      <w:r w:rsidRPr="0011473C">
        <w:t xml:space="preserve"> 15</w:t>
      </w:r>
      <w:r w:rsidR="00E25F66">
        <w:t> </w:t>
      </w:r>
      <w:r w:rsidRPr="0011473C">
        <w:t>February 2000. No summons to appear was served on the applicant or his lawyer.</w:t>
      </w:r>
    </w:p>
    <w:p w:rsidRPr="0011473C" w:rsidR="009D7A87" w:rsidRDefault="009D7A87">
      <w:pPr>
        <w:pStyle w:val="JuPara"/>
      </w:pPr>
      <w:r w:rsidRPr="0011473C">
        <w:fldChar w:fldCharType="begin"/>
      </w:r>
      <w:r w:rsidRPr="0011473C">
        <w:instrText xml:space="preserve"> SEQ level0 \*arabic </w:instrText>
      </w:r>
      <w:r w:rsidRPr="0011473C">
        <w:fldChar w:fldCharType="separate"/>
      </w:r>
      <w:r w:rsidR="008B4220">
        <w:rPr>
          <w:noProof/>
        </w:rPr>
        <w:t>14</w:t>
      </w:r>
      <w:r w:rsidRPr="0011473C">
        <w:fldChar w:fldCharType="end"/>
      </w:r>
      <w:r w:rsidRPr="0011473C">
        <w:t>.  The hearing was held on the scheduled date.</w:t>
      </w:r>
    </w:p>
    <w:p w:rsidRPr="0011473C" w:rsidR="009D7A87" w:rsidRDefault="009D7A87">
      <w:pPr>
        <w:pStyle w:val="JuPara"/>
      </w:pPr>
      <w:r w:rsidRPr="0011473C">
        <w:fldChar w:fldCharType="begin"/>
      </w:r>
      <w:r w:rsidRPr="0011473C">
        <w:instrText xml:space="preserve"> SEQ level0 \*arabic </w:instrText>
      </w:r>
      <w:r w:rsidRPr="0011473C">
        <w:fldChar w:fldCharType="separate"/>
      </w:r>
      <w:r w:rsidR="008B4220">
        <w:rPr>
          <w:noProof/>
        </w:rPr>
        <w:t>15</w:t>
      </w:r>
      <w:r w:rsidRPr="0011473C">
        <w:fldChar w:fldCharType="end"/>
      </w:r>
      <w:r w:rsidRPr="0011473C">
        <w:t>.  </w:t>
      </w:r>
      <w:r w:rsidRPr="0011473C" w:rsidR="00F46FB1">
        <w:t>In</w:t>
      </w:r>
      <w:r w:rsidR="00AE74E8">
        <w:t xml:space="preserve"> a judgment of 15 February 2000</w:t>
      </w:r>
      <w:r w:rsidR="00475984">
        <w:t>,</w:t>
      </w:r>
      <w:r w:rsidRPr="0011473C" w:rsidR="00F46FB1">
        <w:t xml:space="preserve"> the Court of Cassation qua</w:t>
      </w:r>
      <w:r w:rsidR="001654A2">
        <w:t>shed the order of 2 August 1999</w:t>
      </w:r>
      <w:r w:rsidR="00AE74E8">
        <w:t>,</w:t>
      </w:r>
      <w:r w:rsidRPr="0011473C" w:rsidR="00F46FB1">
        <w:t xml:space="preserve"> finding it to have been illogical and contradictory. It remitted the case to the Specialised Division, indicating the legal principles </w:t>
      </w:r>
      <w:r w:rsidR="0032587C">
        <w:t>to which</w:t>
      </w:r>
      <w:r w:rsidRPr="0011473C" w:rsidR="00F46FB1">
        <w:t xml:space="preserve"> th</w:t>
      </w:r>
      <w:r w:rsidR="00E25F66">
        <w:t>e</w:t>
      </w:r>
      <w:r w:rsidRPr="0011473C" w:rsidR="00F46FB1">
        <w:t xml:space="preserve"> </w:t>
      </w:r>
      <w:r w:rsidR="001654A2">
        <w:t>D</w:t>
      </w:r>
      <w:r w:rsidRPr="0011473C" w:rsidR="00F46FB1">
        <w:t>ivision</w:t>
      </w:r>
      <w:r w:rsidR="0032587C">
        <w:t xml:space="preserve"> should adhere</w:t>
      </w:r>
      <w:r w:rsidRPr="0011473C" w:rsidR="00F46FB1">
        <w:t>.</w:t>
      </w:r>
    </w:p>
    <w:p w:rsidRPr="0011473C" w:rsidR="00F46FB1" w:rsidRDefault="00F46FB1">
      <w:pPr>
        <w:pStyle w:val="JuPara"/>
      </w:pPr>
      <w:r w:rsidRPr="0011473C">
        <w:fldChar w:fldCharType="begin"/>
      </w:r>
      <w:r w:rsidRPr="0011473C">
        <w:instrText xml:space="preserve"> SEQ level0 \*arabic </w:instrText>
      </w:r>
      <w:r w:rsidRPr="0011473C">
        <w:fldChar w:fldCharType="separate"/>
      </w:r>
      <w:r w:rsidR="008B4220">
        <w:rPr>
          <w:noProof/>
        </w:rPr>
        <w:t>16</w:t>
      </w:r>
      <w:r w:rsidRPr="0011473C">
        <w:fldChar w:fldCharType="end"/>
      </w:r>
      <w:r w:rsidRPr="0011473C">
        <w:t xml:space="preserve">.  The Specialised Division </w:t>
      </w:r>
      <w:r w:rsidR="0032587C">
        <w:t>set the case down for</w:t>
      </w:r>
      <w:r w:rsidRPr="0011473C">
        <w:t xml:space="preserve"> </w:t>
      </w:r>
      <w:r w:rsidR="001654A2">
        <w:t>a</w:t>
      </w:r>
      <w:r w:rsidRPr="0011473C">
        <w:t xml:space="preserve"> hearing </w:t>
      </w:r>
      <w:r w:rsidR="0032587C">
        <w:t>on</w:t>
      </w:r>
      <w:r w:rsidRPr="0011473C">
        <w:t xml:space="preserve"> 4 April 2000. On that date Mr Oddo sought leave to produce </w:t>
      </w:r>
      <w:r w:rsidR="003D34BC">
        <w:t>additional</w:t>
      </w:r>
      <w:r w:rsidRPr="0011473C">
        <w:t xml:space="preserve"> evidence. </w:t>
      </w:r>
      <w:r w:rsidR="0032587C">
        <w:t>H</w:t>
      </w:r>
      <w:r w:rsidRPr="0011473C">
        <w:t xml:space="preserve">e </w:t>
      </w:r>
      <w:r w:rsidR="0032587C">
        <w:t xml:space="preserve">also </w:t>
      </w:r>
      <w:r w:rsidRPr="0011473C">
        <w:t xml:space="preserve">argued that the judgment of 15 February 2000 </w:t>
      </w:r>
      <w:r w:rsidR="0032587C">
        <w:t>was</w:t>
      </w:r>
      <w:r w:rsidRPr="0011473C">
        <w:t xml:space="preserve"> null and void as he had not been informed of the date of the hearing. He alleged that Article</w:t>
      </w:r>
      <w:r w:rsidR="00DF0612">
        <w:t> </w:t>
      </w:r>
      <w:r w:rsidRPr="0011473C">
        <w:t xml:space="preserve">627 § 4 of the </w:t>
      </w:r>
      <w:r w:rsidRPr="0011473C" w:rsidR="00DF0612">
        <w:t>Code of Criminal Procedure</w:t>
      </w:r>
      <w:r w:rsidRPr="0011473C">
        <w:t xml:space="preserve">, which provided that grounds of nullity that had not been examined </w:t>
      </w:r>
      <w:r w:rsidRPr="0011473C" w:rsidR="00DF0612">
        <w:t xml:space="preserve">previously </w:t>
      </w:r>
      <w:r w:rsidRPr="0011473C">
        <w:t xml:space="preserve">could not be submitted before the court to which the case </w:t>
      </w:r>
      <w:r w:rsidRPr="0011473C" w:rsidR="00883DF6">
        <w:t>wa</w:t>
      </w:r>
      <w:r w:rsidRPr="0011473C">
        <w:t xml:space="preserve">s remitted, breached the rights of the defence. </w:t>
      </w:r>
      <w:r w:rsidRPr="0011473C" w:rsidR="00883DF6">
        <w:t xml:space="preserve">Consequently, he requested that the </w:t>
      </w:r>
      <w:r w:rsidR="0032587C">
        <w:t>provision</w:t>
      </w:r>
      <w:r w:rsidRPr="0011473C" w:rsidR="00883DF6">
        <w:t xml:space="preserve"> in question be waived.</w:t>
      </w:r>
    </w:p>
    <w:p w:rsidRPr="0011473C" w:rsidR="00B94749" w:rsidRDefault="00883DF6">
      <w:pPr>
        <w:pStyle w:val="JuPara"/>
      </w:pPr>
      <w:r w:rsidRPr="0011473C">
        <w:fldChar w:fldCharType="begin"/>
      </w:r>
      <w:r w:rsidRPr="0011473C">
        <w:instrText xml:space="preserve"> SEQ level0 \*arabic </w:instrText>
      </w:r>
      <w:r w:rsidRPr="0011473C">
        <w:fldChar w:fldCharType="separate"/>
      </w:r>
      <w:r w:rsidR="008B4220">
        <w:rPr>
          <w:noProof/>
        </w:rPr>
        <w:t>17</w:t>
      </w:r>
      <w:r w:rsidRPr="0011473C">
        <w:fldChar w:fldCharType="end"/>
      </w:r>
      <w:r w:rsidRPr="0011473C">
        <w:t>.  The Specialised Division agreed to the</w:t>
      </w:r>
      <w:r w:rsidR="0032587C">
        <w:t xml:space="preserve"> </w:t>
      </w:r>
      <w:r w:rsidR="000604F5">
        <w:t>inclusion</w:t>
      </w:r>
      <w:r w:rsidR="0032587C">
        <w:t xml:space="preserve"> of </w:t>
      </w:r>
      <w:r w:rsidR="000604F5">
        <w:t xml:space="preserve">the </w:t>
      </w:r>
      <w:r w:rsidRPr="0011473C">
        <w:t xml:space="preserve">new evidence </w:t>
      </w:r>
      <w:r w:rsidR="000604F5">
        <w:t xml:space="preserve">requested </w:t>
      </w:r>
      <w:r w:rsidRPr="0011473C">
        <w:t xml:space="preserve">by Mr Oddo. Relying on Article 627 § 4 of the </w:t>
      </w:r>
      <w:r w:rsidRPr="0011473C" w:rsidR="00DF0612">
        <w:t>Code of Criminal Procedure</w:t>
      </w:r>
      <w:r w:rsidRPr="0011473C">
        <w:t xml:space="preserve">, it dismissed the objection that the judgment of 15 February 2000 </w:t>
      </w:r>
      <w:r w:rsidR="003D34BC">
        <w:t>was</w:t>
      </w:r>
      <w:r w:rsidRPr="0011473C">
        <w:t xml:space="preserve"> null and void.</w:t>
      </w:r>
    </w:p>
    <w:p w:rsidRPr="0011473C" w:rsidR="00883DF6" w:rsidRDefault="00883DF6">
      <w:pPr>
        <w:pStyle w:val="JuPara"/>
      </w:pPr>
      <w:r w:rsidRPr="0011473C">
        <w:fldChar w:fldCharType="begin"/>
      </w:r>
      <w:r w:rsidRPr="0011473C">
        <w:instrText xml:space="preserve"> SEQ level0 \*arabic </w:instrText>
      </w:r>
      <w:r w:rsidRPr="0011473C">
        <w:fldChar w:fldCharType="separate"/>
      </w:r>
      <w:r w:rsidR="008B4220">
        <w:rPr>
          <w:noProof/>
        </w:rPr>
        <w:t>18</w:t>
      </w:r>
      <w:r w:rsidRPr="0011473C">
        <w:fldChar w:fldCharType="end"/>
      </w:r>
      <w:r w:rsidRPr="0011473C">
        <w:t xml:space="preserve">.  On 13 </w:t>
      </w:r>
      <w:r w:rsidR="00DF0612">
        <w:t>April</w:t>
      </w:r>
      <w:r w:rsidRPr="0011473C">
        <w:t xml:space="preserve"> 2000 the Specialised Division </w:t>
      </w:r>
      <w:r w:rsidRPr="0011473C" w:rsidR="008D4A70">
        <w:t xml:space="preserve">upheld the </w:t>
      </w:r>
      <w:r w:rsidR="00CD3BAC">
        <w:t>preliminary investigations</w:t>
      </w:r>
      <w:r w:rsidRPr="0011473C" w:rsidR="00CD3BAC">
        <w:t xml:space="preserve"> judge</w:t>
      </w:r>
      <w:r w:rsidR="00BB5349">
        <w:t>’</w:t>
      </w:r>
      <w:r w:rsidRPr="0011473C" w:rsidR="008D4A70">
        <w:t>s order of 12 July 1999 in respect of two of the charges and set aside the remain</w:t>
      </w:r>
      <w:r w:rsidR="003D34BC">
        <w:t>ing provisions</w:t>
      </w:r>
      <w:r w:rsidRPr="0011473C" w:rsidR="008D4A70">
        <w:t>.</w:t>
      </w:r>
    </w:p>
    <w:p w:rsidRPr="0011473C" w:rsidR="008D4A70" w:rsidRDefault="008D4A70">
      <w:pPr>
        <w:pStyle w:val="JuPara"/>
      </w:pPr>
      <w:r w:rsidRPr="0011473C">
        <w:fldChar w:fldCharType="begin"/>
      </w:r>
      <w:r w:rsidRPr="0011473C">
        <w:instrText xml:space="preserve"> SEQ level0 \*arabic </w:instrText>
      </w:r>
      <w:r w:rsidRPr="0011473C">
        <w:fldChar w:fldCharType="separate"/>
      </w:r>
      <w:r w:rsidR="008B4220">
        <w:rPr>
          <w:noProof/>
        </w:rPr>
        <w:t>19</w:t>
      </w:r>
      <w:r w:rsidRPr="0011473C">
        <w:fldChar w:fldCharType="end"/>
      </w:r>
      <w:r w:rsidRPr="0011473C">
        <w:t>.  The applicant was then arrested and remanded in custody.</w:t>
      </w:r>
    </w:p>
    <w:p w:rsidRPr="0011473C" w:rsidR="008D4A70" w:rsidRDefault="00193ABC">
      <w:pPr>
        <w:pStyle w:val="JuPara"/>
      </w:pPr>
      <w:r w:rsidRPr="0011473C">
        <w:fldChar w:fldCharType="begin"/>
      </w:r>
      <w:r w:rsidRPr="0011473C">
        <w:instrText xml:space="preserve"> SEQ level0 \*arabic </w:instrText>
      </w:r>
      <w:r w:rsidRPr="0011473C">
        <w:fldChar w:fldCharType="separate"/>
      </w:r>
      <w:r w:rsidR="008B4220">
        <w:rPr>
          <w:noProof/>
        </w:rPr>
        <w:t>20</w:t>
      </w:r>
      <w:r w:rsidRPr="0011473C">
        <w:fldChar w:fldCharType="end"/>
      </w:r>
      <w:r w:rsidRPr="0011473C">
        <w:t>.  On 15 May 2000 the applicant</w:t>
      </w:r>
      <w:r w:rsidRPr="0011473C">
        <w:rPr>
          <w:szCs w:val="24"/>
        </w:rPr>
        <w:t xml:space="preserve"> appealed to the Court of Cassation, again claiming that the judgment of 15 February 2000 was null and void, and alleging that </w:t>
      </w:r>
      <w:r w:rsidRPr="0011473C">
        <w:t xml:space="preserve">Article 627 § 4 of the </w:t>
      </w:r>
      <w:r w:rsidRPr="0011473C" w:rsidR="00DF0612">
        <w:t>Code of Criminal Procedure</w:t>
      </w:r>
      <w:r w:rsidRPr="0011473C">
        <w:t xml:space="preserve"> was </w:t>
      </w:r>
      <w:r w:rsidRPr="0011473C" w:rsidR="0011473C">
        <w:t>unconstitutional</w:t>
      </w:r>
      <w:r w:rsidRPr="0011473C">
        <w:t xml:space="preserve"> and breached </w:t>
      </w:r>
      <w:r w:rsidR="00825A00">
        <w:t>the</w:t>
      </w:r>
      <w:r w:rsidRPr="0011473C">
        <w:t xml:space="preserve"> rights</w:t>
      </w:r>
      <w:r w:rsidR="00825A00">
        <w:t xml:space="preserve"> of the defence</w:t>
      </w:r>
      <w:r w:rsidRPr="0011473C">
        <w:t>.</w:t>
      </w:r>
    </w:p>
    <w:p w:rsidRPr="0011473C" w:rsidR="00193ABC" w:rsidRDefault="00193ABC">
      <w:pPr>
        <w:pStyle w:val="JuPara"/>
        <w:rPr>
          <w:szCs w:val="24"/>
        </w:rPr>
      </w:pPr>
      <w:r w:rsidRPr="0011473C">
        <w:fldChar w:fldCharType="begin"/>
      </w:r>
      <w:r w:rsidRPr="0011473C">
        <w:instrText xml:space="preserve"> SEQ level0 \*arabic </w:instrText>
      </w:r>
      <w:r w:rsidRPr="0011473C">
        <w:fldChar w:fldCharType="separate"/>
      </w:r>
      <w:r w:rsidR="008B4220">
        <w:rPr>
          <w:noProof/>
        </w:rPr>
        <w:t>21</w:t>
      </w:r>
      <w:r w:rsidRPr="0011473C">
        <w:fldChar w:fldCharType="end"/>
      </w:r>
      <w:r w:rsidRPr="0011473C">
        <w:t>.  In a judgment of 11 December 2000</w:t>
      </w:r>
      <w:r w:rsidR="00DF0612">
        <w:t>,</w:t>
      </w:r>
      <w:r w:rsidRPr="0011473C">
        <w:t xml:space="preserve"> the Court of Cassation, considering that the decisi</w:t>
      </w:r>
      <w:r w:rsidR="00825A00">
        <w:t>on appealed against had been</w:t>
      </w:r>
      <w:r w:rsidRPr="0011473C">
        <w:t xml:space="preserve"> logical</w:t>
      </w:r>
      <w:r w:rsidR="00825A00">
        <w:t>ly</w:t>
      </w:r>
      <w:r w:rsidRPr="0011473C">
        <w:t xml:space="preserve"> and </w:t>
      </w:r>
      <w:r w:rsidR="00825A00">
        <w:t>properly reasoned</w:t>
      </w:r>
      <w:r w:rsidRPr="0011473C">
        <w:t>, dismissed the applicant</w:t>
      </w:r>
      <w:r w:rsidR="00BB5349">
        <w:t>’</w:t>
      </w:r>
      <w:r w:rsidRPr="0011473C">
        <w:t xml:space="preserve">s appeal on points of law. It considered manifestly ill-founded the objection that Article 627 § 4 of the </w:t>
      </w:r>
      <w:r w:rsidRPr="0011473C" w:rsidR="00DF0612">
        <w:t>Code of Criminal Procedure</w:t>
      </w:r>
      <w:r w:rsidRPr="0011473C">
        <w:t xml:space="preserve"> was </w:t>
      </w:r>
      <w:r w:rsidRPr="0011473C" w:rsidR="0011473C">
        <w:t>unconstitutional</w:t>
      </w:r>
      <w:r w:rsidRPr="0011473C">
        <w:t>.</w:t>
      </w:r>
    </w:p>
    <w:p w:rsidRPr="0011473C" w:rsidR="00CD49A7" w:rsidRDefault="00CD49A7">
      <w:pPr>
        <w:pStyle w:val="JuHA"/>
      </w:pPr>
      <w:r w:rsidRPr="0011473C">
        <w:t>B.  </w:t>
      </w:r>
      <w:r w:rsidR="00E04696">
        <w:t>T</w:t>
      </w:r>
      <w:r w:rsidRPr="0011473C" w:rsidR="00792800">
        <w:t>he applicant</w:t>
      </w:r>
      <w:r w:rsidR="00BB5349">
        <w:t>’</w:t>
      </w:r>
      <w:r w:rsidR="00E04696">
        <w:t>s trial</w:t>
      </w:r>
    </w:p>
    <w:p w:rsidRPr="0011473C" w:rsidR="00CD49A7" w:rsidRDefault="009152DD">
      <w:pPr>
        <w:pStyle w:val="JuPara"/>
      </w:pPr>
      <w:r w:rsidRPr="0011473C">
        <w:fldChar w:fldCharType="begin"/>
      </w:r>
      <w:r w:rsidRPr="0011473C">
        <w:instrText xml:space="preserve"> SEQ level0 \*arabic </w:instrText>
      </w:r>
      <w:r w:rsidRPr="0011473C">
        <w:fldChar w:fldCharType="separate"/>
      </w:r>
      <w:r w:rsidR="008B4220">
        <w:rPr>
          <w:noProof/>
        </w:rPr>
        <w:t>22</w:t>
      </w:r>
      <w:r w:rsidRPr="0011473C">
        <w:fldChar w:fldCharType="end"/>
      </w:r>
      <w:r w:rsidRPr="0011473C" w:rsidR="00CD49A7">
        <w:t>.  </w:t>
      </w:r>
      <w:r w:rsidRPr="0011473C" w:rsidR="00792800">
        <w:t xml:space="preserve">In the meantime, in a judgment of 20 July 2000, the </w:t>
      </w:r>
      <w:smartTag w:uri="urn:schemas-microsoft-com:office:smarttags" w:element="place">
        <w:smartTag w:uri="urn:schemas-microsoft-com:office:smarttags" w:element="City">
          <w:r w:rsidR="00B04356" w:rsidRPr="0011473C">
            <w:t>Palermo</w:t>
          </w:r>
        </w:smartTag>
      </w:smartTag>
      <w:r w:rsidRPr="0011473C" w:rsidR="00B04356">
        <w:t xml:space="preserve"> preliminary hearings judge </w:t>
      </w:r>
      <w:r w:rsidRPr="0011473C" w:rsidR="00427758">
        <w:t>(</w:t>
      </w:r>
      <w:r w:rsidRPr="0011473C" w:rsidR="00427758">
        <w:rPr>
          <w:i/>
        </w:rPr>
        <w:t>giudice dell</w:t>
      </w:r>
      <w:r w:rsidR="00BB5349">
        <w:rPr>
          <w:i/>
        </w:rPr>
        <w:t>’</w:t>
      </w:r>
      <w:r w:rsidRPr="0011473C" w:rsidR="00427758">
        <w:rPr>
          <w:i/>
        </w:rPr>
        <w:t>udienza preliminare</w:t>
      </w:r>
      <w:r w:rsidRPr="0011473C" w:rsidR="00427758">
        <w:t>)</w:t>
      </w:r>
      <w:r w:rsidRPr="0011473C" w:rsidR="00427758">
        <w:rPr>
          <w:i/>
        </w:rPr>
        <w:t xml:space="preserve"> </w:t>
      </w:r>
      <w:r w:rsidRPr="0011473C" w:rsidR="00B04356">
        <w:t>had convicted the applicant. The length of the sentence is not known.</w:t>
      </w:r>
    </w:p>
    <w:p w:rsidRPr="0011473C" w:rsidR="00B04356" w:rsidRDefault="00B04356">
      <w:pPr>
        <w:pStyle w:val="JuPara"/>
      </w:pPr>
      <w:r w:rsidRPr="0011473C">
        <w:fldChar w:fldCharType="begin"/>
      </w:r>
      <w:r w:rsidRPr="0011473C">
        <w:instrText xml:space="preserve"> SEQ level0 \*arabic </w:instrText>
      </w:r>
      <w:r w:rsidRPr="0011473C">
        <w:fldChar w:fldCharType="separate"/>
      </w:r>
      <w:r w:rsidR="008B4220">
        <w:rPr>
          <w:noProof/>
        </w:rPr>
        <w:t>23</w:t>
      </w:r>
      <w:r w:rsidRPr="0011473C">
        <w:fldChar w:fldCharType="end"/>
      </w:r>
      <w:r w:rsidRPr="0011473C">
        <w:t>.  The applicant lodged an appeal.</w:t>
      </w:r>
    </w:p>
    <w:p w:rsidRPr="0011473C" w:rsidR="00B04356" w:rsidRDefault="00B04356">
      <w:pPr>
        <w:pStyle w:val="JuPara"/>
      </w:pPr>
      <w:r w:rsidRPr="0011473C">
        <w:fldChar w:fldCharType="begin"/>
      </w:r>
      <w:r w:rsidRPr="0011473C">
        <w:instrText xml:space="preserve"> SEQ level0 \*arabic </w:instrText>
      </w:r>
      <w:r w:rsidRPr="0011473C">
        <w:fldChar w:fldCharType="separate"/>
      </w:r>
      <w:r w:rsidR="008B4220">
        <w:rPr>
          <w:noProof/>
        </w:rPr>
        <w:t>24</w:t>
      </w:r>
      <w:r w:rsidRPr="0011473C">
        <w:fldChar w:fldCharType="end"/>
      </w:r>
      <w:r w:rsidRPr="0011473C">
        <w:t>.  In a judgment of 17 May 2001</w:t>
      </w:r>
      <w:r w:rsidR="00DF0612">
        <w:t>,</w:t>
      </w:r>
      <w:r w:rsidRPr="0011473C">
        <w:t xml:space="preserve"> the Palermo Court of Appeal</w:t>
      </w:r>
      <w:r w:rsidRPr="0011473C" w:rsidR="00427758">
        <w:t xml:space="preserve"> acquitted the applicant on the ground that he had not committed the offences with which he had been charged (</w:t>
      </w:r>
      <w:r w:rsidRPr="0011473C" w:rsidR="00427758">
        <w:rPr>
          <w:i/>
        </w:rPr>
        <w:t>per non aver commesso il fatto</w:t>
      </w:r>
      <w:r w:rsidRPr="0011473C" w:rsidR="00427758">
        <w:t>).</w:t>
      </w:r>
    </w:p>
    <w:p w:rsidRPr="0011473C" w:rsidR="00CD49A7" w:rsidRDefault="00427758">
      <w:pPr>
        <w:pStyle w:val="JuPara"/>
      </w:pPr>
      <w:r w:rsidRPr="0011473C">
        <w:fldChar w:fldCharType="begin"/>
      </w:r>
      <w:r w:rsidRPr="0011473C">
        <w:instrText xml:space="preserve"> SEQ level0 \*arabic </w:instrText>
      </w:r>
      <w:r w:rsidRPr="0011473C">
        <w:fldChar w:fldCharType="separate"/>
      </w:r>
      <w:r w:rsidR="008B4220">
        <w:rPr>
          <w:noProof/>
        </w:rPr>
        <w:t>25</w:t>
      </w:r>
      <w:r w:rsidRPr="0011473C">
        <w:fldChar w:fldCharType="end"/>
      </w:r>
      <w:r w:rsidRPr="0011473C">
        <w:t xml:space="preserve">.  The </w:t>
      </w:r>
      <w:r w:rsidR="001B262B">
        <w:t>p</w:t>
      </w:r>
      <w:r w:rsidR="00E04696">
        <w:t xml:space="preserve">ublic </w:t>
      </w:r>
      <w:r w:rsidR="001B262B">
        <w:t>p</w:t>
      </w:r>
      <w:r w:rsidR="00E04696">
        <w:t xml:space="preserve">rosecutor </w:t>
      </w:r>
      <w:r w:rsidRPr="0011473C">
        <w:t>at the Palermo Court of Appeal lodged an appeal on points of law, which was dismissed in a judgment of 23</w:t>
      </w:r>
      <w:r w:rsidR="001B262B">
        <w:t xml:space="preserve"> </w:t>
      </w:r>
      <w:r w:rsidRPr="0011473C">
        <w:t>May 2002. The applicant</w:t>
      </w:r>
      <w:r w:rsidR="00BB5349">
        <w:t>’</w:t>
      </w:r>
      <w:r w:rsidRPr="0011473C">
        <w:t>s acquittal thus became final.</w:t>
      </w:r>
    </w:p>
    <w:p w:rsidRPr="0011473C" w:rsidR="00CD49A7" w:rsidRDefault="00CD49A7">
      <w:pPr>
        <w:pStyle w:val="JuHHead"/>
      </w:pPr>
      <w:r w:rsidRPr="0011473C">
        <w:t>THE LAW</w:t>
      </w:r>
    </w:p>
    <w:p w:rsidRPr="0011473C" w:rsidR="00CD49A7" w:rsidRDefault="002F1CFA">
      <w:pPr>
        <w:pStyle w:val="JuHIRoman"/>
      </w:pPr>
      <w:r w:rsidRPr="0011473C">
        <w:t>I</w:t>
      </w:r>
      <w:r w:rsidRPr="0011473C" w:rsidR="00CD49A7">
        <w:t xml:space="preserve">.  ALLEGED VIOLATION OF ARTICLE </w:t>
      </w:r>
      <w:r w:rsidRPr="0011473C" w:rsidR="00561AB6">
        <w:t>5 § 4</w:t>
      </w:r>
      <w:r w:rsidRPr="0011473C" w:rsidR="00CD49A7">
        <w:t xml:space="preserve"> OF THE CONVENTION</w:t>
      </w:r>
    </w:p>
    <w:p w:rsidRPr="0011473C" w:rsidR="00561AB6" w:rsidP="00561AB6" w:rsidRDefault="00561AB6">
      <w:pPr>
        <w:pStyle w:val="JuPara"/>
      </w:pPr>
      <w:r w:rsidRPr="0011473C">
        <w:fldChar w:fldCharType="begin"/>
      </w:r>
      <w:r w:rsidRPr="0011473C">
        <w:instrText xml:space="preserve"> SEQ level0 \*arabic </w:instrText>
      </w:r>
      <w:r w:rsidRPr="0011473C">
        <w:fldChar w:fldCharType="separate"/>
      </w:r>
      <w:r w:rsidR="008B4220">
        <w:rPr>
          <w:noProof/>
        </w:rPr>
        <w:t>26</w:t>
      </w:r>
      <w:r w:rsidRPr="0011473C">
        <w:fldChar w:fldCharType="end"/>
      </w:r>
      <w:r w:rsidRPr="0011473C">
        <w:t xml:space="preserve">.  The applicant complained </w:t>
      </w:r>
      <w:r w:rsidR="0037641D">
        <w:t>that</w:t>
      </w:r>
      <w:r w:rsidRPr="0011473C">
        <w:t xml:space="preserve"> the proceedings </w:t>
      </w:r>
      <w:r w:rsidR="0037641D">
        <w:t>for a</w:t>
      </w:r>
      <w:r w:rsidRPr="0011473C">
        <w:t xml:space="preserve"> review of</w:t>
      </w:r>
      <w:r w:rsidR="0037641D">
        <w:t xml:space="preserve"> the lawfulness of</w:t>
      </w:r>
      <w:r w:rsidRPr="0011473C">
        <w:t xml:space="preserve"> his detention</w:t>
      </w:r>
      <w:r w:rsidR="0037641D">
        <w:t xml:space="preserve"> had been unfair</w:t>
      </w:r>
      <w:r w:rsidRPr="0011473C">
        <w:t xml:space="preserve">. He alleged that he had not been informed of the date of </w:t>
      </w:r>
      <w:r w:rsidR="0037641D">
        <w:t>the</w:t>
      </w:r>
      <w:r w:rsidRPr="0011473C">
        <w:t xml:space="preserve"> hearing before the Court of Cassation and complained about the dismissal of his applications for the judgment delivered by that court on 15 February 2000 to be set aside. He relied on Article 5 § 3, Article 6 §</w:t>
      </w:r>
      <w:r w:rsidR="0037641D">
        <w:t>§</w:t>
      </w:r>
      <w:r w:rsidRPr="0011473C">
        <w:t xml:space="preserve"> 1 and 3 (c) and Article 13 of the </w:t>
      </w:r>
      <w:r w:rsidRPr="0011473C">
        <w:rPr>
          <w:lang w:eastAsia="en-US"/>
        </w:rPr>
        <w:t>Convention</w:t>
      </w:r>
      <w:r w:rsidRPr="0011473C">
        <w:t>.</w:t>
      </w:r>
    </w:p>
    <w:p w:rsidRPr="0011473C" w:rsidR="00561AB6" w:rsidP="00561AB6" w:rsidRDefault="00561AB6">
      <w:pPr>
        <w:pStyle w:val="JuPara"/>
        <w:rPr>
          <w:lang w:eastAsia="en-US"/>
        </w:rPr>
      </w:pPr>
      <w:r w:rsidRPr="0011473C">
        <w:fldChar w:fldCharType="begin"/>
      </w:r>
      <w:r w:rsidRPr="0011473C">
        <w:instrText xml:space="preserve"> SEQ level0 \*arabic </w:instrText>
      </w:r>
      <w:r w:rsidRPr="0011473C">
        <w:fldChar w:fldCharType="separate"/>
      </w:r>
      <w:r w:rsidR="008B4220">
        <w:rPr>
          <w:noProof/>
        </w:rPr>
        <w:t>27</w:t>
      </w:r>
      <w:r w:rsidRPr="0011473C">
        <w:fldChar w:fldCharType="end"/>
      </w:r>
      <w:r w:rsidRPr="0011473C">
        <w:t>.  In its admissibility decision, the Court considered that the facts complained of by the applicant fell within the scope of paragraph 4 of Article 5, which affords to persons who have been arrested the right to take proceedings by which the lawfulness of their detention will be decided by a court. According to the Court</w:t>
      </w:r>
      <w:r w:rsidR="00BB5349">
        <w:t>’</w:t>
      </w:r>
      <w:r w:rsidRPr="0011473C">
        <w:t xml:space="preserve">s case-law, proceedings </w:t>
      </w:r>
      <w:r w:rsidRPr="0011473C" w:rsidR="00863159">
        <w:t>reviewing</w:t>
      </w:r>
      <w:r w:rsidRPr="0011473C">
        <w:t xml:space="preserve"> the lawfulness of pre-trial detention </w:t>
      </w:r>
      <w:r w:rsidRPr="0011473C" w:rsidR="00863159">
        <w:t>do not concern</w:t>
      </w:r>
      <w:r w:rsidRPr="0011473C">
        <w:t xml:space="preserve"> </w:t>
      </w:r>
      <w:r w:rsidRPr="0011473C" w:rsidR="00863159">
        <w:t>the</w:t>
      </w:r>
      <w:r w:rsidRPr="0011473C">
        <w:t xml:space="preserve"> “</w:t>
      </w:r>
      <w:r w:rsidRPr="0011473C" w:rsidR="00863159">
        <w:t xml:space="preserve">determination of a </w:t>
      </w:r>
      <w:r w:rsidRPr="0011473C">
        <w:t>criminal charge”</w:t>
      </w:r>
      <w:r w:rsidRPr="0011473C" w:rsidR="00863159">
        <w:t xml:space="preserve">, and Article 5 § 4 is the </w:t>
      </w:r>
      <w:r w:rsidRPr="0011473C" w:rsidR="00863159">
        <w:rPr>
          <w:i/>
        </w:rPr>
        <w:t>lex specialis</w:t>
      </w:r>
      <w:r w:rsidRPr="0011473C" w:rsidR="00863159">
        <w:t xml:space="preserve"> </w:t>
      </w:r>
      <w:r w:rsidRPr="0011473C" w:rsidR="003C6857">
        <w:t>for</w:t>
      </w:r>
      <w:r w:rsidRPr="0011473C" w:rsidR="00863159">
        <w:t xml:space="preserve"> detention in relation to the more general requirements of Article 13 of the </w:t>
      </w:r>
      <w:r w:rsidRPr="0011473C" w:rsidR="00863159">
        <w:rPr>
          <w:lang w:eastAsia="en-US"/>
        </w:rPr>
        <w:t>Convention</w:t>
      </w:r>
      <w:r w:rsidRPr="0011473C" w:rsidR="00863159">
        <w:t xml:space="preserve"> and of Article 6 under its civil head (</w:t>
      </w:r>
      <w:r w:rsidRPr="0011473C" w:rsidR="0046141A">
        <w:t xml:space="preserve">see </w:t>
      </w:r>
      <w:r w:rsidRPr="0011473C" w:rsidR="003C6857">
        <w:rPr>
          <w:i/>
          <w:lang w:eastAsia="en-US"/>
        </w:rPr>
        <w:t>Reinprecht v. Austria</w:t>
      </w:r>
      <w:r w:rsidRPr="0011473C" w:rsidR="003C6857">
        <w:rPr>
          <w:lang w:eastAsia="en-US"/>
        </w:rPr>
        <w:t>, no.</w:t>
      </w:r>
      <w:r w:rsidR="004E139C">
        <w:rPr>
          <w:lang w:eastAsia="en-US"/>
        </w:rPr>
        <w:t> </w:t>
      </w:r>
      <w:r w:rsidR="00D77899">
        <w:rPr>
          <w:lang w:eastAsia="en-US"/>
        </w:rPr>
        <w:t xml:space="preserve">67175/01, §§ </w:t>
      </w:r>
      <w:r w:rsidRPr="0011473C" w:rsidR="003C6857">
        <w:rPr>
          <w:lang w:eastAsia="en-US"/>
        </w:rPr>
        <w:t>48 and 53-55, ECHR 2005</w:t>
      </w:r>
      <w:r w:rsidRPr="0011473C" w:rsidR="003C6857">
        <w:rPr>
          <w:lang w:eastAsia="en-US"/>
        </w:rPr>
        <w:noBreakHyphen/>
      </w:r>
      <w:r w:rsidRPr="0011473C" w:rsidR="006031F5">
        <w:rPr>
          <w:lang w:eastAsia="en-US"/>
        </w:rPr>
        <w:t xml:space="preserve">XII, and </w:t>
      </w:r>
      <w:r w:rsidRPr="0011473C" w:rsidR="006031F5">
        <w:rPr>
          <w:i/>
          <w:lang w:eastAsia="en-US"/>
        </w:rPr>
        <w:t>Nikolova v. Bulgaria</w:t>
      </w:r>
      <w:r w:rsidRPr="0011473C" w:rsidR="006031F5">
        <w:rPr>
          <w:lang w:eastAsia="en-US"/>
        </w:rPr>
        <w:t xml:space="preserve"> [GC], no. 31195/96, §</w:t>
      </w:r>
      <w:r w:rsidR="00D77899">
        <w:rPr>
          <w:lang w:eastAsia="en-US"/>
        </w:rPr>
        <w:t xml:space="preserve"> </w:t>
      </w:r>
      <w:r w:rsidRPr="0011473C" w:rsidR="006031F5">
        <w:rPr>
          <w:lang w:eastAsia="en-US"/>
        </w:rPr>
        <w:t>69, ECHR 1999</w:t>
      </w:r>
      <w:r w:rsidRPr="0011473C" w:rsidR="006031F5">
        <w:rPr>
          <w:lang w:eastAsia="en-US"/>
        </w:rPr>
        <w:noBreakHyphen/>
        <w:t>II).</w:t>
      </w:r>
    </w:p>
    <w:p w:rsidRPr="0011473C" w:rsidR="006031F5" w:rsidP="00561AB6" w:rsidRDefault="006031F5">
      <w:pPr>
        <w:pStyle w:val="JuPara"/>
        <w:rPr>
          <w:lang w:eastAsia="en-US"/>
        </w:rPr>
      </w:pPr>
      <w:r w:rsidRPr="0011473C">
        <w:rPr>
          <w:lang w:eastAsia="en-US"/>
        </w:rPr>
        <w:fldChar w:fldCharType="begin"/>
      </w:r>
      <w:r w:rsidRPr="0011473C">
        <w:rPr>
          <w:lang w:eastAsia="en-US"/>
        </w:rPr>
        <w:instrText xml:space="preserve"> SEQ level0 \*arabic </w:instrText>
      </w:r>
      <w:r w:rsidRPr="0011473C">
        <w:rPr>
          <w:lang w:eastAsia="en-US"/>
        </w:rPr>
        <w:fldChar w:fldCharType="separate"/>
      </w:r>
      <w:r w:rsidR="008B4220">
        <w:rPr>
          <w:noProof/>
          <w:lang w:eastAsia="en-US"/>
        </w:rPr>
        <w:t>28</w:t>
      </w:r>
      <w:r w:rsidRPr="0011473C">
        <w:rPr>
          <w:lang w:eastAsia="en-US"/>
        </w:rPr>
        <w:fldChar w:fldCharType="end"/>
      </w:r>
      <w:r w:rsidRPr="0011473C">
        <w:rPr>
          <w:lang w:eastAsia="en-US"/>
        </w:rPr>
        <w:t>.  The present application thus needs to be examined exclusively under Article 5 § 4, which reads as follows:</w:t>
      </w:r>
    </w:p>
    <w:p w:rsidRPr="0011473C" w:rsidR="006031F5" w:rsidRDefault="006031F5">
      <w:pPr>
        <w:pStyle w:val="JuQuot"/>
      </w:pPr>
      <w:r w:rsidRPr="0011473C">
        <w:t>“Everyone who is deprived of his liberty by arrest or detention shall be entitled to take proceedings by which the lawfulness of his detention shall be decided speedily by a court and his release ordered if the detention is not lawful.”</w:t>
      </w:r>
    </w:p>
    <w:p w:rsidRPr="0011473C" w:rsidR="00CD49A7" w:rsidRDefault="00CD49A7">
      <w:pPr>
        <w:pStyle w:val="JuHA"/>
      </w:pPr>
      <w:r w:rsidRPr="0011473C">
        <w:t>A.  </w:t>
      </w:r>
      <w:r w:rsidR="00E43CC4">
        <w:t>T</w:t>
      </w:r>
      <w:r w:rsidRPr="0011473C" w:rsidR="006031F5">
        <w:t>he parties</w:t>
      </w:r>
      <w:r w:rsidR="00BB5349">
        <w:t>’</w:t>
      </w:r>
      <w:r w:rsidR="00E43CC4">
        <w:t xml:space="preserve"> submissions</w:t>
      </w:r>
    </w:p>
    <w:p w:rsidRPr="0011473C" w:rsidR="00CD49A7" w:rsidRDefault="00CD49A7">
      <w:pPr>
        <w:pStyle w:val="JuH1"/>
      </w:pPr>
      <w:r w:rsidRPr="0011473C">
        <w:t>1.  </w:t>
      </w:r>
      <w:r w:rsidRPr="0011473C" w:rsidR="006031F5">
        <w:t>The Government</w:t>
      </w:r>
    </w:p>
    <w:p w:rsidRPr="0011473C" w:rsidR="00CD49A7" w:rsidRDefault="006031F5">
      <w:pPr>
        <w:pStyle w:val="JuPara"/>
      </w:pPr>
      <w:r w:rsidRPr="0011473C">
        <w:fldChar w:fldCharType="begin"/>
      </w:r>
      <w:r w:rsidRPr="0011473C">
        <w:instrText xml:space="preserve"> SEQ level0 \*arabic </w:instrText>
      </w:r>
      <w:r w:rsidRPr="0011473C">
        <w:fldChar w:fldCharType="separate"/>
      </w:r>
      <w:r w:rsidR="008B4220">
        <w:rPr>
          <w:noProof/>
        </w:rPr>
        <w:t>29</w:t>
      </w:r>
      <w:r w:rsidRPr="0011473C">
        <w:fldChar w:fldCharType="end"/>
      </w:r>
      <w:r w:rsidRPr="0011473C">
        <w:t xml:space="preserve">.  The Government argued at the outset that the proceedings referred to in Article 5 § 4 were not indispensable in all cases, and in particular where a </w:t>
      </w:r>
      <w:r w:rsidRPr="0011473C" w:rsidR="008B3DAB">
        <w:t>decision to detain someone had been taken by a judicial body. Moreover, the provision in question was not applicable to the applicant</w:t>
      </w:r>
      <w:r w:rsidR="00BB5349">
        <w:t>’</w:t>
      </w:r>
      <w:r w:rsidRPr="0011473C" w:rsidR="008B3DAB">
        <w:t xml:space="preserve">s case, where the cassation </w:t>
      </w:r>
      <w:r w:rsidR="0037641D">
        <w:t>proceedings</w:t>
      </w:r>
      <w:r w:rsidRPr="0011473C" w:rsidR="008B3DAB">
        <w:t xml:space="preserve"> had been initiated by the </w:t>
      </w:r>
      <w:r w:rsidR="0037641D">
        <w:t xml:space="preserve">public </w:t>
      </w:r>
      <w:r w:rsidR="00AE74E8">
        <w:t>prosecutor</w:t>
      </w:r>
      <w:r w:rsidR="00BB5349">
        <w:t>’</w:t>
      </w:r>
      <w:r w:rsidR="00AE74E8">
        <w:t>s office</w:t>
      </w:r>
      <w:r w:rsidRPr="0011473C" w:rsidR="008B3DAB">
        <w:t xml:space="preserve"> after the applicant had been released. The Court of Cassation </w:t>
      </w:r>
      <w:r w:rsidR="00756A73">
        <w:t>had</w:t>
      </w:r>
      <w:r w:rsidRPr="0011473C" w:rsidR="008B3DAB">
        <w:t xml:space="preserve"> not therefore</w:t>
      </w:r>
      <w:r w:rsidR="00756A73">
        <w:t xml:space="preserve"> been</w:t>
      </w:r>
      <w:r w:rsidRPr="0011473C" w:rsidR="008B3DAB">
        <w:t xml:space="preserve"> </w:t>
      </w:r>
      <w:r w:rsidR="001654A2">
        <w:t>called upon</w:t>
      </w:r>
      <w:r w:rsidRPr="0011473C" w:rsidR="008B3DAB">
        <w:t xml:space="preserve"> to rule on the lawfulness of a measure of “detention”.</w:t>
      </w:r>
    </w:p>
    <w:p w:rsidRPr="0011473C" w:rsidR="008B3DAB" w:rsidRDefault="008B3DAB">
      <w:pPr>
        <w:pStyle w:val="JuPara"/>
      </w:pPr>
      <w:r w:rsidRPr="0011473C">
        <w:fldChar w:fldCharType="begin"/>
      </w:r>
      <w:r w:rsidRPr="0011473C">
        <w:instrText xml:space="preserve"> SEQ level0 \*arabic </w:instrText>
      </w:r>
      <w:r w:rsidRPr="0011473C">
        <w:fldChar w:fldCharType="separate"/>
      </w:r>
      <w:r w:rsidR="008B4220">
        <w:rPr>
          <w:noProof/>
        </w:rPr>
        <w:t>30</w:t>
      </w:r>
      <w:r w:rsidRPr="0011473C">
        <w:fldChar w:fldCharType="end"/>
      </w:r>
      <w:r w:rsidRPr="0011473C">
        <w:t xml:space="preserve">.  In any event, proceedings </w:t>
      </w:r>
      <w:r w:rsidR="00756A73">
        <w:t>concerning</w:t>
      </w:r>
      <w:r w:rsidRPr="0011473C">
        <w:t xml:space="preserve"> a review of detention did not have to afford all the characteristics of a fully adversarial procedure or </w:t>
      </w:r>
      <w:r w:rsidR="0037641D">
        <w:t>ensure compliance with</w:t>
      </w:r>
      <w:r w:rsidRPr="0011473C">
        <w:t xml:space="preserve"> the equality of arms</w:t>
      </w:r>
      <w:r w:rsidR="0037641D">
        <w:t xml:space="preserve"> principle</w:t>
      </w:r>
      <w:r w:rsidRPr="0011473C">
        <w:t xml:space="preserve">. The requirements of Article 5 in this connection were less stringent than those of Article 6 § 3. In addition, even when Article 6 came into play, </w:t>
      </w:r>
      <w:r w:rsidRPr="0011473C" w:rsidR="00723C37">
        <w:t xml:space="preserve">the </w:t>
      </w:r>
      <w:r w:rsidRPr="0011473C" w:rsidR="004035C3">
        <w:t>various stages</w:t>
      </w:r>
      <w:r w:rsidR="004035C3">
        <w:t xml:space="preserve"> of the </w:t>
      </w:r>
      <w:r w:rsidRPr="0011473C" w:rsidR="00723C37">
        <w:t>proce</w:t>
      </w:r>
      <w:r w:rsidR="004035C3">
        <w:t>edings</w:t>
      </w:r>
      <w:r w:rsidRPr="0011473C" w:rsidR="00723C37">
        <w:t xml:space="preserve"> had to be </w:t>
      </w:r>
      <w:r w:rsidRPr="0011473C" w:rsidR="004035C3">
        <w:t>taken into account</w:t>
      </w:r>
      <w:r w:rsidR="004035C3">
        <w:t xml:space="preserve"> and </w:t>
      </w:r>
      <w:r w:rsidRPr="0011473C" w:rsidR="00723C37">
        <w:t>examined as a whole.</w:t>
      </w:r>
    </w:p>
    <w:p w:rsidRPr="0011473C" w:rsidR="00723C37" w:rsidRDefault="00723C37">
      <w:pPr>
        <w:pStyle w:val="JuPara"/>
      </w:pPr>
      <w:r w:rsidRPr="0011473C">
        <w:fldChar w:fldCharType="begin"/>
      </w:r>
      <w:r w:rsidRPr="0011473C">
        <w:instrText xml:space="preserve"> SEQ level0 \*arabic </w:instrText>
      </w:r>
      <w:r w:rsidRPr="0011473C">
        <w:fldChar w:fldCharType="separate"/>
      </w:r>
      <w:r w:rsidR="008B4220">
        <w:rPr>
          <w:noProof/>
        </w:rPr>
        <w:t>31</w:t>
      </w:r>
      <w:r w:rsidRPr="0011473C">
        <w:fldChar w:fldCharType="end"/>
      </w:r>
      <w:r w:rsidRPr="0011473C">
        <w:t>.  In principle, proceedings concerning pre-trial detention as provided for in Article 5 § 1</w:t>
      </w:r>
      <w:r w:rsidR="00E25F66">
        <w:t xml:space="preserve"> </w:t>
      </w:r>
      <w:r w:rsidRPr="0011473C">
        <w:t xml:space="preserve">(c) of the </w:t>
      </w:r>
      <w:r w:rsidRPr="0011473C">
        <w:rPr>
          <w:lang w:eastAsia="en-US"/>
        </w:rPr>
        <w:t>Convention</w:t>
      </w:r>
      <w:r w:rsidRPr="0011473C">
        <w:t xml:space="preserve"> were conducted in their entirety before judicial authorities which guaranteed the independence and impartiality required by the </w:t>
      </w:r>
      <w:r w:rsidRPr="0011473C">
        <w:rPr>
          <w:lang w:eastAsia="en-US"/>
        </w:rPr>
        <w:t>Convention</w:t>
      </w:r>
      <w:r w:rsidRPr="0011473C">
        <w:t>. Each of those authorities had the power</w:t>
      </w:r>
      <w:r w:rsidRPr="0011473C" w:rsidR="001041EC">
        <w:t xml:space="preserve">, in line with </w:t>
      </w:r>
      <w:r w:rsidRPr="0011473C" w:rsidR="001041EC">
        <w:rPr>
          <w:lang w:eastAsia="en-US"/>
        </w:rPr>
        <w:t>Convention</w:t>
      </w:r>
      <w:r w:rsidRPr="0011473C" w:rsidR="001041EC">
        <w:t xml:space="preserve"> requirements,</w:t>
      </w:r>
      <w:r w:rsidRPr="0011473C">
        <w:t xml:space="preserve"> to revoke the measure of detention or replace it by a </w:t>
      </w:r>
      <w:r w:rsidRPr="0011473C" w:rsidR="001041EC">
        <w:t>less severe measure.</w:t>
      </w:r>
    </w:p>
    <w:p w:rsidRPr="0011473C" w:rsidR="001041EC" w:rsidRDefault="001041EC">
      <w:pPr>
        <w:pStyle w:val="JuPara"/>
      </w:pPr>
      <w:r w:rsidRPr="0011473C">
        <w:fldChar w:fldCharType="begin"/>
      </w:r>
      <w:r w:rsidRPr="0011473C">
        <w:instrText xml:space="preserve"> SEQ level0 \*arabic </w:instrText>
      </w:r>
      <w:r w:rsidRPr="0011473C">
        <w:fldChar w:fldCharType="separate"/>
      </w:r>
      <w:r w:rsidR="008B4220">
        <w:rPr>
          <w:noProof/>
        </w:rPr>
        <w:t>32</w:t>
      </w:r>
      <w:r w:rsidRPr="0011473C">
        <w:fldChar w:fldCharType="end"/>
      </w:r>
      <w:r w:rsidRPr="0011473C">
        <w:t>.  The Government acknowledged that the applicant</w:t>
      </w:r>
      <w:r w:rsidR="00BB5349">
        <w:t>’</w:t>
      </w:r>
      <w:r w:rsidRPr="0011473C">
        <w:t xml:space="preserve">s counsel had never received the summons to appear at the hearing of 15 February 2000, </w:t>
      </w:r>
      <w:r w:rsidR="004035C3">
        <w:t>owing</w:t>
      </w:r>
      <w:r w:rsidR="001654A2">
        <w:t xml:space="preserve"> to</w:t>
      </w:r>
      <w:r w:rsidRPr="0011473C">
        <w:t xml:space="preserve"> an error </w:t>
      </w:r>
      <w:r w:rsidR="004035C3">
        <w:t>by</w:t>
      </w:r>
      <w:r w:rsidRPr="0011473C">
        <w:t xml:space="preserve"> the competent domestic authorities. As a result, the applicant had been unable to attend the hearing. Article 127 of the </w:t>
      </w:r>
      <w:r w:rsidRPr="0011473C" w:rsidR="00DF0612">
        <w:t>Code of Criminal Procedure</w:t>
      </w:r>
      <w:r w:rsidRPr="0011473C">
        <w:t xml:space="preserve"> provided that the date of the hearing should be notified to both parties without distinction. The accused and his counsel were entitled to submit written pleadings and, if they appeared</w:t>
      </w:r>
      <w:r w:rsidR="001654A2">
        <w:t xml:space="preserve"> </w:t>
      </w:r>
      <w:r w:rsidRPr="0011473C" w:rsidR="001654A2">
        <w:t xml:space="preserve">at </w:t>
      </w:r>
      <w:r w:rsidR="004035C3">
        <w:t>the</w:t>
      </w:r>
      <w:r w:rsidRPr="0011473C" w:rsidR="001654A2">
        <w:t xml:space="preserve"> hearing</w:t>
      </w:r>
      <w:r w:rsidR="001654A2">
        <w:t>, oral argument</w:t>
      </w:r>
      <w:r w:rsidRPr="0011473C">
        <w:t>. The court could decide even in their absence. However, no decision could be taken if the accused and his counsel</w:t>
      </w:r>
      <w:r w:rsidR="004035C3">
        <w:t xml:space="preserve"> had not been notified of </w:t>
      </w:r>
      <w:r w:rsidRPr="0011473C" w:rsidR="004035C3">
        <w:t>the date of the hearing</w:t>
      </w:r>
      <w:r w:rsidRPr="0011473C">
        <w:t>. That rule had not been co</w:t>
      </w:r>
      <w:r w:rsidR="004035C3">
        <w:t>mplied with in the present case.</w:t>
      </w:r>
    </w:p>
    <w:p w:rsidRPr="0011473C" w:rsidR="001041EC" w:rsidRDefault="001041EC">
      <w:pPr>
        <w:pStyle w:val="JuPara"/>
      </w:pPr>
      <w:r w:rsidRPr="0011473C">
        <w:fldChar w:fldCharType="begin"/>
      </w:r>
      <w:r w:rsidRPr="0011473C">
        <w:instrText xml:space="preserve"> SEQ level0 \*arabic </w:instrText>
      </w:r>
      <w:r w:rsidRPr="0011473C">
        <w:fldChar w:fldCharType="separate"/>
      </w:r>
      <w:r w:rsidR="008B4220">
        <w:rPr>
          <w:noProof/>
        </w:rPr>
        <w:t>33</w:t>
      </w:r>
      <w:r w:rsidRPr="0011473C">
        <w:fldChar w:fldCharType="end"/>
      </w:r>
      <w:r w:rsidRPr="0011473C">
        <w:t xml:space="preserve">.  The Government considered, however, that the defect which had vitiated the proceedings in the Court of Cassation had not had irreversible consequences for the applicant and had not really undermined the fairness of the proceedings. The Court of Cassation had confined itself to criticising the reasoning given in the order </w:t>
      </w:r>
      <w:r w:rsidR="004035C3">
        <w:t>releasing</w:t>
      </w:r>
      <w:r w:rsidRPr="0011473C">
        <w:t xml:space="preserve"> the applicant. It was true that the </w:t>
      </w:r>
      <w:r w:rsidRPr="0011473C" w:rsidR="001654A2">
        <w:t>Specialised Division</w:t>
      </w:r>
      <w:r w:rsidRPr="0011473C">
        <w:t xml:space="preserve">, </w:t>
      </w:r>
      <w:r w:rsidR="004035C3">
        <w:t>on remittal of the</w:t>
      </w:r>
      <w:r w:rsidR="001654A2">
        <w:t xml:space="preserve"> case</w:t>
      </w:r>
      <w:r w:rsidRPr="0011473C" w:rsidR="00467641">
        <w:t xml:space="preserve">, had then given a decision that </w:t>
      </w:r>
      <w:r w:rsidR="001654A2">
        <w:t>was</w:t>
      </w:r>
      <w:r w:rsidRPr="0011473C" w:rsidR="00467641">
        <w:t xml:space="preserve"> unfavourable to the applicant, but that had not been the necessary or inevitable consequence of the Court of Cassation</w:t>
      </w:r>
      <w:r w:rsidR="00BB5349">
        <w:t>’</w:t>
      </w:r>
      <w:r w:rsidRPr="0011473C" w:rsidR="00467641">
        <w:t>s judgment. In the</w:t>
      </w:r>
      <w:r w:rsidR="004035C3">
        <w:t xml:space="preserve"> later stage of the proceedings</w:t>
      </w:r>
      <w:r w:rsidR="00E43CC4">
        <w:t>,</w:t>
      </w:r>
      <w:r w:rsidRPr="0011473C" w:rsidR="00467641">
        <w:t xml:space="preserve"> the applicant had been able to exercise his defence rights fully</w:t>
      </w:r>
      <w:r w:rsidR="00E43CC4">
        <w:t>,</w:t>
      </w:r>
      <w:r w:rsidRPr="0011473C" w:rsidR="00467641">
        <w:t xml:space="preserve"> and the principles of adversarial proceedings and equality of arms had been </w:t>
      </w:r>
      <w:r w:rsidR="004035C3">
        <w:t>complied with</w:t>
      </w:r>
      <w:r w:rsidRPr="0011473C" w:rsidR="00467641">
        <w:t>.</w:t>
      </w:r>
    </w:p>
    <w:p w:rsidRPr="0011473C" w:rsidR="008B3DAB" w:rsidRDefault="00467641">
      <w:pPr>
        <w:pStyle w:val="JuPara"/>
      </w:pPr>
      <w:r w:rsidRPr="0011473C">
        <w:fldChar w:fldCharType="begin"/>
      </w:r>
      <w:r w:rsidRPr="0011473C">
        <w:instrText xml:space="preserve"> SEQ level0 \*arabic </w:instrText>
      </w:r>
      <w:r w:rsidRPr="0011473C">
        <w:fldChar w:fldCharType="separate"/>
      </w:r>
      <w:r w:rsidR="008B4220">
        <w:rPr>
          <w:noProof/>
        </w:rPr>
        <w:t>34</w:t>
      </w:r>
      <w:r w:rsidRPr="0011473C">
        <w:fldChar w:fldCharType="end"/>
      </w:r>
      <w:r w:rsidRPr="0011473C">
        <w:t>.  In the light of the above, the Government submitted that the Court should dismiss the application or, in the alternative, should find that the</w:t>
      </w:r>
      <w:r w:rsidR="001654A2">
        <w:t xml:space="preserve">re </w:t>
      </w:r>
      <w:r w:rsidR="00E43CC4">
        <w:t>was</w:t>
      </w:r>
      <w:r w:rsidR="001654A2">
        <w:t xml:space="preserve"> a</w:t>
      </w:r>
      <w:r w:rsidRPr="0011473C">
        <w:t xml:space="preserve"> violation </w:t>
      </w:r>
      <w:r w:rsidR="00756A73">
        <w:t xml:space="preserve">only </w:t>
      </w:r>
      <w:r w:rsidR="001654A2">
        <w:t>as a result</w:t>
      </w:r>
      <w:r w:rsidRPr="0011473C">
        <w:t xml:space="preserve"> of an error in the application of domestic law, which itself was </w:t>
      </w:r>
      <w:r w:rsidR="00F917BF">
        <w:t>in conformity</w:t>
      </w:r>
      <w:r w:rsidRPr="0011473C">
        <w:t xml:space="preserve"> with </w:t>
      </w:r>
      <w:r w:rsidRPr="0011473C">
        <w:rPr>
          <w:lang w:eastAsia="en-US"/>
        </w:rPr>
        <w:t>Convention</w:t>
      </w:r>
      <w:r w:rsidR="00F917BF">
        <w:rPr>
          <w:lang w:eastAsia="en-US"/>
        </w:rPr>
        <w:t xml:space="preserve"> requirements</w:t>
      </w:r>
      <w:r w:rsidRPr="0011473C">
        <w:t xml:space="preserve">. They pointed out in this connection that Law no. 128 of 2001 had introduced a provision (Article 625 </w:t>
      </w:r>
      <w:r w:rsidRPr="0011473C">
        <w:rPr>
          <w:i/>
        </w:rPr>
        <w:t>bis</w:t>
      </w:r>
      <w:r w:rsidRPr="0011473C">
        <w:t xml:space="preserve"> of the </w:t>
      </w:r>
      <w:r w:rsidRPr="0011473C" w:rsidR="00DF0612">
        <w:t>Code of Criminal Procedure</w:t>
      </w:r>
      <w:r w:rsidRPr="0011473C">
        <w:t>) whereby applications could now be lodged before the Court of Cassation for rectification of error</w:t>
      </w:r>
      <w:r w:rsidR="00756A73">
        <w:t>s in</w:t>
      </w:r>
      <w:r w:rsidRPr="0011473C">
        <w:t xml:space="preserve"> its judgments.</w:t>
      </w:r>
    </w:p>
    <w:p w:rsidRPr="0011473C" w:rsidR="00CD49A7" w:rsidRDefault="00CD49A7">
      <w:pPr>
        <w:pStyle w:val="JuH1"/>
      </w:pPr>
      <w:r w:rsidRPr="0011473C">
        <w:t>2.  </w:t>
      </w:r>
      <w:r w:rsidRPr="0011473C" w:rsidR="00467641">
        <w:t>The applicant</w:t>
      </w:r>
    </w:p>
    <w:p w:rsidRPr="0011473C" w:rsidR="00CD49A7" w:rsidRDefault="009152DD">
      <w:pPr>
        <w:pStyle w:val="JuPara"/>
      </w:pPr>
      <w:r w:rsidRPr="0011473C">
        <w:fldChar w:fldCharType="begin"/>
      </w:r>
      <w:r w:rsidRPr="0011473C">
        <w:instrText xml:space="preserve"> SEQ level0 \*arabic </w:instrText>
      </w:r>
      <w:r w:rsidRPr="0011473C">
        <w:fldChar w:fldCharType="separate"/>
      </w:r>
      <w:r w:rsidR="008B4220">
        <w:rPr>
          <w:noProof/>
        </w:rPr>
        <w:t>35</w:t>
      </w:r>
      <w:r w:rsidRPr="0011473C">
        <w:fldChar w:fldCharType="end"/>
      </w:r>
      <w:r w:rsidRPr="0011473C" w:rsidR="00CD49A7">
        <w:t>.  </w:t>
      </w:r>
      <w:r w:rsidRPr="0011473C" w:rsidR="00467641">
        <w:t>The applicant contested the Government</w:t>
      </w:r>
      <w:r w:rsidR="00BB5349">
        <w:t>’</w:t>
      </w:r>
      <w:r w:rsidRPr="0011473C" w:rsidR="00467641">
        <w:t xml:space="preserve">s arguments. He contended that </w:t>
      </w:r>
      <w:r w:rsidRPr="0011473C" w:rsidR="008161F9">
        <w:t>he had been unable to participate in the hearing before the Court of Cassation</w:t>
      </w:r>
      <w:r w:rsidR="001654A2">
        <w:t>,</w:t>
      </w:r>
      <w:r w:rsidRPr="0011473C" w:rsidR="008161F9">
        <w:t xml:space="preserve"> which a representative of the </w:t>
      </w:r>
      <w:r w:rsidR="00F917BF">
        <w:t xml:space="preserve">public </w:t>
      </w:r>
      <w:r w:rsidR="00AE74E8">
        <w:t>prosecutor</w:t>
      </w:r>
      <w:r w:rsidR="00BB5349">
        <w:t>’</w:t>
      </w:r>
      <w:r w:rsidR="00AE74E8">
        <w:t>s office</w:t>
      </w:r>
      <w:r w:rsidRPr="0011473C" w:rsidR="008161F9">
        <w:t xml:space="preserve"> had attended.</w:t>
      </w:r>
    </w:p>
    <w:p w:rsidRPr="0011473C" w:rsidR="008161F9" w:rsidRDefault="008161F9">
      <w:pPr>
        <w:pStyle w:val="JuPara"/>
      </w:pPr>
      <w:r w:rsidRPr="0011473C">
        <w:fldChar w:fldCharType="begin"/>
      </w:r>
      <w:r w:rsidRPr="0011473C">
        <w:instrText xml:space="preserve"> SEQ level0 \*arabic </w:instrText>
      </w:r>
      <w:r w:rsidRPr="0011473C">
        <w:fldChar w:fldCharType="separate"/>
      </w:r>
      <w:r w:rsidR="008B4220">
        <w:rPr>
          <w:noProof/>
        </w:rPr>
        <w:t>36</w:t>
      </w:r>
      <w:r w:rsidRPr="0011473C">
        <w:fldChar w:fldCharType="end"/>
      </w:r>
      <w:r w:rsidRPr="0011473C">
        <w:t>.  In the applicant</w:t>
      </w:r>
      <w:r w:rsidR="00BB5349">
        <w:t>’</w:t>
      </w:r>
      <w:r w:rsidRPr="0011473C">
        <w:t xml:space="preserve">s submission, this procedural defect had had serious consequences for the defence. The </w:t>
      </w:r>
      <w:r w:rsidRPr="0011473C" w:rsidR="001654A2">
        <w:t>Specialised Division</w:t>
      </w:r>
      <w:r w:rsidRPr="0011473C">
        <w:t xml:space="preserve">, </w:t>
      </w:r>
      <w:r w:rsidR="00F917BF">
        <w:t>on remittal of the</w:t>
      </w:r>
      <w:r w:rsidR="001654A2">
        <w:t xml:space="preserve"> case</w:t>
      </w:r>
      <w:r w:rsidRPr="0011473C">
        <w:t xml:space="preserve">, had then ordered his arrest and remanded him in custody. In the proceedings before that </w:t>
      </w:r>
      <w:r w:rsidR="00F917BF">
        <w:t>D</w:t>
      </w:r>
      <w:r w:rsidRPr="0011473C">
        <w:t xml:space="preserve">ivision, his lawyer had argued </w:t>
      </w:r>
      <w:r w:rsidR="00F917BF">
        <w:t>that</w:t>
      </w:r>
      <w:r w:rsidRPr="0011473C">
        <w:t xml:space="preserve"> the judgment of 15 February 2000 </w:t>
      </w:r>
      <w:r w:rsidR="00F917BF">
        <w:t xml:space="preserve">was null and void </w:t>
      </w:r>
      <w:r w:rsidRPr="0011473C">
        <w:t xml:space="preserve">and, alleging that Article 627 § 4 of the </w:t>
      </w:r>
      <w:r w:rsidRPr="0011473C" w:rsidR="00DF0612">
        <w:t>Code of Criminal Procedure</w:t>
      </w:r>
      <w:r w:rsidRPr="0011473C">
        <w:t xml:space="preserve"> breached the rights of the defence, </w:t>
      </w:r>
      <w:r w:rsidR="00F917BF">
        <w:t xml:space="preserve">had </w:t>
      </w:r>
      <w:r w:rsidRPr="0011473C">
        <w:t>requested a waiver of that provision. However, those objections had been dismissed.</w:t>
      </w:r>
    </w:p>
    <w:p w:rsidRPr="0011473C" w:rsidR="008161F9" w:rsidRDefault="008161F9">
      <w:pPr>
        <w:pStyle w:val="JuPara"/>
      </w:pPr>
      <w:r w:rsidRPr="0011473C">
        <w:fldChar w:fldCharType="begin"/>
      </w:r>
      <w:r w:rsidRPr="0011473C">
        <w:instrText xml:space="preserve"> SEQ level0 \*arabic </w:instrText>
      </w:r>
      <w:r w:rsidRPr="0011473C">
        <w:fldChar w:fldCharType="separate"/>
      </w:r>
      <w:r w:rsidR="008B4220">
        <w:rPr>
          <w:noProof/>
        </w:rPr>
        <w:t>37</w:t>
      </w:r>
      <w:r w:rsidRPr="0011473C">
        <w:fldChar w:fldCharType="end"/>
      </w:r>
      <w:r w:rsidRPr="0011473C">
        <w:t xml:space="preserve">.  The applicant argued that the domestic law in force at the material time had not allowed him to seek </w:t>
      </w:r>
      <w:r w:rsidRPr="0011473C" w:rsidR="0011473C">
        <w:t>rectification</w:t>
      </w:r>
      <w:r w:rsidRPr="0011473C">
        <w:t xml:space="preserve"> of the error of which he had been the victim. Article 625 </w:t>
      </w:r>
      <w:r w:rsidRPr="0011473C">
        <w:rPr>
          <w:i/>
        </w:rPr>
        <w:t>bis</w:t>
      </w:r>
      <w:r w:rsidRPr="0011473C">
        <w:t xml:space="preserve"> of the </w:t>
      </w:r>
      <w:r w:rsidRPr="0011473C" w:rsidR="00DF0612">
        <w:t>Code of Criminal Procedure</w:t>
      </w:r>
      <w:r w:rsidRPr="0011473C">
        <w:t>, cited by the Government, had not been in force at that time.</w:t>
      </w:r>
    </w:p>
    <w:p w:rsidRPr="0011473C" w:rsidR="008161F9" w:rsidRDefault="008161F9">
      <w:pPr>
        <w:pStyle w:val="JuPara"/>
      </w:pPr>
      <w:r w:rsidRPr="0011473C">
        <w:fldChar w:fldCharType="begin"/>
      </w:r>
      <w:r w:rsidRPr="0011473C">
        <w:instrText xml:space="preserve"> SEQ level0 \*arabic </w:instrText>
      </w:r>
      <w:r w:rsidRPr="0011473C">
        <w:fldChar w:fldCharType="separate"/>
      </w:r>
      <w:r w:rsidR="008B4220">
        <w:rPr>
          <w:noProof/>
        </w:rPr>
        <w:t>38</w:t>
      </w:r>
      <w:r w:rsidRPr="0011473C">
        <w:fldChar w:fldCharType="end"/>
      </w:r>
      <w:r w:rsidRPr="0011473C">
        <w:t xml:space="preserve">.  The applicant observed </w:t>
      </w:r>
      <w:r w:rsidRPr="0011473C" w:rsidR="00F917BF">
        <w:t xml:space="preserve">lastly </w:t>
      </w:r>
      <w:r w:rsidRPr="0011473C">
        <w:t xml:space="preserve">that it was true that the Court of Cassation, in view of its power to rule on questions of law and not of fact, had not been entitled to order his imprisonment. However, it had set aside the order </w:t>
      </w:r>
      <w:r w:rsidR="00F917BF">
        <w:t>for his</w:t>
      </w:r>
      <w:r w:rsidRPr="0011473C">
        <w:t xml:space="preserve"> release and</w:t>
      </w:r>
      <w:r w:rsidR="00E43CC4">
        <w:t>,</w:t>
      </w:r>
      <w:r w:rsidRPr="0011473C">
        <w:t xml:space="preserve"> on remitting the case</w:t>
      </w:r>
      <w:r w:rsidR="00E43CC4">
        <w:t>,</w:t>
      </w:r>
      <w:r w:rsidRPr="0011473C">
        <w:t xml:space="preserve"> had obliged the </w:t>
      </w:r>
      <w:r w:rsidRPr="0011473C" w:rsidR="001A4CBF">
        <w:t xml:space="preserve">court below to adhere to the legal principles set out in its judgment. In </w:t>
      </w:r>
      <w:r w:rsidRPr="0011473C" w:rsidR="002D602A">
        <w:t>applying those principles</w:t>
      </w:r>
      <w:r w:rsidRPr="0011473C" w:rsidR="001A4CBF">
        <w:t xml:space="preserve">, the </w:t>
      </w:r>
      <w:r w:rsidRPr="0011473C" w:rsidR="001654A2">
        <w:t>Specialised Division</w:t>
      </w:r>
      <w:r w:rsidRPr="0011473C" w:rsidR="001A4CBF">
        <w:t xml:space="preserve"> had then remanded him in custody once again.</w:t>
      </w:r>
    </w:p>
    <w:p w:rsidRPr="0011473C" w:rsidR="00CD49A7" w:rsidRDefault="00CD49A7">
      <w:pPr>
        <w:pStyle w:val="JuHA"/>
      </w:pPr>
      <w:r w:rsidRPr="0011473C">
        <w:t>B.  </w:t>
      </w:r>
      <w:r w:rsidRPr="0011473C" w:rsidR="002D602A">
        <w:t>The Court</w:t>
      </w:r>
      <w:r w:rsidR="00BB5349">
        <w:t>’</w:t>
      </w:r>
      <w:r w:rsidRPr="0011473C" w:rsidR="002D602A">
        <w:t>s assessment</w:t>
      </w:r>
    </w:p>
    <w:p w:rsidRPr="0011473C" w:rsidR="00CD49A7" w:rsidRDefault="009152DD">
      <w:pPr>
        <w:pStyle w:val="JuPara"/>
        <w:rPr>
          <w:lang w:eastAsia="en-US"/>
        </w:rPr>
      </w:pPr>
      <w:r w:rsidRPr="0011473C">
        <w:fldChar w:fldCharType="begin"/>
      </w:r>
      <w:r w:rsidRPr="0011473C">
        <w:instrText xml:space="preserve"> SEQ level0 \*arabic </w:instrText>
      </w:r>
      <w:r w:rsidRPr="0011473C">
        <w:fldChar w:fldCharType="separate"/>
      </w:r>
      <w:r w:rsidR="008B4220">
        <w:rPr>
          <w:noProof/>
        </w:rPr>
        <w:t>39</w:t>
      </w:r>
      <w:r w:rsidRPr="0011473C">
        <w:fldChar w:fldCharType="end"/>
      </w:r>
      <w:r w:rsidRPr="0011473C" w:rsidR="00CD49A7">
        <w:t>.  </w:t>
      </w:r>
      <w:r w:rsidRPr="0011473C" w:rsidR="002D602A">
        <w:t xml:space="preserve">The Court first </w:t>
      </w:r>
      <w:r w:rsidRPr="0011473C" w:rsidR="0046141A">
        <w:t>reiterates</w:t>
      </w:r>
      <w:r w:rsidRPr="0011473C" w:rsidR="002D602A">
        <w:t xml:space="preserve"> that, under Article 5 § 4 of the Convention, </w:t>
      </w:r>
      <w:r w:rsidRPr="0011473C" w:rsidR="0046141A">
        <w:rPr>
          <w:rStyle w:val="ju-005fpara--char"/>
        </w:rPr>
        <w:t xml:space="preserve">arrested or detained persons are entitled to a review bearing upon the procedural and </w:t>
      </w:r>
      <w:r w:rsidRPr="0011473C" w:rsidR="0046141A">
        <w:t xml:space="preserve">substantive conditions which are essential for the “lawfulness”, in the sense of the Convention, of their deprivation of liberty (see </w:t>
      </w:r>
      <w:r w:rsidRPr="0011473C" w:rsidR="0046141A">
        <w:rPr>
          <w:i/>
          <w:lang w:eastAsia="en-US"/>
        </w:rPr>
        <w:t>Lietzow v. Germany</w:t>
      </w:r>
      <w:r w:rsidRPr="0011473C" w:rsidR="0046141A">
        <w:rPr>
          <w:lang w:eastAsia="en-US"/>
        </w:rPr>
        <w:t>, no. 24479/94, §</w:t>
      </w:r>
      <w:r w:rsidR="00D77899">
        <w:rPr>
          <w:lang w:eastAsia="en-US"/>
        </w:rPr>
        <w:t xml:space="preserve"> </w:t>
      </w:r>
      <w:r w:rsidRPr="0011473C" w:rsidR="0046141A">
        <w:rPr>
          <w:lang w:eastAsia="en-US"/>
        </w:rPr>
        <w:t>44, ECHR 2001</w:t>
      </w:r>
      <w:r w:rsidR="00E43CC4">
        <w:rPr>
          <w:lang w:eastAsia="en-US"/>
        </w:rPr>
        <w:t>-</w:t>
      </w:r>
      <w:r w:rsidRPr="0011473C" w:rsidR="0046141A">
        <w:rPr>
          <w:lang w:eastAsia="en-US"/>
        </w:rPr>
        <w:t>I</w:t>
      </w:r>
      <w:r w:rsidRPr="0011473C" w:rsidR="0046141A">
        <w:t>). It is true that the</w:t>
      </w:r>
      <w:r w:rsidRPr="0011473C" w:rsidR="003341AD">
        <w:t xml:space="preserve"> provision in question does not compel the Contracting States to set up a second level of jurisdiction for the examination of the lawfulness of detention and for hearing applications for release. Nevertheless, a State which institutes such a system must in principle accord to the detainees the same guarantees on appeal as at first instance (</w:t>
      </w:r>
      <w:r w:rsidR="00E43CC4">
        <w:t xml:space="preserve">see, </w:t>
      </w:r>
      <w:r w:rsidR="00E43CC4">
        <w:rPr>
          <w:i/>
        </w:rPr>
        <w:t>mutatis mutandis</w:t>
      </w:r>
      <w:r w:rsidR="00E43CC4">
        <w:t>,</w:t>
      </w:r>
      <w:r w:rsidRPr="0011473C" w:rsidR="003341AD">
        <w:t xml:space="preserve"> </w:t>
      </w:r>
      <w:r w:rsidRPr="0011473C" w:rsidR="003341AD">
        <w:rPr>
          <w:i/>
          <w:lang w:eastAsia="en-US"/>
        </w:rPr>
        <w:t>Rapacciuolo v.</w:t>
      </w:r>
      <w:r w:rsidR="00E43CC4">
        <w:rPr>
          <w:i/>
          <w:lang w:eastAsia="en-US"/>
        </w:rPr>
        <w:t xml:space="preserve"> </w:t>
      </w:r>
      <w:r w:rsidRPr="0011473C" w:rsidR="003341AD">
        <w:rPr>
          <w:i/>
          <w:lang w:eastAsia="en-US"/>
        </w:rPr>
        <w:t>Italy</w:t>
      </w:r>
      <w:r w:rsidRPr="0011473C" w:rsidR="003341AD">
        <w:rPr>
          <w:lang w:eastAsia="en-US"/>
        </w:rPr>
        <w:t>, no. 76024/01, §</w:t>
      </w:r>
      <w:r w:rsidR="00D77899">
        <w:rPr>
          <w:lang w:eastAsia="en-US"/>
        </w:rPr>
        <w:t xml:space="preserve"> </w:t>
      </w:r>
      <w:r w:rsidRPr="0011473C" w:rsidR="003341AD">
        <w:rPr>
          <w:lang w:eastAsia="en-US"/>
        </w:rPr>
        <w:t xml:space="preserve">31, 19 May 2005; </w:t>
      </w:r>
      <w:r w:rsidRPr="0011473C" w:rsidR="003341AD">
        <w:rPr>
          <w:i/>
          <w:lang w:eastAsia="en-US"/>
        </w:rPr>
        <w:t>Singh v. the Czech Republic</w:t>
      </w:r>
      <w:r w:rsidRPr="0011473C" w:rsidR="003341AD">
        <w:rPr>
          <w:lang w:eastAsia="en-US"/>
        </w:rPr>
        <w:t>, no.</w:t>
      </w:r>
      <w:r w:rsidR="00E43CC4">
        <w:rPr>
          <w:lang w:eastAsia="en-US"/>
        </w:rPr>
        <w:t xml:space="preserve"> </w:t>
      </w:r>
      <w:r w:rsidRPr="0011473C" w:rsidR="003341AD">
        <w:rPr>
          <w:lang w:eastAsia="en-US"/>
        </w:rPr>
        <w:t>60538/00, §</w:t>
      </w:r>
      <w:r w:rsidR="00D77899">
        <w:rPr>
          <w:lang w:eastAsia="en-US"/>
        </w:rPr>
        <w:t xml:space="preserve"> </w:t>
      </w:r>
      <w:r w:rsidRPr="0011473C" w:rsidR="003341AD">
        <w:rPr>
          <w:lang w:eastAsia="en-US"/>
        </w:rPr>
        <w:t xml:space="preserve">74, 25 January 2005; and </w:t>
      </w:r>
      <w:r w:rsidRPr="0011473C" w:rsidR="003341AD">
        <w:rPr>
          <w:i/>
          <w:lang w:eastAsia="en-US"/>
        </w:rPr>
        <w:t>Navarra v. France</w:t>
      </w:r>
      <w:r w:rsidRPr="0011473C" w:rsidR="003341AD">
        <w:rPr>
          <w:lang w:eastAsia="en-US"/>
        </w:rPr>
        <w:t>, 23</w:t>
      </w:r>
      <w:r w:rsidR="00E43CC4">
        <w:rPr>
          <w:lang w:eastAsia="en-US"/>
        </w:rPr>
        <w:t> </w:t>
      </w:r>
      <w:r w:rsidRPr="0011473C" w:rsidR="003341AD">
        <w:rPr>
          <w:lang w:eastAsia="en-US"/>
        </w:rPr>
        <w:t xml:space="preserve">November 1993, </w:t>
      </w:r>
      <w:r w:rsidRPr="0011473C" w:rsidR="00E43CC4">
        <w:rPr>
          <w:lang w:eastAsia="en-US"/>
        </w:rPr>
        <w:t>§</w:t>
      </w:r>
      <w:r w:rsidR="00E43CC4">
        <w:rPr>
          <w:lang w:eastAsia="en-US"/>
        </w:rPr>
        <w:t xml:space="preserve"> </w:t>
      </w:r>
      <w:r w:rsidRPr="0011473C" w:rsidR="00E43CC4">
        <w:rPr>
          <w:lang w:eastAsia="en-US"/>
        </w:rPr>
        <w:t>28</w:t>
      </w:r>
      <w:r w:rsidR="00E43CC4">
        <w:rPr>
          <w:lang w:eastAsia="en-US"/>
        </w:rPr>
        <w:t xml:space="preserve">, </w:t>
      </w:r>
      <w:r w:rsidRPr="0011473C" w:rsidR="003341AD">
        <w:rPr>
          <w:lang w:eastAsia="en-US"/>
        </w:rPr>
        <w:t>Series A no. 273</w:t>
      </w:r>
      <w:r w:rsidR="00E43CC4">
        <w:rPr>
          <w:lang w:eastAsia="en-US"/>
        </w:rPr>
        <w:t>-</w:t>
      </w:r>
      <w:r w:rsidRPr="0011473C" w:rsidR="003341AD">
        <w:rPr>
          <w:lang w:eastAsia="en-US"/>
        </w:rPr>
        <w:t>B).</w:t>
      </w:r>
    </w:p>
    <w:p w:rsidRPr="0011473C" w:rsidR="003341AD" w:rsidRDefault="003341AD">
      <w:pPr>
        <w:pStyle w:val="JuPara"/>
        <w:rPr>
          <w:lang w:eastAsia="en-US"/>
        </w:rPr>
      </w:pPr>
      <w:r w:rsidRPr="0011473C">
        <w:rPr>
          <w:lang w:eastAsia="en-US"/>
        </w:rPr>
        <w:fldChar w:fldCharType="begin"/>
      </w:r>
      <w:r w:rsidRPr="0011473C">
        <w:rPr>
          <w:lang w:eastAsia="en-US"/>
        </w:rPr>
        <w:instrText xml:space="preserve"> SEQ level0 \*arabic </w:instrText>
      </w:r>
      <w:r w:rsidRPr="0011473C">
        <w:rPr>
          <w:lang w:eastAsia="en-US"/>
        </w:rPr>
        <w:fldChar w:fldCharType="separate"/>
      </w:r>
      <w:r w:rsidR="008B4220">
        <w:rPr>
          <w:noProof/>
          <w:lang w:eastAsia="en-US"/>
        </w:rPr>
        <w:t>40</w:t>
      </w:r>
      <w:r w:rsidRPr="0011473C">
        <w:rPr>
          <w:lang w:eastAsia="en-US"/>
        </w:rPr>
        <w:fldChar w:fldCharType="end"/>
      </w:r>
      <w:r w:rsidR="00F917BF">
        <w:rPr>
          <w:lang w:eastAsia="en-US"/>
        </w:rPr>
        <w:t>.  The Court notes that</w:t>
      </w:r>
      <w:r w:rsidRPr="0011473C">
        <w:rPr>
          <w:lang w:eastAsia="en-US"/>
        </w:rPr>
        <w:t xml:space="preserve"> at the time the appeal on points of law was lodged by the </w:t>
      </w:r>
      <w:r w:rsidR="00923AFD">
        <w:rPr>
          <w:lang w:eastAsia="en-US"/>
        </w:rPr>
        <w:t xml:space="preserve">public </w:t>
      </w:r>
      <w:r w:rsidRPr="0011473C">
        <w:rPr>
          <w:lang w:eastAsia="en-US"/>
        </w:rPr>
        <w:t>pro</w:t>
      </w:r>
      <w:r w:rsidR="00F917BF">
        <w:rPr>
          <w:lang w:eastAsia="en-US"/>
        </w:rPr>
        <w:t>secutor</w:t>
      </w:r>
      <w:r w:rsidR="00BB5349">
        <w:rPr>
          <w:lang w:eastAsia="en-US"/>
        </w:rPr>
        <w:t>’</w:t>
      </w:r>
      <w:r w:rsidR="00F917BF">
        <w:rPr>
          <w:lang w:eastAsia="en-US"/>
        </w:rPr>
        <w:t>s office</w:t>
      </w:r>
      <w:r w:rsidRPr="0011473C">
        <w:rPr>
          <w:lang w:eastAsia="en-US"/>
        </w:rPr>
        <w:t xml:space="preserve"> the applicant</w:t>
      </w:r>
      <w:r w:rsidRPr="0011473C" w:rsidR="00D942F6">
        <w:rPr>
          <w:lang w:eastAsia="en-US"/>
        </w:rPr>
        <w:t xml:space="preserve"> was not </w:t>
      </w:r>
      <w:r w:rsidR="001654A2">
        <w:rPr>
          <w:lang w:eastAsia="en-US"/>
        </w:rPr>
        <w:t>being held in custody</w:t>
      </w:r>
      <w:r w:rsidRPr="0011473C" w:rsidR="00D942F6">
        <w:rPr>
          <w:lang w:eastAsia="en-US"/>
        </w:rPr>
        <w:t xml:space="preserve">, </w:t>
      </w:r>
      <w:r w:rsidR="00F917BF">
        <w:rPr>
          <w:lang w:eastAsia="en-US"/>
        </w:rPr>
        <w:t>having been released pursuant to an order of</w:t>
      </w:r>
      <w:r w:rsidRPr="0011473C" w:rsidR="00D942F6">
        <w:rPr>
          <w:lang w:eastAsia="en-US"/>
        </w:rPr>
        <w:t xml:space="preserve"> the Specialised Division of the Palermo District Court on 2 August 1999. However, in calling for that decision to be quashed, the </w:t>
      </w:r>
      <w:r w:rsidR="00F917BF">
        <w:rPr>
          <w:lang w:eastAsia="en-US"/>
        </w:rPr>
        <w:t xml:space="preserve">public </w:t>
      </w:r>
      <w:r w:rsidRPr="0011473C" w:rsidR="00D942F6">
        <w:rPr>
          <w:lang w:eastAsia="en-US"/>
        </w:rPr>
        <w:t>prosecutor</w:t>
      </w:r>
      <w:r w:rsidR="00BB5349">
        <w:rPr>
          <w:lang w:eastAsia="en-US"/>
        </w:rPr>
        <w:t>’</w:t>
      </w:r>
      <w:r w:rsidRPr="0011473C" w:rsidR="00D942F6">
        <w:rPr>
          <w:lang w:eastAsia="en-US"/>
        </w:rPr>
        <w:t xml:space="preserve">s office </w:t>
      </w:r>
      <w:r w:rsidR="009761B8">
        <w:rPr>
          <w:lang w:eastAsia="en-US"/>
        </w:rPr>
        <w:t>had sought</w:t>
      </w:r>
      <w:r w:rsidRPr="0011473C" w:rsidR="00D942F6">
        <w:rPr>
          <w:lang w:eastAsia="en-US"/>
        </w:rPr>
        <w:t xml:space="preserve">, through the cassation and remittal procedures, to have the </w:t>
      </w:r>
      <w:r w:rsidR="009761B8">
        <w:rPr>
          <w:lang w:eastAsia="en-US"/>
        </w:rPr>
        <w:t>detention</w:t>
      </w:r>
      <w:r w:rsidRPr="0011473C" w:rsidR="00D942F6">
        <w:rPr>
          <w:lang w:eastAsia="en-US"/>
        </w:rPr>
        <w:t xml:space="preserve"> order upheld. If the prosecution</w:t>
      </w:r>
      <w:r w:rsidR="00BB5349">
        <w:rPr>
          <w:lang w:eastAsia="en-US"/>
        </w:rPr>
        <w:t>’</w:t>
      </w:r>
      <w:r w:rsidRPr="0011473C" w:rsidR="00D942F6">
        <w:rPr>
          <w:lang w:eastAsia="en-US"/>
        </w:rPr>
        <w:t>s appeal w</w:t>
      </w:r>
      <w:r w:rsidRPr="0011473C" w:rsidR="00602EFF">
        <w:rPr>
          <w:lang w:eastAsia="en-US"/>
        </w:rPr>
        <w:t>as</w:t>
      </w:r>
      <w:r w:rsidRPr="0011473C" w:rsidR="00D942F6">
        <w:rPr>
          <w:lang w:eastAsia="en-US"/>
        </w:rPr>
        <w:t xml:space="preserve"> dismissed, the decision to release the applicant would become final. But if it was </w:t>
      </w:r>
      <w:r w:rsidRPr="0011473C" w:rsidR="00602EFF">
        <w:rPr>
          <w:lang w:eastAsia="en-US"/>
        </w:rPr>
        <w:t xml:space="preserve">allowed, the question whether it was appropriate to remand the applicant in custody would be referred back to the court below, which would be required to adhere to the legal principles laid down by the Court of Cassation. In those circumstances, the Court considers that the outcome of the proceedings in the </w:t>
      </w:r>
      <w:r w:rsidR="00756A73">
        <w:rPr>
          <w:lang w:eastAsia="en-US"/>
        </w:rPr>
        <w:t>Court of Cassation</w:t>
      </w:r>
      <w:r w:rsidRPr="0011473C" w:rsidR="00602EFF">
        <w:rPr>
          <w:lang w:eastAsia="en-US"/>
        </w:rPr>
        <w:t xml:space="preserve"> was crucial to </w:t>
      </w:r>
      <w:r w:rsidR="009761B8">
        <w:rPr>
          <w:lang w:eastAsia="en-US"/>
        </w:rPr>
        <w:t>the</w:t>
      </w:r>
      <w:r w:rsidRPr="0011473C" w:rsidR="00602EFF">
        <w:rPr>
          <w:lang w:eastAsia="en-US"/>
        </w:rPr>
        <w:t xml:space="preserve"> decision as to the lawfulness of the applicant</w:t>
      </w:r>
      <w:r w:rsidR="00BB5349">
        <w:rPr>
          <w:lang w:eastAsia="en-US"/>
        </w:rPr>
        <w:t>’</w:t>
      </w:r>
      <w:r w:rsidRPr="0011473C" w:rsidR="00602EFF">
        <w:rPr>
          <w:lang w:eastAsia="en-US"/>
        </w:rPr>
        <w:t xml:space="preserve">s detention. It cannot therefore </w:t>
      </w:r>
      <w:r w:rsidR="009761B8">
        <w:rPr>
          <w:lang w:eastAsia="en-US"/>
        </w:rPr>
        <w:t>subscribe to</w:t>
      </w:r>
      <w:r w:rsidRPr="0011473C" w:rsidR="00602EFF">
        <w:rPr>
          <w:lang w:eastAsia="en-US"/>
        </w:rPr>
        <w:t xml:space="preserve"> the Government</w:t>
      </w:r>
      <w:r w:rsidR="00BB5349">
        <w:rPr>
          <w:lang w:eastAsia="en-US"/>
        </w:rPr>
        <w:t>’</w:t>
      </w:r>
      <w:r w:rsidRPr="0011473C" w:rsidR="00602EFF">
        <w:rPr>
          <w:lang w:eastAsia="en-US"/>
        </w:rPr>
        <w:t xml:space="preserve">s argument that Article 5 § 4 was not applicable to the proceedings before the Court of Cassation </w:t>
      </w:r>
      <w:r w:rsidR="00756A73">
        <w:rPr>
          <w:lang w:eastAsia="en-US"/>
        </w:rPr>
        <w:t xml:space="preserve">when it ruled on the appeal </w:t>
      </w:r>
      <w:r w:rsidR="009761B8">
        <w:rPr>
          <w:lang w:eastAsia="en-US"/>
        </w:rPr>
        <w:t>by</w:t>
      </w:r>
      <w:r w:rsidR="00756A73">
        <w:rPr>
          <w:lang w:eastAsia="en-US"/>
        </w:rPr>
        <w:t xml:space="preserve"> the </w:t>
      </w:r>
      <w:r w:rsidR="009761B8">
        <w:rPr>
          <w:lang w:eastAsia="en-US"/>
        </w:rPr>
        <w:t xml:space="preserve">public </w:t>
      </w:r>
      <w:r w:rsidR="00756A73">
        <w:rPr>
          <w:lang w:eastAsia="en-US"/>
        </w:rPr>
        <w:t>prosecutor</w:t>
      </w:r>
      <w:r w:rsidR="00BB5349">
        <w:rPr>
          <w:lang w:eastAsia="en-US"/>
        </w:rPr>
        <w:t>’</w:t>
      </w:r>
      <w:r w:rsidR="00756A73">
        <w:rPr>
          <w:lang w:eastAsia="en-US"/>
        </w:rPr>
        <w:t>s office</w:t>
      </w:r>
      <w:r w:rsidRPr="0011473C" w:rsidR="00602EFF">
        <w:rPr>
          <w:lang w:eastAsia="en-US"/>
        </w:rPr>
        <w:t>.</w:t>
      </w:r>
    </w:p>
    <w:p w:rsidRPr="0011473C" w:rsidR="00602EFF" w:rsidRDefault="00602EFF">
      <w:pPr>
        <w:pStyle w:val="JuPara"/>
        <w:rPr>
          <w:lang w:eastAsia="en-US"/>
        </w:rPr>
      </w:pPr>
      <w:r w:rsidRPr="0011473C">
        <w:rPr>
          <w:lang w:eastAsia="en-US"/>
        </w:rPr>
        <w:fldChar w:fldCharType="begin"/>
      </w:r>
      <w:r w:rsidRPr="0011473C">
        <w:rPr>
          <w:lang w:eastAsia="en-US"/>
        </w:rPr>
        <w:instrText xml:space="preserve"> SEQ level0 \*arabic </w:instrText>
      </w:r>
      <w:r w:rsidRPr="0011473C">
        <w:rPr>
          <w:lang w:eastAsia="en-US"/>
        </w:rPr>
        <w:fldChar w:fldCharType="separate"/>
      </w:r>
      <w:r w:rsidR="008B4220">
        <w:rPr>
          <w:noProof/>
          <w:lang w:eastAsia="en-US"/>
        </w:rPr>
        <w:t>41</w:t>
      </w:r>
      <w:r w:rsidRPr="0011473C">
        <w:rPr>
          <w:lang w:eastAsia="en-US"/>
        </w:rPr>
        <w:fldChar w:fldCharType="end"/>
      </w:r>
      <w:r w:rsidRPr="0011473C">
        <w:rPr>
          <w:lang w:eastAsia="en-US"/>
        </w:rPr>
        <w:t xml:space="preserve">.  The Court further reiterates that a </w:t>
      </w:r>
      <w:r w:rsidRPr="0011473C">
        <w:t xml:space="preserve">court examining an appeal against detention must provide guarantees of a judicial procedure. The proceedings must be adversarial and must always ensure “equality of arms” between the parties, </w:t>
      </w:r>
      <w:r w:rsidR="00E43CC4">
        <w:t>th</w:t>
      </w:r>
      <w:r w:rsidR="008B4220">
        <w:t>a</w:t>
      </w:r>
      <w:r w:rsidR="00E43CC4">
        <w:t xml:space="preserve">t is, </w:t>
      </w:r>
      <w:r w:rsidRPr="0011473C">
        <w:t xml:space="preserve">the prosecutor and the detained person. Equality of arms is not ensured if counsel is denied access to those documents in the investigation file which are essential in order to challenge </w:t>
      </w:r>
      <w:r w:rsidRPr="0011473C" w:rsidR="00475984">
        <w:t xml:space="preserve">effectively </w:t>
      </w:r>
      <w:r w:rsidRPr="0011473C">
        <w:t>the lawfulness of his client</w:t>
      </w:r>
      <w:r w:rsidR="00BB5349">
        <w:t>’</w:t>
      </w:r>
      <w:r w:rsidRPr="0011473C">
        <w:t>s detention. In the case of a person whose detention falls within the ambit of Article</w:t>
      </w:r>
      <w:r w:rsidR="00D77899">
        <w:t xml:space="preserve"> </w:t>
      </w:r>
      <w:r w:rsidRPr="0011473C">
        <w:t>5 §</w:t>
      </w:r>
      <w:r w:rsidR="00D77899">
        <w:t xml:space="preserve"> </w:t>
      </w:r>
      <w:r w:rsidRPr="0011473C">
        <w:t xml:space="preserve">1 (c), a hearing is required (see, among other authorities, </w:t>
      </w:r>
      <w:r w:rsidRPr="0011473C">
        <w:rPr>
          <w:i/>
          <w:lang w:eastAsia="en-US"/>
        </w:rPr>
        <w:t xml:space="preserve">Lamy v. </w:t>
      </w:r>
      <w:smartTag w:uri="urn:schemas-microsoft-com:office:smarttags" w:element="place">
        <w:smartTag w:uri="urn:schemas-microsoft-com:office:smarttags" w:element="country-region">
          <w:r w:rsidRPr="0011473C">
            <w:rPr>
              <w:i/>
              <w:lang w:eastAsia="en-US"/>
            </w:rPr>
            <w:t>Belgium</w:t>
          </w:r>
        </w:smartTag>
      </w:smartTag>
      <w:r w:rsidRPr="0011473C">
        <w:rPr>
          <w:lang w:eastAsia="en-US"/>
        </w:rPr>
        <w:t xml:space="preserve">, 30 March 1989, </w:t>
      </w:r>
      <w:r w:rsidR="00E43CC4">
        <w:rPr>
          <w:lang w:eastAsia="en-US"/>
        </w:rPr>
        <w:t xml:space="preserve">§ </w:t>
      </w:r>
      <w:r w:rsidRPr="0011473C" w:rsidR="00E43CC4">
        <w:rPr>
          <w:lang w:eastAsia="en-US"/>
        </w:rPr>
        <w:t>29</w:t>
      </w:r>
      <w:r w:rsidR="00E43CC4">
        <w:rPr>
          <w:lang w:eastAsia="en-US"/>
        </w:rPr>
        <w:t xml:space="preserve">, </w:t>
      </w:r>
      <w:r w:rsidRPr="0011473C">
        <w:rPr>
          <w:lang w:eastAsia="en-US"/>
        </w:rPr>
        <w:t xml:space="preserve">Series A no. 151, </w:t>
      </w:r>
      <w:r w:rsidRPr="0011473C" w:rsidR="00007FB1">
        <w:rPr>
          <w:lang w:eastAsia="en-US"/>
        </w:rPr>
        <w:t xml:space="preserve">and </w:t>
      </w:r>
      <w:r w:rsidRPr="0011473C" w:rsidR="00007FB1">
        <w:rPr>
          <w:i/>
          <w:lang w:eastAsia="en-US"/>
        </w:rPr>
        <w:t>Nikolova</w:t>
      </w:r>
      <w:r w:rsidRPr="00E43CC4" w:rsidR="00E43CC4">
        <w:rPr>
          <w:lang w:eastAsia="en-US"/>
        </w:rPr>
        <w:t>,</w:t>
      </w:r>
      <w:r w:rsidR="00E43CC4">
        <w:rPr>
          <w:lang w:eastAsia="en-US"/>
        </w:rPr>
        <w:t xml:space="preserve"> </w:t>
      </w:r>
      <w:r w:rsidRPr="00E43CC4" w:rsidR="00E43CC4">
        <w:rPr>
          <w:lang w:eastAsia="en-US"/>
        </w:rPr>
        <w:t>cited above</w:t>
      </w:r>
      <w:r w:rsidRPr="0011473C" w:rsidR="00007FB1">
        <w:rPr>
          <w:lang w:eastAsia="en-US"/>
        </w:rPr>
        <w:t>, §</w:t>
      </w:r>
      <w:r w:rsidR="00D77899">
        <w:rPr>
          <w:lang w:eastAsia="en-US"/>
        </w:rPr>
        <w:t xml:space="preserve"> </w:t>
      </w:r>
      <w:r w:rsidRPr="0011473C" w:rsidR="00007FB1">
        <w:rPr>
          <w:lang w:eastAsia="en-US"/>
        </w:rPr>
        <w:t>58).</w:t>
      </w:r>
    </w:p>
    <w:p w:rsidRPr="0011473C" w:rsidR="003341AD" w:rsidRDefault="00007FB1">
      <w:pPr>
        <w:pStyle w:val="JuPara"/>
        <w:rPr>
          <w:lang w:eastAsia="en-US"/>
        </w:rPr>
      </w:pPr>
      <w:r w:rsidRPr="0011473C">
        <w:rPr>
          <w:lang w:eastAsia="en-US"/>
        </w:rPr>
        <w:fldChar w:fldCharType="begin"/>
      </w:r>
      <w:r w:rsidRPr="0011473C">
        <w:rPr>
          <w:lang w:eastAsia="en-US"/>
        </w:rPr>
        <w:instrText xml:space="preserve"> SEQ level0 \*arabic </w:instrText>
      </w:r>
      <w:r w:rsidRPr="0011473C">
        <w:rPr>
          <w:lang w:eastAsia="en-US"/>
        </w:rPr>
        <w:fldChar w:fldCharType="separate"/>
      </w:r>
      <w:r w:rsidR="008B4220">
        <w:rPr>
          <w:noProof/>
          <w:lang w:eastAsia="en-US"/>
        </w:rPr>
        <w:t>42</w:t>
      </w:r>
      <w:r w:rsidRPr="0011473C">
        <w:rPr>
          <w:lang w:eastAsia="en-US"/>
        </w:rPr>
        <w:fldChar w:fldCharType="end"/>
      </w:r>
      <w:r w:rsidRPr="0011473C">
        <w:rPr>
          <w:lang w:eastAsia="en-US"/>
        </w:rPr>
        <w:t>.  </w:t>
      </w:r>
      <w:r w:rsidRPr="0011473C">
        <w:t>These requirements are derived from the right to an adversarial trial as laid down in Article 6 of the Convention, which means, in a criminal case, that both the prosecution and the defence must be given the opportunity to have knowledge of and comment on the observations filed and the evidence adduced by the other party. According to the Court</w:t>
      </w:r>
      <w:r w:rsidR="00BB5349">
        <w:t>’</w:t>
      </w:r>
      <w:r w:rsidRPr="0011473C">
        <w:t xml:space="preserve">s case-law, it follows from the wording of Article 6 – and particularly from the autonomous meaning to be given to the notion of “criminal charge” – that this provision has some application to pre-trial proceedings (see </w:t>
      </w:r>
      <w:r w:rsidRPr="0011473C">
        <w:rPr>
          <w:i/>
        </w:rPr>
        <w:t>Imbrioscia v.</w:t>
      </w:r>
      <w:r w:rsidR="00D77899">
        <w:rPr>
          <w:i/>
        </w:rPr>
        <w:t xml:space="preserve"> </w:t>
      </w:r>
      <w:r w:rsidRPr="0011473C">
        <w:rPr>
          <w:i/>
        </w:rPr>
        <w:t>Switzerland</w:t>
      </w:r>
      <w:r w:rsidR="00E43CC4">
        <w:t>,</w:t>
      </w:r>
      <w:r w:rsidRPr="0011473C">
        <w:t xml:space="preserve"> 24 November 1993, </w:t>
      </w:r>
      <w:r w:rsidRPr="0011473C" w:rsidR="00E43CC4">
        <w:t>§</w:t>
      </w:r>
      <w:r w:rsidR="00E43CC4">
        <w:t xml:space="preserve"> </w:t>
      </w:r>
      <w:r w:rsidRPr="0011473C" w:rsidR="00E43CC4">
        <w:t>36</w:t>
      </w:r>
      <w:r w:rsidR="00E43CC4">
        <w:t xml:space="preserve">, </w:t>
      </w:r>
      <w:r w:rsidRPr="0011473C">
        <w:t>Series A no.</w:t>
      </w:r>
      <w:r w:rsidR="00E43CC4">
        <w:t xml:space="preserve"> </w:t>
      </w:r>
      <w:r w:rsidRPr="0011473C">
        <w:t>275). It thus follows that, in view of the dramatic impact of deprivation of liberty on the fundamental rights of the person concerned, proceedings conducted under Article 5 § 4 of the Convention should in principle also meet, to the largest extent possible u</w:t>
      </w:r>
      <w:r w:rsidR="00475984">
        <w:t>nder the circumstances of an on</w:t>
      </w:r>
      <w:r w:rsidRPr="0011473C">
        <w:t xml:space="preserve">going investigation, the basic requirements of a fair trial, such as the right to an adversarial procedure. While national law may satisfy this requirement in various ways, whatever method is chosen should ensure that the other party will be aware that observations have been filed and will have a real opportunity to comment thereon (see </w:t>
      </w:r>
      <w:r w:rsidRPr="0011473C">
        <w:rPr>
          <w:i/>
          <w:lang w:eastAsia="en-US"/>
        </w:rPr>
        <w:t>Garcia Alva v. Germany</w:t>
      </w:r>
      <w:r w:rsidRPr="0011473C">
        <w:rPr>
          <w:lang w:eastAsia="en-US"/>
        </w:rPr>
        <w:t>, no.</w:t>
      </w:r>
      <w:r w:rsidR="00475984">
        <w:rPr>
          <w:lang w:eastAsia="en-US"/>
        </w:rPr>
        <w:t xml:space="preserve"> </w:t>
      </w:r>
      <w:r w:rsidR="00D77899">
        <w:rPr>
          <w:lang w:eastAsia="en-US"/>
        </w:rPr>
        <w:t xml:space="preserve">23541/94, § </w:t>
      </w:r>
      <w:r w:rsidR="00475984">
        <w:rPr>
          <w:lang w:eastAsia="en-US"/>
        </w:rPr>
        <w:t>39, 13 </w:t>
      </w:r>
      <w:r w:rsidRPr="0011473C">
        <w:rPr>
          <w:lang w:eastAsia="en-US"/>
        </w:rPr>
        <w:t>February 2001).</w:t>
      </w:r>
    </w:p>
    <w:p w:rsidRPr="0011473C" w:rsidR="00007FB1" w:rsidRDefault="00007FB1">
      <w:pPr>
        <w:pStyle w:val="JuPara"/>
        <w:rPr>
          <w:lang w:eastAsia="en-US"/>
        </w:rPr>
      </w:pPr>
      <w:r w:rsidRPr="0011473C">
        <w:rPr>
          <w:lang w:eastAsia="en-US"/>
        </w:rPr>
        <w:fldChar w:fldCharType="begin"/>
      </w:r>
      <w:r w:rsidRPr="0011473C">
        <w:rPr>
          <w:lang w:eastAsia="en-US"/>
        </w:rPr>
        <w:instrText xml:space="preserve"> SEQ level0 \*arabic </w:instrText>
      </w:r>
      <w:r w:rsidRPr="0011473C">
        <w:rPr>
          <w:lang w:eastAsia="en-US"/>
        </w:rPr>
        <w:fldChar w:fldCharType="separate"/>
      </w:r>
      <w:r w:rsidR="008B4220">
        <w:rPr>
          <w:noProof/>
          <w:lang w:eastAsia="en-US"/>
        </w:rPr>
        <w:t>43</w:t>
      </w:r>
      <w:r w:rsidRPr="0011473C">
        <w:rPr>
          <w:lang w:eastAsia="en-US"/>
        </w:rPr>
        <w:fldChar w:fldCharType="end"/>
      </w:r>
      <w:r w:rsidRPr="0011473C">
        <w:rPr>
          <w:lang w:eastAsia="en-US"/>
        </w:rPr>
        <w:t xml:space="preserve">.  In the present case, the Court of Cassation </w:t>
      </w:r>
      <w:r w:rsidR="009761B8">
        <w:rPr>
          <w:lang w:eastAsia="en-US"/>
        </w:rPr>
        <w:t>set the appeal by the public prosecutor</w:t>
      </w:r>
      <w:r w:rsidR="00BB5349">
        <w:rPr>
          <w:lang w:eastAsia="en-US"/>
        </w:rPr>
        <w:t>’</w:t>
      </w:r>
      <w:r w:rsidR="009761B8">
        <w:rPr>
          <w:lang w:eastAsia="en-US"/>
        </w:rPr>
        <w:t>s office down for</w:t>
      </w:r>
      <w:r w:rsidRPr="0011473C">
        <w:rPr>
          <w:lang w:eastAsia="en-US"/>
        </w:rPr>
        <w:t xml:space="preserve"> </w:t>
      </w:r>
      <w:r w:rsidR="001654A2">
        <w:rPr>
          <w:lang w:eastAsia="en-US"/>
        </w:rPr>
        <w:t>a</w:t>
      </w:r>
      <w:r w:rsidRPr="0011473C">
        <w:rPr>
          <w:lang w:eastAsia="en-US"/>
        </w:rPr>
        <w:t xml:space="preserve"> hearing </w:t>
      </w:r>
      <w:r w:rsidR="009761B8">
        <w:rPr>
          <w:lang w:eastAsia="en-US"/>
        </w:rPr>
        <w:t>on</w:t>
      </w:r>
      <w:r w:rsidRPr="0011473C">
        <w:rPr>
          <w:lang w:eastAsia="en-US"/>
        </w:rPr>
        <w:t xml:space="preserve"> 15 February 2000. </w:t>
      </w:r>
      <w:r w:rsidRPr="0011473C" w:rsidR="004867DA">
        <w:rPr>
          <w:lang w:eastAsia="en-US"/>
        </w:rPr>
        <w:t xml:space="preserve">However, no summons to appear was served on the applicant or his counsel. The </w:t>
      </w:r>
      <w:r w:rsidR="00E43CC4">
        <w:rPr>
          <w:lang w:eastAsia="en-US"/>
        </w:rPr>
        <w:t>accused</w:t>
      </w:r>
      <w:r w:rsidRPr="0011473C" w:rsidR="004867DA">
        <w:rPr>
          <w:lang w:eastAsia="en-US"/>
        </w:rPr>
        <w:t xml:space="preserve"> was thus unable to file pleadings or to present oral argument at</w:t>
      </w:r>
      <w:r w:rsidR="00AE74E8">
        <w:rPr>
          <w:lang w:eastAsia="en-US"/>
        </w:rPr>
        <w:t xml:space="preserve"> the hearing</w:t>
      </w:r>
      <w:r w:rsidR="009D21C4">
        <w:rPr>
          <w:lang w:eastAsia="en-US"/>
        </w:rPr>
        <w:t>,</w:t>
      </w:r>
      <w:r w:rsidR="00AE74E8">
        <w:rPr>
          <w:lang w:eastAsia="en-US"/>
        </w:rPr>
        <w:t xml:space="preserve"> in response to the submissions of the</w:t>
      </w:r>
      <w:r w:rsidRPr="0011473C" w:rsidR="004867DA">
        <w:rPr>
          <w:lang w:eastAsia="en-US"/>
        </w:rPr>
        <w:t xml:space="preserve"> </w:t>
      </w:r>
      <w:r w:rsidR="009D21C4">
        <w:rPr>
          <w:lang w:eastAsia="en-US"/>
        </w:rPr>
        <w:t xml:space="preserve">public </w:t>
      </w:r>
      <w:r w:rsidRPr="0011473C" w:rsidR="004867DA">
        <w:rPr>
          <w:lang w:eastAsia="en-US"/>
        </w:rPr>
        <w:t>prosecut</w:t>
      </w:r>
      <w:r w:rsidR="00AE74E8">
        <w:rPr>
          <w:lang w:eastAsia="en-US"/>
        </w:rPr>
        <w:t>or</w:t>
      </w:r>
      <w:r w:rsidR="00BB5349">
        <w:rPr>
          <w:lang w:eastAsia="en-US"/>
        </w:rPr>
        <w:t>’</w:t>
      </w:r>
      <w:r w:rsidR="00AE74E8">
        <w:rPr>
          <w:lang w:eastAsia="en-US"/>
        </w:rPr>
        <w:t>s office</w:t>
      </w:r>
      <w:r w:rsidRPr="0011473C" w:rsidR="004867DA">
        <w:rPr>
          <w:lang w:eastAsia="en-US"/>
        </w:rPr>
        <w:t>. By contrast, a representative of th</w:t>
      </w:r>
      <w:r w:rsidR="00AE74E8">
        <w:rPr>
          <w:lang w:eastAsia="en-US"/>
        </w:rPr>
        <w:t>at office</w:t>
      </w:r>
      <w:r w:rsidRPr="0011473C" w:rsidR="004867DA">
        <w:rPr>
          <w:lang w:eastAsia="en-US"/>
        </w:rPr>
        <w:t xml:space="preserve"> was able to </w:t>
      </w:r>
      <w:r w:rsidR="009D21C4">
        <w:rPr>
          <w:lang w:eastAsia="en-US"/>
        </w:rPr>
        <w:t>do so</w:t>
      </w:r>
      <w:r w:rsidRPr="0011473C" w:rsidR="004867DA">
        <w:rPr>
          <w:lang w:eastAsia="en-US"/>
        </w:rPr>
        <w:t xml:space="preserve"> before the Court of Cassation.</w:t>
      </w:r>
    </w:p>
    <w:p w:rsidRPr="0011473C" w:rsidR="004867DA" w:rsidRDefault="004867DA">
      <w:pPr>
        <w:pStyle w:val="JuPara"/>
        <w:rPr>
          <w:lang w:eastAsia="en-US"/>
        </w:rPr>
      </w:pPr>
      <w:r w:rsidRPr="0011473C">
        <w:rPr>
          <w:lang w:eastAsia="en-US"/>
        </w:rPr>
        <w:fldChar w:fldCharType="begin"/>
      </w:r>
      <w:r w:rsidRPr="0011473C">
        <w:rPr>
          <w:lang w:eastAsia="en-US"/>
        </w:rPr>
        <w:instrText xml:space="preserve"> SEQ level0 \*arabic </w:instrText>
      </w:r>
      <w:r w:rsidRPr="0011473C">
        <w:rPr>
          <w:lang w:eastAsia="en-US"/>
        </w:rPr>
        <w:fldChar w:fldCharType="separate"/>
      </w:r>
      <w:r w:rsidR="008B4220">
        <w:rPr>
          <w:noProof/>
          <w:lang w:eastAsia="en-US"/>
        </w:rPr>
        <w:t>44</w:t>
      </w:r>
      <w:r w:rsidRPr="0011473C">
        <w:rPr>
          <w:lang w:eastAsia="en-US"/>
        </w:rPr>
        <w:fldChar w:fldCharType="end"/>
      </w:r>
      <w:r w:rsidR="009D21C4">
        <w:rPr>
          <w:lang w:eastAsia="en-US"/>
        </w:rPr>
        <w:t>.  In these circumstances</w:t>
      </w:r>
      <w:r w:rsidRPr="0011473C">
        <w:rPr>
          <w:lang w:eastAsia="en-US"/>
        </w:rPr>
        <w:t xml:space="preserve"> the Court is unable to find that the requirements of adversarial proceedings and equality of arms were met.</w:t>
      </w:r>
    </w:p>
    <w:p w:rsidRPr="0011473C" w:rsidR="00007FB1" w:rsidRDefault="004867DA">
      <w:pPr>
        <w:pStyle w:val="JuPara"/>
        <w:rPr>
          <w:lang w:eastAsia="en-US"/>
        </w:rPr>
      </w:pPr>
      <w:r w:rsidRPr="0011473C">
        <w:rPr>
          <w:lang w:eastAsia="en-US"/>
        </w:rPr>
        <w:fldChar w:fldCharType="begin"/>
      </w:r>
      <w:r w:rsidRPr="0011473C">
        <w:rPr>
          <w:lang w:eastAsia="en-US"/>
        </w:rPr>
        <w:instrText xml:space="preserve"> SEQ level0 \*arabic </w:instrText>
      </w:r>
      <w:r w:rsidRPr="0011473C">
        <w:rPr>
          <w:lang w:eastAsia="en-US"/>
        </w:rPr>
        <w:fldChar w:fldCharType="separate"/>
      </w:r>
      <w:r w:rsidR="008B4220">
        <w:rPr>
          <w:noProof/>
          <w:lang w:eastAsia="en-US"/>
        </w:rPr>
        <w:t>45</w:t>
      </w:r>
      <w:r w:rsidRPr="0011473C">
        <w:rPr>
          <w:lang w:eastAsia="en-US"/>
        </w:rPr>
        <w:fldChar w:fldCharType="end"/>
      </w:r>
      <w:r w:rsidRPr="0011473C">
        <w:rPr>
          <w:lang w:eastAsia="en-US"/>
        </w:rPr>
        <w:t>.  There has therefore been a violation of Article 5 § 4 of the Convention.</w:t>
      </w:r>
    </w:p>
    <w:p w:rsidRPr="0011473C" w:rsidR="00CD49A7" w:rsidRDefault="003341AD">
      <w:pPr>
        <w:pStyle w:val="JuHIRoman"/>
      </w:pPr>
      <w:r w:rsidRPr="0011473C">
        <w:t>II</w:t>
      </w:r>
      <w:r w:rsidRPr="0011473C" w:rsidR="00CD49A7">
        <w:t>.  APPLICATION OF ARTICLE 41 OF THE CONVENTION</w:t>
      </w:r>
    </w:p>
    <w:p w:rsidRPr="0011473C" w:rsidR="00CD49A7" w:rsidRDefault="009152DD">
      <w:pPr>
        <w:pStyle w:val="JuPara"/>
        <w:keepNext/>
        <w:keepLines/>
      </w:pPr>
      <w:r w:rsidRPr="0011473C">
        <w:fldChar w:fldCharType="begin"/>
      </w:r>
      <w:r w:rsidRPr="0011473C">
        <w:instrText xml:space="preserve"> SEQ level0 \*arabic </w:instrText>
      </w:r>
      <w:r w:rsidRPr="0011473C">
        <w:fldChar w:fldCharType="separate"/>
      </w:r>
      <w:r w:rsidR="008B4220">
        <w:rPr>
          <w:noProof/>
        </w:rPr>
        <w:t>46</w:t>
      </w:r>
      <w:r w:rsidRPr="0011473C">
        <w:fldChar w:fldCharType="end"/>
      </w:r>
      <w:r w:rsidRPr="0011473C" w:rsidR="00CD49A7">
        <w:t>.  Article 41 of the Convention provides:</w:t>
      </w:r>
    </w:p>
    <w:p w:rsidRPr="0011473C" w:rsidR="00CD49A7" w:rsidRDefault="00CD49A7">
      <w:pPr>
        <w:pStyle w:val="JuQuot"/>
        <w:keepNext/>
        <w:keepLines/>
      </w:pPr>
      <w:r w:rsidRPr="0011473C">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11473C" w:rsidR="00CD49A7" w:rsidRDefault="00CD49A7">
      <w:pPr>
        <w:pStyle w:val="JuHA"/>
      </w:pPr>
      <w:r w:rsidRPr="0011473C">
        <w:t>A.  Damage</w:t>
      </w:r>
    </w:p>
    <w:p w:rsidRPr="0011473C" w:rsidR="00CD49A7" w:rsidRDefault="00075F3B">
      <w:pPr>
        <w:pStyle w:val="JuPara"/>
      </w:pPr>
      <w:r w:rsidRPr="0011473C">
        <w:fldChar w:fldCharType="begin"/>
      </w:r>
      <w:r w:rsidRPr="0011473C">
        <w:instrText xml:space="preserve"> SEQ level0 \*arabic </w:instrText>
      </w:r>
      <w:r w:rsidRPr="0011473C">
        <w:fldChar w:fldCharType="separate"/>
      </w:r>
      <w:r w:rsidR="008B4220">
        <w:rPr>
          <w:noProof/>
        </w:rPr>
        <w:t>47</w:t>
      </w:r>
      <w:r w:rsidRPr="0011473C">
        <w:fldChar w:fldCharType="end"/>
      </w:r>
      <w:r w:rsidRPr="0011473C">
        <w:t>.  The applicant claimed to have sustained serious pecuniary and non-pecuniary damage as a result of being deprived of</w:t>
      </w:r>
      <w:r w:rsidR="009D21C4">
        <w:t xml:space="preserve"> his</w:t>
      </w:r>
      <w:r w:rsidRPr="0011473C">
        <w:t xml:space="preserve"> liberty. </w:t>
      </w:r>
      <w:r w:rsidR="009D21C4">
        <w:t>He</w:t>
      </w:r>
      <w:r w:rsidRPr="0011473C">
        <w:t xml:space="preserve"> had </w:t>
      </w:r>
      <w:r w:rsidR="009D21C4">
        <w:t xml:space="preserve">been </w:t>
      </w:r>
      <w:r w:rsidRPr="0011473C">
        <w:t xml:space="preserve">prevented from receiving certain </w:t>
      </w:r>
      <w:r w:rsidR="001654A2">
        <w:t>State</w:t>
      </w:r>
      <w:r w:rsidRPr="0011473C">
        <w:t xml:space="preserve"> financing for his oil-production business. In addition, his social and family life had been seriously disrupted.</w:t>
      </w:r>
    </w:p>
    <w:p w:rsidRPr="0011473C" w:rsidR="00075F3B" w:rsidRDefault="00075F3B">
      <w:pPr>
        <w:pStyle w:val="JuPara"/>
        <w:rPr>
          <w:lang w:eastAsia="en-US"/>
        </w:rPr>
      </w:pPr>
      <w:r w:rsidRPr="0011473C">
        <w:fldChar w:fldCharType="begin"/>
      </w:r>
      <w:r w:rsidRPr="0011473C">
        <w:instrText xml:space="preserve"> SEQ level0 \*arabic </w:instrText>
      </w:r>
      <w:r w:rsidRPr="0011473C">
        <w:fldChar w:fldCharType="separate"/>
      </w:r>
      <w:r w:rsidR="008B4220">
        <w:rPr>
          <w:noProof/>
        </w:rPr>
        <w:t>48</w:t>
      </w:r>
      <w:r w:rsidRPr="0011473C">
        <w:fldChar w:fldCharType="end"/>
      </w:r>
      <w:r w:rsidRPr="0011473C">
        <w:t xml:space="preserve">.  The Government observed that the application pertained exclusively to </w:t>
      </w:r>
      <w:r w:rsidRPr="0011473C" w:rsidR="00134A67">
        <w:t>a</w:t>
      </w:r>
      <w:r w:rsidRPr="0011473C">
        <w:t xml:space="preserve"> failure to notify the applicant or his counsel of the date of </w:t>
      </w:r>
      <w:r w:rsidR="001654A2">
        <w:t>a</w:t>
      </w:r>
      <w:r w:rsidRPr="0011473C">
        <w:t xml:space="preserve"> hearing before the Court of Cassation, which had not itself ordered the applicant</w:t>
      </w:r>
      <w:r w:rsidR="00BB5349">
        <w:t>’</w:t>
      </w:r>
      <w:r w:rsidRPr="0011473C">
        <w:t xml:space="preserve">s detention. Accordingly, there was no need to compensate him for damage that he claimed was related to being deprived of </w:t>
      </w:r>
      <w:r w:rsidRPr="0011473C" w:rsidR="009D21C4">
        <w:t xml:space="preserve">his </w:t>
      </w:r>
      <w:r w:rsidRPr="0011473C">
        <w:t>liberty. Having been acquitted, he was in fact entitled to seek compensation for “un</w:t>
      </w:r>
      <w:r w:rsidR="009D21C4">
        <w:t>just</w:t>
      </w:r>
      <w:r w:rsidRPr="0011473C">
        <w:t xml:space="preserve">” detention under Article 314 of the </w:t>
      </w:r>
      <w:r w:rsidRPr="0011473C" w:rsidR="00DF0612">
        <w:t>Code of Criminal Procedure</w:t>
      </w:r>
      <w:r w:rsidRPr="0011473C" w:rsidR="00134A67">
        <w:t xml:space="preserve"> (see the description of the relevant domestic law in </w:t>
      </w:r>
      <w:r w:rsidRPr="0011473C" w:rsidR="00134A67">
        <w:rPr>
          <w:i/>
          <w:lang w:eastAsia="en-US"/>
        </w:rPr>
        <w:t xml:space="preserve">N.C. v. Italy </w:t>
      </w:r>
      <w:r w:rsidRPr="0011473C" w:rsidR="00134A67">
        <w:rPr>
          <w:lang w:eastAsia="en-US"/>
        </w:rPr>
        <w:t>[GC], no. 24952/94, §§</w:t>
      </w:r>
      <w:r w:rsidR="00D77899">
        <w:rPr>
          <w:lang w:eastAsia="en-US"/>
        </w:rPr>
        <w:t xml:space="preserve"> </w:t>
      </w:r>
      <w:r w:rsidR="00E43CC4">
        <w:rPr>
          <w:lang w:eastAsia="en-US"/>
        </w:rPr>
        <w:t>40-41, ECHR 2002-</w:t>
      </w:r>
      <w:r w:rsidRPr="0011473C" w:rsidR="00134A67">
        <w:rPr>
          <w:lang w:eastAsia="en-US"/>
        </w:rPr>
        <w:t xml:space="preserve">X). As to non-pecuniary damage, a </w:t>
      </w:r>
      <w:r w:rsidR="009D21C4">
        <w:rPr>
          <w:lang w:eastAsia="en-US"/>
        </w:rPr>
        <w:t xml:space="preserve">mere </w:t>
      </w:r>
      <w:r w:rsidRPr="0011473C" w:rsidR="00134A67">
        <w:rPr>
          <w:lang w:eastAsia="en-US"/>
        </w:rPr>
        <w:t>finding of a violation would suffice.</w:t>
      </w:r>
    </w:p>
    <w:p w:rsidRPr="0011473C" w:rsidR="00134A67" w:rsidRDefault="00134A67">
      <w:pPr>
        <w:pStyle w:val="JuPara"/>
        <w:rPr>
          <w:lang w:eastAsia="en-US"/>
        </w:rPr>
      </w:pPr>
      <w:r w:rsidRPr="0011473C">
        <w:rPr>
          <w:lang w:eastAsia="en-US"/>
        </w:rPr>
        <w:fldChar w:fldCharType="begin"/>
      </w:r>
      <w:r w:rsidRPr="0011473C">
        <w:rPr>
          <w:lang w:eastAsia="en-US"/>
        </w:rPr>
        <w:instrText xml:space="preserve"> SEQ level0 \*arabic </w:instrText>
      </w:r>
      <w:r w:rsidRPr="0011473C">
        <w:rPr>
          <w:lang w:eastAsia="en-US"/>
        </w:rPr>
        <w:fldChar w:fldCharType="separate"/>
      </w:r>
      <w:r w:rsidR="008B4220">
        <w:rPr>
          <w:noProof/>
          <w:lang w:eastAsia="en-US"/>
        </w:rPr>
        <w:t>49</w:t>
      </w:r>
      <w:r w:rsidRPr="0011473C">
        <w:rPr>
          <w:lang w:eastAsia="en-US"/>
        </w:rPr>
        <w:fldChar w:fldCharType="end"/>
      </w:r>
      <w:r w:rsidRPr="0011473C">
        <w:rPr>
          <w:lang w:eastAsia="en-US"/>
        </w:rPr>
        <w:t xml:space="preserve">.  The Court reiterates that it makes awards by way of just satisfaction under Article 41 when the loss or damage claimed has been caused by the violation found. The State is not, however, bound to make any payment in respect of damage that is not attributable to it (see </w:t>
      </w:r>
      <w:r w:rsidRPr="0011473C">
        <w:rPr>
          <w:i/>
          <w:lang w:eastAsia="en-US"/>
        </w:rPr>
        <w:t>Perote Pellon v. Spain</w:t>
      </w:r>
      <w:r w:rsidRPr="0011473C">
        <w:rPr>
          <w:lang w:eastAsia="en-US"/>
        </w:rPr>
        <w:t>, no. 45238/99, §</w:t>
      </w:r>
      <w:r w:rsidR="00D77899">
        <w:rPr>
          <w:lang w:eastAsia="en-US"/>
        </w:rPr>
        <w:t xml:space="preserve"> </w:t>
      </w:r>
      <w:r w:rsidRPr="0011473C">
        <w:rPr>
          <w:lang w:eastAsia="en-US"/>
        </w:rPr>
        <w:t xml:space="preserve">57, 25 July 2002, and </w:t>
      </w:r>
      <w:r w:rsidRPr="0011473C">
        <w:rPr>
          <w:i/>
          <w:szCs w:val="24"/>
          <w:lang w:eastAsia="en-US"/>
        </w:rPr>
        <w:t>Bracci v. Italy</w:t>
      </w:r>
      <w:r w:rsidR="00D77899">
        <w:rPr>
          <w:szCs w:val="24"/>
          <w:lang w:eastAsia="en-US"/>
        </w:rPr>
        <w:t xml:space="preserve">, no. 36822/02, § </w:t>
      </w:r>
      <w:r w:rsidRPr="0011473C" w:rsidR="0065504A">
        <w:rPr>
          <w:szCs w:val="24"/>
          <w:lang w:eastAsia="en-US"/>
        </w:rPr>
        <w:t>71</w:t>
      </w:r>
      <w:r w:rsidRPr="0011473C">
        <w:rPr>
          <w:szCs w:val="24"/>
          <w:lang w:eastAsia="en-US"/>
        </w:rPr>
        <w:t>,</w:t>
      </w:r>
      <w:r w:rsidRPr="0011473C">
        <w:rPr>
          <w:lang w:eastAsia="en-US"/>
        </w:rPr>
        <w:t xml:space="preserve"> 13</w:t>
      </w:r>
      <w:r w:rsidRPr="0011473C" w:rsidR="0065504A">
        <w:rPr>
          <w:lang w:eastAsia="en-US"/>
        </w:rPr>
        <w:t> </w:t>
      </w:r>
      <w:r w:rsidRPr="0011473C">
        <w:rPr>
          <w:lang w:eastAsia="en-US"/>
        </w:rPr>
        <w:t>October 2005</w:t>
      </w:r>
      <w:r w:rsidRPr="0011473C" w:rsidR="0065504A">
        <w:rPr>
          <w:lang w:eastAsia="en-US"/>
        </w:rPr>
        <w:t>).</w:t>
      </w:r>
    </w:p>
    <w:p w:rsidRPr="0011473C" w:rsidR="0065504A" w:rsidRDefault="0065504A">
      <w:pPr>
        <w:pStyle w:val="JuPara"/>
        <w:rPr>
          <w:lang w:eastAsia="en-US"/>
        </w:rPr>
      </w:pPr>
      <w:r w:rsidRPr="0011473C">
        <w:rPr>
          <w:lang w:eastAsia="en-US"/>
        </w:rPr>
        <w:fldChar w:fldCharType="begin"/>
      </w:r>
      <w:r w:rsidRPr="0011473C">
        <w:rPr>
          <w:lang w:eastAsia="en-US"/>
        </w:rPr>
        <w:instrText xml:space="preserve"> SEQ level0 \*arabic </w:instrText>
      </w:r>
      <w:r w:rsidRPr="0011473C">
        <w:rPr>
          <w:lang w:eastAsia="en-US"/>
        </w:rPr>
        <w:fldChar w:fldCharType="separate"/>
      </w:r>
      <w:r w:rsidR="008B4220">
        <w:rPr>
          <w:noProof/>
          <w:lang w:eastAsia="en-US"/>
        </w:rPr>
        <w:t>50</w:t>
      </w:r>
      <w:r w:rsidRPr="0011473C">
        <w:rPr>
          <w:lang w:eastAsia="en-US"/>
        </w:rPr>
        <w:fldChar w:fldCharType="end"/>
      </w:r>
      <w:r w:rsidR="00E54DE9">
        <w:rPr>
          <w:lang w:eastAsia="en-US"/>
        </w:rPr>
        <w:t>.  In the present case</w:t>
      </w:r>
      <w:r w:rsidRPr="0011473C">
        <w:rPr>
          <w:lang w:eastAsia="en-US"/>
        </w:rPr>
        <w:t xml:space="preserve"> the Court has found a violation of Article 5 § 4 of the Convention on account of the fact that neither the applicant nor his counsel w</w:t>
      </w:r>
      <w:r w:rsidR="00E54DE9">
        <w:rPr>
          <w:lang w:eastAsia="en-US"/>
        </w:rPr>
        <w:t>as</w:t>
      </w:r>
      <w:r w:rsidRPr="0011473C">
        <w:rPr>
          <w:lang w:eastAsia="en-US"/>
        </w:rPr>
        <w:t xml:space="preserve"> informed of the date of the hearing before the Court of Cassation and that they were thus deprived of the possibility of submitting their arguments to it on an equal footing with the </w:t>
      </w:r>
      <w:r w:rsidR="00E54DE9">
        <w:rPr>
          <w:lang w:eastAsia="en-US"/>
        </w:rPr>
        <w:t xml:space="preserve">public </w:t>
      </w:r>
      <w:r w:rsidR="00AE74E8">
        <w:rPr>
          <w:lang w:eastAsia="en-US"/>
        </w:rPr>
        <w:t>prosecutor</w:t>
      </w:r>
      <w:r w:rsidR="00BB5349">
        <w:rPr>
          <w:lang w:eastAsia="en-US"/>
        </w:rPr>
        <w:t>’</w:t>
      </w:r>
      <w:r w:rsidR="00AE74E8">
        <w:rPr>
          <w:lang w:eastAsia="en-US"/>
        </w:rPr>
        <w:t>s office</w:t>
      </w:r>
      <w:r w:rsidRPr="0011473C">
        <w:rPr>
          <w:lang w:eastAsia="en-US"/>
        </w:rPr>
        <w:t>. That finding does not necessarily imply that the applicant</w:t>
      </w:r>
      <w:r w:rsidR="00BB5349">
        <w:rPr>
          <w:lang w:eastAsia="en-US"/>
        </w:rPr>
        <w:t>’</w:t>
      </w:r>
      <w:r w:rsidRPr="0011473C">
        <w:rPr>
          <w:lang w:eastAsia="en-US"/>
        </w:rPr>
        <w:t xml:space="preserve">s detention was </w:t>
      </w:r>
      <w:r w:rsidR="001654A2">
        <w:rPr>
          <w:lang w:eastAsia="en-US"/>
        </w:rPr>
        <w:t>unlawful</w:t>
      </w:r>
      <w:r w:rsidRPr="0011473C">
        <w:rPr>
          <w:lang w:eastAsia="en-US"/>
        </w:rPr>
        <w:t xml:space="preserve"> or otherwise in breach of the Convention (</w:t>
      </w:r>
      <w:r w:rsidR="00E43CC4">
        <w:rPr>
          <w:lang w:eastAsia="en-US"/>
        </w:rPr>
        <w:t xml:space="preserve">see, </w:t>
      </w:r>
      <w:r w:rsidRPr="008B4220" w:rsidR="00E43CC4">
        <w:rPr>
          <w:i/>
          <w:lang w:eastAsia="en-US"/>
        </w:rPr>
        <w:t>mutatis mutandis</w:t>
      </w:r>
      <w:r w:rsidR="00E43CC4">
        <w:rPr>
          <w:lang w:eastAsia="en-US"/>
        </w:rPr>
        <w:t xml:space="preserve">, </w:t>
      </w:r>
      <w:r w:rsidRPr="0011473C">
        <w:rPr>
          <w:i/>
          <w:lang w:eastAsia="en-US"/>
        </w:rPr>
        <w:t>Cianetti v.</w:t>
      </w:r>
      <w:r w:rsidR="008B4220">
        <w:rPr>
          <w:i/>
          <w:lang w:eastAsia="en-US"/>
        </w:rPr>
        <w:t xml:space="preserve"> </w:t>
      </w:r>
      <w:r w:rsidRPr="0011473C">
        <w:rPr>
          <w:i/>
          <w:lang w:eastAsia="en-US"/>
        </w:rPr>
        <w:t>Italy</w:t>
      </w:r>
      <w:r w:rsidR="00D77899">
        <w:rPr>
          <w:lang w:eastAsia="en-US"/>
        </w:rPr>
        <w:t xml:space="preserve">, no. </w:t>
      </w:r>
      <w:r w:rsidRPr="0011473C">
        <w:rPr>
          <w:lang w:eastAsia="en-US"/>
        </w:rPr>
        <w:t>55634/00, §</w:t>
      </w:r>
      <w:r w:rsidR="00D77899">
        <w:rPr>
          <w:lang w:eastAsia="en-US"/>
        </w:rPr>
        <w:t xml:space="preserve"> </w:t>
      </w:r>
      <w:r w:rsidRPr="0011473C">
        <w:rPr>
          <w:lang w:eastAsia="en-US"/>
        </w:rPr>
        <w:t>50, 22 April 2004).</w:t>
      </w:r>
    </w:p>
    <w:p w:rsidRPr="0011473C" w:rsidR="0065504A" w:rsidRDefault="0065504A">
      <w:pPr>
        <w:pStyle w:val="JuPara"/>
        <w:rPr>
          <w:lang w:eastAsia="en-US"/>
        </w:rPr>
      </w:pPr>
      <w:r w:rsidRPr="0011473C">
        <w:rPr>
          <w:lang w:eastAsia="en-US"/>
        </w:rPr>
        <w:fldChar w:fldCharType="begin"/>
      </w:r>
      <w:r w:rsidRPr="0011473C">
        <w:rPr>
          <w:lang w:eastAsia="en-US"/>
        </w:rPr>
        <w:instrText xml:space="preserve"> SEQ level0 \*arabic </w:instrText>
      </w:r>
      <w:r w:rsidRPr="0011473C">
        <w:rPr>
          <w:lang w:eastAsia="en-US"/>
        </w:rPr>
        <w:fldChar w:fldCharType="separate"/>
      </w:r>
      <w:r w:rsidR="008B4220">
        <w:rPr>
          <w:noProof/>
          <w:lang w:eastAsia="en-US"/>
        </w:rPr>
        <w:t>51</w:t>
      </w:r>
      <w:r w:rsidRPr="0011473C">
        <w:rPr>
          <w:lang w:eastAsia="en-US"/>
        </w:rPr>
        <w:fldChar w:fldCharType="end"/>
      </w:r>
      <w:r w:rsidRPr="0011473C">
        <w:rPr>
          <w:lang w:eastAsia="en-US"/>
        </w:rPr>
        <w:t>.  </w:t>
      </w:r>
      <w:r w:rsidRPr="0011473C" w:rsidR="00AC1716">
        <w:rPr>
          <w:lang w:eastAsia="en-US"/>
        </w:rPr>
        <w:t>Accordingly, the Court considers that no causal link has been established between the violation found and the pecuniary damage complained of by the applicant.</w:t>
      </w:r>
    </w:p>
    <w:p w:rsidRPr="0011473C" w:rsidR="00AC1716" w:rsidRDefault="00AC1716">
      <w:pPr>
        <w:pStyle w:val="JuPara"/>
        <w:rPr>
          <w:lang w:eastAsia="en-US"/>
        </w:rPr>
      </w:pPr>
      <w:r w:rsidRPr="0011473C">
        <w:rPr>
          <w:lang w:eastAsia="en-US"/>
        </w:rPr>
        <w:fldChar w:fldCharType="begin"/>
      </w:r>
      <w:r w:rsidRPr="0011473C">
        <w:rPr>
          <w:lang w:eastAsia="en-US"/>
        </w:rPr>
        <w:instrText xml:space="preserve"> SEQ level0 \*arabic </w:instrText>
      </w:r>
      <w:r w:rsidRPr="0011473C">
        <w:rPr>
          <w:lang w:eastAsia="en-US"/>
        </w:rPr>
        <w:fldChar w:fldCharType="separate"/>
      </w:r>
      <w:r w:rsidR="008B4220">
        <w:rPr>
          <w:noProof/>
          <w:lang w:eastAsia="en-US"/>
        </w:rPr>
        <w:t>52</w:t>
      </w:r>
      <w:r w:rsidRPr="0011473C">
        <w:rPr>
          <w:lang w:eastAsia="en-US"/>
        </w:rPr>
        <w:fldChar w:fldCharType="end"/>
      </w:r>
      <w:r w:rsidRPr="0011473C">
        <w:rPr>
          <w:lang w:eastAsia="en-US"/>
        </w:rPr>
        <w:t>.  As to non-pecuniary damage the Court considers that, in the circumstances of the present case</w:t>
      </w:r>
      <w:r w:rsidR="008B4220">
        <w:rPr>
          <w:lang w:eastAsia="en-US"/>
        </w:rPr>
        <w:t>,</w:t>
      </w:r>
      <w:r w:rsidRPr="0011473C" w:rsidR="00CE2029">
        <w:rPr>
          <w:lang w:eastAsia="en-US"/>
        </w:rPr>
        <w:t xml:space="preserve"> </w:t>
      </w:r>
      <w:r w:rsidRPr="0011473C" w:rsidR="00CE2029">
        <w:t>the finding of a violation constitutes in itself sufficient just satisfaction.</w:t>
      </w:r>
    </w:p>
    <w:p w:rsidRPr="0011473C" w:rsidR="00CD49A7" w:rsidRDefault="00CD49A7">
      <w:pPr>
        <w:pStyle w:val="JuHA"/>
      </w:pPr>
      <w:r w:rsidRPr="0011473C">
        <w:t>B.  Costs and expenses</w:t>
      </w:r>
    </w:p>
    <w:p w:rsidRPr="0011473C" w:rsidR="00CD49A7" w:rsidRDefault="009152DD">
      <w:pPr>
        <w:pStyle w:val="JuPara"/>
      </w:pPr>
      <w:r w:rsidRPr="0011473C">
        <w:fldChar w:fldCharType="begin"/>
      </w:r>
      <w:r w:rsidRPr="0011473C">
        <w:instrText xml:space="preserve"> SEQ level0 \*arabic </w:instrText>
      </w:r>
      <w:r w:rsidRPr="0011473C">
        <w:fldChar w:fldCharType="separate"/>
      </w:r>
      <w:r w:rsidR="008B4220">
        <w:rPr>
          <w:noProof/>
        </w:rPr>
        <w:t>53</w:t>
      </w:r>
      <w:r w:rsidRPr="0011473C">
        <w:fldChar w:fldCharType="end"/>
      </w:r>
      <w:r w:rsidRPr="0011473C" w:rsidR="00CD49A7">
        <w:t>.  </w:t>
      </w:r>
      <w:r w:rsidRPr="0011473C" w:rsidR="00CE2029">
        <w:t xml:space="preserve">The applicant claimed 3,082.28 euros (EUR) for the costs and expenses he had incurred in the domestic proceedings and EUR 5,000 for costs in respect of </w:t>
      </w:r>
      <w:r w:rsidR="00E54DE9">
        <w:t xml:space="preserve">the </w:t>
      </w:r>
      <w:r w:rsidRPr="0011473C" w:rsidR="00CE2029">
        <w:t>proceedings before this Court.</w:t>
      </w:r>
    </w:p>
    <w:p w:rsidRPr="0011473C" w:rsidR="00CE2029" w:rsidRDefault="00CE2029">
      <w:pPr>
        <w:pStyle w:val="JuPara"/>
      </w:pPr>
      <w:r w:rsidRPr="0011473C">
        <w:fldChar w:fldCharType="begin"/>
      </w:r>
      <w:r w:rsidRPr="0011473C">
        <w:instrText xml:space="preserve"> SEQ level0 \*arabic </w:instrText>
      </w:r>
      <w:r w:rsidRPr="0011473C">
        <w:fldChar w:fldCharType="separate"/>
      </w:r>
      <w:r w:rsidR="008B4220">
        <w:rPr>
          <w:noProof/>
        </w:rPr>
        <w:t>54</w:t>
      </w:r>
      <w:r w:rsidRPr="0011473C">
        <w:fldChar w:fldCharType="end"/>
      </w:r>
      <w:r w:rsidRPr="0011473C">
        <w:t xml:space="preserve">.  The Government argued that the costs in respect of the domestic proceedings were not related to the violation of the </w:t>
      </w:r>
      <w:r w:rsidRPr="0011473C">
        <w:rPr>
          <w:lang w:eastAsia="en-US"/>
        </w:rPr>
        <w:t>Convention</w:t>
      </w:r>
      <w:r w:rsidRPr="0011473C">
        <w:t>. As to the expenses of the present proceedings, they left the matter to the Court</w:t>
      </w:r>
      <w:r w:rsidR="00BB5349">
        <w:t>’</w:t>
      </w:r>
      <w:r w:rsidRPr="0011473C" w:rsidR="00072BF1">
        <w:t>s discretion.</w:t>
      </w:r>
    </w:p>
    <w:p w:rsidRPr="0011473C" w:rsidR="00072BF1" w:rsidRDefault="00072BF1">
      <w:pPr>
        <w:pStyle w:val="JuPara"/>
        <w:rPr>
          <w:lang w:eastAsia="en-US"/>
        </w:rPr>
      </w:pPr>
      <w:r w:rsidRPr="0011473C">
        <w:fldChar w:fldCharType="begin"/>
      </w:r>
      <w:r w:rsidRPr="0011473C">
        <w:instrText xml:space="preserve"> SEQ level0 \*arabic </w:instrText>
      </w:r>
      <w:r w:rsidRPr="0011473C">
        <w:fldChar w:fldCharType="separate"/>
      </w:r>
      <w:r w:rsidR="008B4220">
        <w:rPr>
          <w:noProof/>
        </w:rPr>
        <w:t>55</w:t>
      </w:r>
      <w:r w:rsidRPr="0011473C">
        <w:fldChar w:fldCharType="end"/>
      </w:r>
      <w:r w:rsidRPr="0011473C">
        <w:t>.  According to the Court</w:t>
      </w:r>
      <w:r w:rsidR="00BB5349">
        <w:t>’</w:t>
      </w:r>
      <w:r w:rsidRPr="0011473C">
        <w:t xml:space="preserve">s case-law, </w:t>
      </w:r>
      <w:r w:rsidRPr="0011473C" w:rsidR="00045104">
        <w:t xml:space="preserve">for </w:t>
      </w:r>
      <w:r w:rsidRPr="0011473C">
        <w:t xml:space="preserve">an applicant </w:t>
      </w:r>
      <w:r w:rsidRPr="0011473C" w:rsidR="00045104">
        <w:t>to be awarded costs and expenses</w:t>
      </w:r>
      <w:r w:rsidRPr="0011473C">
        <w:t xml:space="preserve"> </w:t>
      </w:r>
      <w:r w:rsidRPr="0011473C" w:rsidR="00045104">
        <w:t xml:space="preserve">it must be established that they were actually and necessarily incurred and </w:t>
      </w:r>
      <w:r w:rsidR="008B4220">
        <w:t xml:space="preserve">are </w:t>
      </w:r>
      <w:r w:rsidRPr="0011473C" w:rsidR="00045104">
        <w:t>reasonable as to quantum</w:t>
      </w:r>
      <w:r w:rsidRPr="0011473C" w:rsidR="0069646E">
        <w:t>. In the present case</w:t>
      </w:r>
      <w:r w:rsidRPr="0011473C" w:rsidR="00045104">
        <w:t xml:space="preserve"> the Court notes that</w:t>
      </w:r>
      <w:r w:rsidRPr="0011473C" w:rsidR="0069646E">
        <w:t>,</w:t>
      </w:r>
      <w:r w:rsidRPr="0011473C" w:rsidR="00045104">
        <w:t xml:space="preserve"> </w:t>
      </w:r>
      <w:r w:rsidRPr="0011473C" w:rsidR="0069646E">
        <w:t xml:space="preserve">prior to the proceedings before it, </w:t>
      </w:r>
      <w:r w:rsidRPr="0011473C" w:rsidR="00045104">
        <w:t>the applicant</w:t>
      </w:r>
      <w:r w:rsidRPr="0011473C" w:rsidR="0069646E">
        <w:t xml:space="preserve"> had brought </w:t>
      </w:r>
      <w:r w:rsidR="004E139C">
        <w:t>an action</w:t>
      </w:r>
      <w:r w:rsidRPr="0011473C" w:rsidR="0069646E">
        <w:t xml:space="preserve"> before the Specialised Division of the Palermo District Court </w:t>
      </w:r>
      <w:r w:rsidR="004E139C">
        <w:t xml:space="preserve">seeking </w:t>
      </w:r>
      <w:r w:rsidRPr="0011473C" w:rsidR="0069646E">
        <w:t xml:space="preserve">to have the judgment of 15 February 2000 set aside and had lodged an appeal on points of law after the dismissal of that </w:t>
      </w:r>
      <w:r w:rsidR="004E139C">
        <w:t>action</w:t>
      </w:r>
      <w:r w:rsidRPr="0011473C" w:rsidR="0069646E">
        <w:t xml:space="preserve">. The Court </w:t>
      </w:r>
      <w:r w:rsidR="004E139C">
        <w:t>thus</w:t>
      </w:r>
      <w:r w:rsidRPr="0011473C" w:rsidR="0069646E">
        <w:t xml:space="preserve"> acknowledges that the applicant incurred certain expenses in seeking redress for the violation of the Convention at the level of the domestic legal system (</w:t>
      </w:r>
      <w:r w:rsidR="004E139C">
        <w:t xml:space="preserve">see </w:t>
      </w:r>
      <w:r w:rsidRPr="0011473C" w:rsidR="0069646E">
        <w:rPr>
          <w:i/>
          <w:lang w:eastAsia="en-US"/>
        </w:rPr>
        <w:t>Rojas Morales v. Italy</w:t>
      </w:r>
      <w:r w:rsidRPr="0011473C" w:rsidR="0069646E">
        <w:rPr>
          <w:lang w:eastAsia="en-US"/>
        </w:rPr>
        <w:t>, no. 39676/98, §</w:t>
      </w:r>
      <w:r w:rsidR="00D77899">
        <w:rPr>
          <w:lang w:eastAsia="en-US"/>
        </w:rPr>
        <w:t xml:space="preserve"> </w:t>
      </w:r>
      <w:r w:rsidRPr="0011473C" w:rsidR="0069646E">
        <w:rPr>
          <w:lang w:eastAsia="en-US"/>
        </w:rPr>
        <w:t>42, 16</w:t>
      </w:r>
      <w:r w:rsidRPr="0011473C" w:rsidR="00053689">
        <w:rPr>
          <w:lang w:eastAsia="en-US"/>
        </w:rPr>
        <w:t> </w:t>
      </w:r>
      <w:r w:rsidRPr="0011473C" w:rsidR="0069646E">
        <w:rPr>
          <w:lang w:eastAsia="en-US"/>
        </w:rPr>
        <w:t xml:space="preserve">November 2000). However, it finds </w:t>
      </w:r>
      <w:r w:rsidRPr="0011473C" w:rsidR="00053689">
        <w:rPr>
          <w:lang w:eastAsia="en-US"/>
        </w:rPr>
        <w:t>excessive</w:t>
      </w:r>
      <w:r w:rsidRPr="0011473C" w:rsidR="0069646E">
        <w:rPr>
          <w:lang w:eastAsia="en-US"/>
        </w:rPr>
        <w:t xml:space="preserve"> the costs claimed in respect of </w:t>
      </w:r>
      <w:r w:rsidR="004E139C">
        <w:rPr>
          <w:lang w:eastAsia="en-US"/>
        </w:rPr>
        <w:t xml:space="preserve">the </w:t>
      </w:r>
      <w:r w:rsidRPr="0011473C" w:rsidR="0069646E">
        <w:rPr>
          <w:lang w:eastAsia="en-US"/>
        </w:rPr>
        <w:t>proceedings before the Italian courts</w:t>
      </w:r>
      <w:r w:rsidRPr="0011473C" w:rsidR="00053689">
        <w:rPr>
          <w:lang w:eastAsia="en-US"/>
        </w:rPr>
        <w:t xml:space="preserve"> (</w:t>
      </w:r>
      <w:r w:rsidR="008B4220">
        <w:rPr>
          <w:lang w:eastAsia="en-US"/>
        </w:rPr>
        <w:t xml:space="preserve">see, </w:t>
      </w:r>
      <w:r w:rsidR="008B4220">
        <w:rPr>
          <w:i/>
          <w:lang w:eastAsia="en-US"/>
        </w:rPr>
        <w:t>mutatis mutandis</w:t>
      </w:r>
      <w:r w:rsidR="008B4220">
        <w:rPr>
          <w:lang w:eastAsia="en-US"/>
        </w:rPr>
        <w:t>,</w:t>
      </w:r>
      <w:r w:rsidRPr="0011473C" w:rsidR="00053689">
        <w:rPr>
          <w:lang w:eastAsia="en-US"/>
        </w:rPr>
        <w:t xml:space="preserve"> </w:t>
      </w:r>
      <w:r w:rsidRPr="0011473C" w:rsidR="00053689">
        <w:rPr>
          <w:i/>
          <w:lang w:eastAsia="en-US"/>
        </w:rPr>
        <w:t>Sakkopoulos v.</w:t>
      </w:r>
      <w:r w:rsidR="008B4220">
        <w:rPr>
          <w:i/>
          <w:lang w:eastAsia="en-US"/>
        </w:rPr>
        <w:t xml:space="preserve"> </w:t>
      </w:r>
      <w:r w:rsidRPr="0011473C" w:rsidR="00053689">
        <w:rPr>
          <w:i/>
          <w:lang w:eastAsia="en-US"/>
        </w:rPr>
        <w:t>Greece</w:t>
      </w:r>
      <w:r w:rsidRPr="0011473C" w:rsidR="00053689">
        <w:rPr>
          <w:lang w:eastAsia="en-US"/>
        </w:rPr>
        <w:t>, no. 61828/00, §</w:t>
      </w:r>
      <w:r w:rsidR="00D77899">
        <w:rPr>
          <w:lang w:eastAsia="en-US"/>
        </w:rPr>
        <w:t xml:space="preserve"> </w:t>
      </w:r>
      <w:r w:rsidRPr="0011473C" w:rsidR="00053689">
        <w:rPr>
          <w:lang w:eastAsia="en-US"/>
        </w:rPr>
        <w:t xml:space="preserve">59, 15 January 2004, and </w:t>
      </w:r>
      <w:r w:rsidRPr="0011473C" w:rsidR="00053689">
        <w:rPr>
          <w:i/>
          <w:lang w:eastAsia="en-US"/>
        </w:rPr>
        <w:t>Cianetti</w:t>
      </w:r>
      <w:r w:rsidRPr="0011473C" w:rsidR="00053689">
        <w:rPr>
          <w:lang w:eastAsia="en-US"/>
        </w:rPr>
        <w:t>, cited above, §</w:t>
      </w:r>
      <w:r w:rsidR="008B4220">
        <w:rPr>
          <w:lang w:eastAsia="en-US"/>
        </w:rPr>
        <w:t xml:space="preserve"> </w:t>
      </w:r>
      <w:r w:rsidRPr="0011473C" w:rsidR="00053689">
        <w:rPr>
          <w:lang w:eastAsia="en-US"/>
        </w:rPr>
        <w:t>56). Having regard to the information in its possession and to its practice in such matters, the Court considers it reason</w:t>
      </w:r>
      <w:r w:rsidR="008B4220">
        <w:rPr>
          <w:lang w:eastAsia="en-US"/>
        </w:rPr>
        <w:t>able to award EUR </w:t>
      </w:r>
      <w:r w:rsidRPr="0011473C" w:rsidR="00053689">
        <w:rPr>
          <w:lang w:eastAsia="en-US"/>
        </w:rPr>
        <w:t>1,500 to the applicant under this head.</w:t>
      </w:r>
    </w:p>
    <w:p w:rsidRPr="0011473C" w:rsidR="00053689" w:rsidRDefault="00053689">
      <w:pPr>
        <w:pStyle w:val="JuPara"/>
        <w:rPr>
          <w:lang w:eastAsia="en-US"/>
        </w:rPr>
      </w:pPr>
      <w:r w:rsidRPr="0011473C">
        <w:rPr>
          <w:lang w:eastAsia="en-US"/>
        </w:rPr>
        <w:fldChar w:fldCharType="begin"/>
      </w:r>
      <w:r w:rsidRPr="0011473C">
        <w:rPr>
          <w:lang w:eastAsia="en-US"/>
        </w:rPr>
        <w:instrText xml:space="preserve"> SEQ level0 \*arabic </w:instrText>
      </w:r>
      <w:r w:rsidRPr="0011473C">
        <w:rPr>
          <w:lang w:eastAsia="en-US"/>
        </w:rPr>
        <w:fldChar w:fldCharType="separate"/>
      </w:r>
      <w:r w:rsidR="008B4220">
        <w:rPr>
          <w:noProof/>
          <w:lang w:eastAsia="en-US"/>
        </w:rPr>
        <w:t>56</w:t>
      </w:r>
      <w:r w:rsidRPr="0011473C">
        <w:rPr>
          <w:lang w:eastAsia="en-US"/>
        </w:rPr>
        <w:fldChar w:fldCharType="end"/>
      </w:r>
      <w:r w:rsidRPr="0011473C">
        <w:rPr>
          <w:lang w:eastAsia="en-US"/>
        </w:rPr>
        <w:t>.  The Court also finds excessive the amount claimed for costs and expenses in respect of the proceedings before it (EUR 5,000) and decides to award EUR 3,500 under that head.</w:t>
      </w:r>
    </w:p>
    <w:p w:rsidRPr="0011473C" w:rsidR="00072BF1" w:rsidRDefault="00053689">
      <w:pPr>
        <w:pStyle w:val="JuPara"/>
        <w:rPr>
          <w:lang w:eastAsia="en-US"/>
        </w:rPr>
      </w:pPr>
      <w:r w:rsidRPr="0011473C">
        <w:rPr>
          <w:lang w:eastAsia="en-US"/>
        </w:rPr>
        <w:fldChar w:fldCharType="begin"/>
      </w:r>
      <w:r w:rsidRPr="0011473C">
        <w:rPr>
          <w:lang w:eastAsia="en-US"/>
        </w:rPr>
        <w:instrText xml:space="preserve"> SEQ level0 \*arabic </w:instrText>
      </w:r>
      <w:r w:rsidRPr="0011473C">
        <w:rPr>
          <w:lang w:eastAsia="en-US"/>
        </w:rPr>
        <w:fldChar w:fldCharType="separate"/>
      </w:r>
      <w:r w:rsidR="008B4220">
        <w:rPr>
          <w:noProof/>
          <w:lang w:eastAsia="en-US"/>
        </w:rPr>
        <w:t>57</w:t>
      </w:r>
      <w:r w:rsidRPr="0011473C">
        <w:rPr>
          <w:lang w:eastAsia="en-US"/>
        </w:rPr>
        <w:fldChar w:fldCharType="end"/>
      </w:r>
      <w:r w:rsidRPr="0011473C">
        <w:rPr>
          <w:lang w:eastAsia="en-US"/>
        </w:rPr>
        <w:t>.  The total award to the applicant in respect of costs and expenses thus amounts to EUR 5,000.</w:t>
      </w:r>
    </w:p>
    <w:p w:rsidRPr="0011473C" w:rsidR="00CD49A7" w:rsidRDefault="00CD49A7">
      <w:pPr>
        <w:pStyle w:val="JuHA"/>
      </w:pPr>
      <w:r w:rsidRPr="0011473C">
        <w:t>C.  Default interest</w:t>
      </w:r>
    </w:p>
    <w:p w:rsidRPr="0011473C" w:rsidR="00CD49A7" w:rsidRDefault="009152DD">
      <w:pPr>
        <w:pStyle w:val="JuPara"/>
      </w:pPr>
      <w:r w:rsidRPr="0011473C">
        <w:fldChar w:fldCharType="begin"/>
      </w:r>
      <w:r w:rsidRPr="0011473C">
        <w:instrText xml:space="preserve"> SEQ level0 \*arabic </w:instrText>
      </w:r>
      <w:r w:rsidRPr="0011473C">
        <w:fldChar w:fldCharType="separate"/>
      </w:r>
      <w:r w:rsidR="008B4220">
        <w:rPr>
          <w:noProof/>
        </w:rPr>
        <w:t>58</w:t>
      </w:r>
      <w:r w:rsidRPr="0011473C">
        <w:fldChar w:fldCharType="end"/>
      </w:r>
      <w:r w:rsidRPr="0011473C" w:rsidR="00CD49A7">
        <w:t>.  The Court considers it appropriate that the default interest should be based on the marginal lending rate of the European Central Bank, to which should be added three percentage points.</w:t>
      </w:r>
    </w:p>
    <w:p w:rsidRPr="0011473C" w:rsidR="00CD49A7" w:rsidP="00053689" w:rsidRDefault="00053689">
      <w:pPr>
        <w:pStyle w:val="JuHHead"/>
      </w:pPr>
      <w:r w:rsidRPr="0011473C">
        <w:t>FOR THESE REASONS, THE COURT UNANIMOUSLY</w:t>
      </w:r>
    </w:p>
    <w:p w:rsidRPr="0011473C" w:rsidR="00CD49A7" w:rsidRDefault="00053689">
      <w:pPr>
        <w:pStyle w:val="JuList"/>
      </w:pPr>
      <w:r w:rsidRPr="0011473C">
        <w:t>1</w:t>
      </w:r>
      <w:r w:rsidRPr="0011473C" w:rsidR="00CD49A7">
        <w:t>.  </w:t>
      </w:r>
      <w:r w:rsidRPr="0011473C" w:rsidR="00CD49A7">
        <w:rPr>
          <w:i/>
        </w:rPr>
        <w:t>Holds</w:t>
      </w:r>
      <w:r w:rsidRPr="0011473C" w:rsidR="00CD49A7">
        <w:t xml:space="preserve"> that there </w:t>
      </w:r>
      <w:r w:rsidR="00D77899">
        <w:t xml:space="preserve">has been a violation of Article </w:t>
      </w:r>
      <w:r w:rsidRPr="0011473C">
        <w:t>5 § 4</w:t>
      </w:r>
      <w:r w:rsidRPr="0011473C" w:rsidR="00CD49A7">
        <w:t xml:space="preserve"> of the Convention;</w:t>
      </w:r>
    </w:p>
    <w:p w:rsidRPr="0011473C" w:rsidR="00CD49A7" w:rsidRDefault="00CD49A7">
      <w:pPr>
        <w:pStyle w:val="JuList"/>
      </w:pPr>
    </w:p>
    <w:p w:rsidRPr="0011473C" w:rsidR="00CD49A7" w:rsidRDefault="00053689">
      <w:pPr>
        <w:pStyle w:val="JuList"/>
      </w:pPr>
      <w:r w:rsidRPr="0011473C">
        <w:t>2</w:t>
      </w:r>
      <w:r w:rsidRPr="0011473C" w:rsidR="00CD49A7">
        <w:t>.  </w:t>
      </w:r>
      <w:r w:rsidRPr="0011473C" w:rsidR="00CD49A7">
        <w:rPr>
          <w:i/>
        </w:rPr>
        <w:t>Holds</w:t>
      </w:r>
      <w:r w:rsidRPr="0011473C" w:rsidR="00CD49A7">
        <w:t xml:space="preserve"> that the finding of a violation constitutes in itself sufficient just satisfaction for the non-pecuniary damage sustained by the </w:t>
      </w:r>
      <w:r w:rsidRPr="0011473C" w:rsidR="009152DD">
        <w:t>applicant</w:t>
      </w:r>
      <w:r w:rsidRPr="0011473C" w:rsidR="00CD49A7">
        <w:t>;</w:t>
      </w:r>
    </w:p>
    <w:p w:rsidRPr="0011473C" w:rsidR="00CD49A7" w:rsidRDefault="00CD49A7">
      <w:pPr>
        <w:pStyle w:val="JuList"/>
      </w:pPr>
    </w:p>
    <w:p w:rsidRPr="0011473C" w:rsidR="00CD49A7" w:rsidRDefault="00053689">
      <w:pPr>
        <w:pStyle w:val="JuList"/>
      </w:pPr>
      <w:r w:rsidRPr="0011473C">
        <w:t>3</w:t>
      </w:r>
      <w:r w:rsidRPr="0011473C" w:rsidR="00CD49A7">
        <w:t>.  </w:t>
      </w:r>
      <w:r w:rsidRPr="0011473C" w:rsidR="00CD49A7">
        <w:rPr>
          <w:i/>
        </w:rPr>
        <w:t>Holds</w:t>
      </w:r>
    </w:p>
    <w:p w:rsidRPr="0011473C" w:rsidR="00CD49A7" w:rsidRDefault="00CD49A7">
      <w:pPr>
        <w:pStyle w:val="JuLista"/>
      </w:pPr>
      <w:r w:rsidRPr="0011473C">
        <w:t xml:space="preserve">(a)  that the respondent State is to pay the </w:t>
      </w:r>
      <w:r w:rsidRPr="0011473C" w:rsidR="009152DD">
        <w:t>applicant</w:t>
      </w:r>
      <w:r w:rsidRPr="0011473C">
        <w:t>, within three months</w:t>
      </w:r>
      <w:r w:rsidRPr="0011473C" w:rsidR="00053689">
        <w:t xml:space="preserve"> </w:t>
      </w:r>
      <w:r w:rsidRPr="0011473C" w:rsidR="009152DD">
        <w:t>from the date on which the judgment becomes fina</w:t>
      </w:r>
      <w:r w:rsidR="00D77899">
        <w:t xml:space="preserve">l in accordance with Article 44 </w:t>
      </w:r>
      <w:r w:rsidRPr="0011473C" w:rsidR="009152DD">
        <w:t>§</w:t>
      </w:r>
      <w:r w:rsidR="00D77899">
        <w:t xml:space="preserve"> </w:t>
      </w:r>
      <w:r w:rsidRPr="0011473C" w:rsidR="009152DD">
        <w:t>2 of the Convention</w:t>
      </w:r>
      <w:r w:rsidRPr="0011473C">
        <w:t xml:space="preserve">, EUR </w:t>
      </w:r>
      <w:r w:rsidRPr="0011473C" w:rsidR="00053689">
        <w:t>5,000</w:t>
      </w:r>
      <w:r w:rsidRPr="0011473C">
        <w:t xml:space="preserve"> (</w:t>
      </w:r>
      <w:r w:rsidRPr="0011473C" w:rsidR="00053689">
        <w:t>five thousand</w:t>
      </w:r>
      <w:r w:rsidRPr="0011473C">
        <w:t xml:space="preserve"> euros) in respect of costs and expenses, plus any tax that may be chargeable</w:t>
      </w:r>
      <w:r w:rsidRPr="0011473C" w:rsidR="0011473C">
        <w:t xml:space="preserve"> on that amount</w:t>
      </w:r>
      <w:r w:rsidRPr="0011473C">
        <w:t>;</w:t>
      </w:r>
    </w:p>
    <w:p w:rsidRPr="0011473C" w:rsidR="00CD49A7" w:rsidRDefault="00CD49A7">
      <w:pPr>
        <w:pStyle w:val="JuLista"/>
      </w:pPr>
      <w:r w:rsidRPr="0011473C">
        <w:t>(b)  that from the expiry of the above-mentioned three months until settlement simple interest shall b</w:t>
      </w:r>
      <w:r w:rsidRPr="0011473C" w:rsidR="0011473C">
        <w:t>e payable on the above amount</w:t>
      </w:r>
      <w:r w:rsidRPr="0011473C">
        <w:t xml:space="preserve"> at a rate equal to the marginal lending rate of the European Central Bank during the default period plus three percentage points;</w:t>
      </w:r>
    </w:p>
    <w:p w:rsidRPr="0011473C" w:rsidR="00CD49A7" w:rsidRDefault="00CD49A7">
      <w:pPr>
        <w:pStyle w:val="JuList"/>
      </w:pPr>
    </w:p>
    <w:p w:rsidRPr="0011473C" w:rsidR="00CD49A7" w:rsidRDefault="0011473C">
      <w:pPr>
        <w:pStyle w:val="JuList"/>
      </w:pPr>
      <w:r w:rsidRPr="0011473C">
        <w:t>4</w:t>
      </w:r>
      <w:r w:rsidRPr="0011473C" w:rsidR="00CD49A7">
        <w:t>.  </w:t>
      </w:r>
      <w:r w:rsidRPr="0011473C" w:rsidR="00CD49A7">
        <w:rPr>
          <w:i/>
        </w:rPr>
        <w:t>Dismisses</w:t>
      </w:r>
      <w:r w:rsidRPr="0011473C" w:rsidR="00CD49A7">
        <w:t xml:space="preserve"> the remainder of the </w:t>
      </w:r>
      <w:r w:rsidRPr="0011473C" w:rsidR="009152DD">
        <w:t>applicant</w:t>
      </w:r>
      <w:r w:rsidR="00BB5349">
        <w:t>’</w:t>
      </w:r>
      <w:r w:rsidRPr="0011473C" w:rsidR="009152DD">
        <w:t>s</w:t>
      </w:r>
      <w:r w:rsidRPr="0011473C" w:rsidR="00CD49A7">
        <w:t xml:space="preserve"> claim for just satisfaction.</w:t>
      </w:r>
    </w:p>
    <w:p w:rsidRPr="0011473C" w:rsidR="000C5228" w:rsidP="000C5228" w:rsidRDefault="00CD49A7">
      <w:pPr>
        <w:pStyle w:val="JuParaLast"/>
      </w:pPr>
      <w:r w:rsidRPr="0011473C">
        <w:t xml:space="preserve">Done in </w:t>
      </w:r>
      <w:r w:rsidRPr="0011473C" w:rsidR="0011473C">
        <w:t>French</w:t>
      </w:r>
      <w:r w:rsidRPr="0011473C">
        <w:t xml:space="preserve">, and notified in writing on </w:t>
      </w:r>
      <w:r w:rsidRPr="0011473C" w:rsidR="0011473C">
        <w:t>1 June 2006</w:t>
      </w:r>
      <w:r w:rsidRPr="0011473C">
        <w:t>, pursuant to Rule</w:t>
      </w:r>
      <w:r w:rsidRPr="0011473C" w:rsidR="0011473C">
        <w:t> </w:t>
      </w:r>
      <w:r w:rsidRPr="0011473C">
        <w:t>77 §§</w:t>
      </w:r>
      <w:r w:rsidRPr="0011473C" w:rsidR="0011473C">
        <w:t xml:space="preserve"> 2 and 3 of the Rules of Court.</w:t>
      </w:r>
    </w:p>
    <w:p w:rsidRPr="0011473C" w:rsidR="007815D2" w:rsidP="00D77899" w:rsidRDefault="009152DD">
      <w:pPr>
        <w:pStyle w:val="JuSigned"/>
        <w:keepNext/>
        <w:keepLines/>
        <w:tabs>
          <w:tab w:val="clear" w:pos="1219"/>
          <w:tab w:val="center" w:pos="720"/>
        </w:tabs>
      </w:pPr>
      <w:r w:rsidRPr="0011473C">
        <w:t xml:space="preserve">Vincent </w:t>
      </w:r>
      <w:r w:rsidRPr="0011473C">
        <w:rPr>
          <w:rStyle w:val="JuNames"/>
        </w:rPr>
        <w:t>B</w:t>
      </w:r>
      <w:r w:rsidRPr="00D77899">
        <w:rPr>
          <w:rStyle w:val="JuNames"/>
          <w:rFonts w:ascii="Times New (W1)" w:hAnsi="Times New (W1)"/>
          <w:smallCaps w:val="0"/>
        </w:rPr>
        <w:t>erger</w:t>
      </w:r>
      <w:r w:rsidRPr="0011473C">
        <w:rPr>
          <w:rStyle w:val="JuNames"/>
        </w:rPr>
        <w:tab/>
      </w:r>
      <w:r w:rsidRPr="0011473C">
        <w:t xml:space="preserve">Boštjan M. </w:t>
      </w:r>
      <w:r w:rsidRPr="0011473C">
        <w:rPr>
          <w:rStyle w:val="JuNames"/>
        </w:rPr>
        <w:t>Z</w:t>
      </w:r>
      <w:r w:rsidRPr="00D77899">
        <w:rPr>
          <w:rStyle w:val="JuNames"/>
          <w:rFonts w:ascii="Times New (W1)" w:hAnsi="Times New (W1)"/>
          <w:smallCaps w:val="0"/>
        </w:rPr>
        <w:t>upančič</w:t>
      </w:r>
      <w:r w:rsidRPr="0011473C">
        <w:br/>
      </w:r>
      <w:r w:rsidRPr="0011473C">
        <w:tab/>
        <w:t>Registrar</w:t>
      </w:r>
      <w:r w:rsidRPr="0011473C">
        <w:tab/>
        <w:t>President</w:t>
      </w:r>
    </w:p>
    <w:sectPr w:rsidRPr="0011473C" w:rsidR="007815D2" w:rsidSect="009152DD">
      <w:headerReference w:type="even" r:id="rId8"/>
      <w:headerReference w:type="default" r:id="rId9"/>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E75" w:rsidRDefault="00201E75">
      <w:r>
        <w:separator/>
      </w:r>
    </w:p>
  </w:endnote>
  <w:endnote w:type="continuationSeparator" w:id="0">
    <w:p w:rsidR="00201E75" w:rsidRDefault="00201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W1)">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E75" w:rsidRDefault="00201E75">
      <w:r>
        <w:separator/>
      </w:r>
    </w:p>
  </w:footnote>
  <w:footnote w:type="continuationSeparator" w:id="0">
    <w:p w:rsidR="00201E75" w:rsidRDefault="00201E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2DD" w:rsidRDefault="009152DD">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39.5pt" fillcolor="window">
          <v:imagedata r:id="rId1" o:title=""/>
        </v:shape>
      </w:pict>
    </w:r>
  </w:p>
  <w:p w:rsidR="009F4C41" w:rsidRPr="009152DD" w:rsidRDefault="009F4C41" w:rsidP="009152DD">
    <w:pPr>
      <w:pStyle w:val="Header"/>
      <w:jc w:val="cente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2DD" w:rsidRDefault="009152DD">
    <w:pPr>
      <w:pStyle w:val="JuHeader"/>
    </w:pPr>
    <w:r>
      <w:rPr>
        <w:rStyle w:val="PageNumber"/>
      </w:rPr>
      <w:fldChar w:fldCharType="begin"/>
    </w:r>
    <w:r>
      <w:rPr>
        <w:rStyle w:val="PageNumber"/>
      </w:rPr>
      <w:instrText xml:space="preserve"> PAGE </w:instrText>
    </w:r>
    <w:r>
      <w:rPr>
        <w:rStyle w:val="PageNumber"/>
      </w:rPr>
      <w:fldChar w:fldCharType="separate"/>
    </w:r>
    <w:r w:rsidR="00846462">
      <w:rPr>
        <w:rStyle w:val="PageNumber"/>
        <w:noProof/>
      </w:rPr>
      <w:t>10</w:t>
    </w:r>
    <w:r>
      <w:rPr>
        <w:rStyle w:val="PageNumber"/>
      </w:rPr>
      <w:fldChar w:fldCharType="end"/>
    </w:r>
    <w:r>
      <w:tab/>
      <w:t xml:space="preserve">FODALE v. </w:t>
    </w:r>
    <w:smartTag w:uri="urn:schemas-microsoft-com:office:smarttags" w:element="place">
      <w:smartTag w:uri="urn:schemas-microsoft-com:office:smarttags" w:element="country-region">
        <w:r>
          <w:t>ITALY</w:t>
        </w:r>
      </w:smartTag>
    </w:smartTag>
    <w:r>
      <w:t xml:space="preserve"> JUDGMENT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2DD" w:rsidRDefault="009152DD">
    <w:pPr>
      <w:pStyle w:val="JuHeader"/>
      <w:rPr>
        <w:rStyle w:val="PageNumber"/>
      </w:rPr>
    </w:pPr>
    <w:r>
      <w:tab/>
      <w:t xml:space="preserve">FODALE v. </w:t>
    </w:r>
    <w:smartTag w:uri="urn:schemas-microsoft-com:office:smarttags" w:element="place">
      <w:smartTag w:uri="urn:schemas-microsoft-com:office:smarttags" w:element="country-region">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sidR="00BB5349">
      <w:rPr>
        <w:rStyle w:val="PageNumber"/>
        <w:noProof/>
      </w:rPr>
      <w:t>9</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4"/>
  </w:num>
  <w:num w:numId="3">
    <w:abstractNumId w:val="12"/>
  </w:num>
  <w:num w:numId="4">
    <w:abstractNumId w:val="22"/>
  </w:num>
  <w:num w:numId="5">
    <w:abstractNumId w:val="30"/>
  </w:num>
  <w:num w:numId="6">
    <w:abstractNumId w:val="5"/>
  </w:num>
  <w:num w:numId="7">
    <w:abstractNumId w:val="27"/>
  </w:num>
  <w:num w:numId="8">
    <w:abstractNumId w:val="4"/>
  </w:num>
  <w:num w:numId="9">
    <w:abstractNumId w:val="2"/>
  </w:num>
  <w:num w:numId="10">
    <w:abstractNumId w:val="1"/>
  </w:num>
  <w:num w:numId="11">
    <w:abstractNumId w:val="0"/>
  </w:num>
  <w:num w:numId="12">
    <w:abstractNumId w:val="3"/>
  </w:num>
  <w:num w:numId="13">
    <w:abstractNumId w:val="10"/>
  </w:num>
  <w:num w:numId="14">
    <w:abstractNumId w:val="20"/>
  </w:num>
  <w:num w:numId="15">
    <w:abstractNumId w:val="25"/>
  </w:num>
  <w:num w:numId="16">
    <w:abstractNumId w:val="13"/>
  </w:num>
  <w:num w:numId="17">
    <w:abstractNumId w:val="21"/>
  </w:num>
  <w:num w:numId="18">
    <w:abstractNumId w:val="28"/>
  </w:num>
  <w:num w:numId="19">
    <w:abstractNumId w:val="26"/>
  </w:num>
  <w:num w:numId="20">
    <w:abstractNumId w:val="11"/>
  </w:num>
  <w:num w:numId="21">
    <w:abstractNumId w:val="23"/>
  </w:num>
  <w:num w:numId="22">
    <w:abstractNumId w:val="16"/>
  </w:num>
  <w:num w:numId="23">
    <w:abstractNumId w:val="18"/>
  </w:num>
  <w:num w:numId="24">
    <w:abstractNumId w:val="6"/>
  </w:num>
  <w:num w:numId="25">
    <w:abstractNumId w:val="8"/>
  </w:num>
  <w:num w:numId="26">
    <w:abstractNumId w:val="29"/>
  </w:num>
  <w:num w:numId="27">
    <w:abstractNumId w:val="15"/>
  </w:num>
  <w:num w:numId="28">
    <w:abstractNumId w:val="19"/>
  </w:num>
  <w:num w:numId="29">
    <w:abstractNumId w:val="17"/>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rawingGridHorizontalSpacing w:val="120"/>
  <w:displayHorizontalDrawingGridEvery w:val="0"/>
  <w:displayVerticalDrawingGridEvery w:val="0"/>
  <w:noPunctuationKerning/>
  <w:characterSpacingControl w:val="doNotCompress"/>
  <w:hdrShapeDefaults>
    <o:shapedefaults v:ext="edit" spidmax="3074"/>
  </w:hdrShapeDefault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52DD"/>
    <w:rsid w:val="000012DA"/>
    <w:rsid w:val="0000381A"/>
    <w:rsid w:val="00007FB1"/>
    <w:rsid w:val="00045104"/>
    <w:rsid w:val="00053689"/>
    <w:rsid w:val="000604F5"/>
    <w:rsid w:val="00072BF1"/>
    <w:rsid w:val="00075F3B"/>
    <w:rsid w:val="00085109"/>
    <w:rsid w:val="000C5228"/>
    <w:rsid w:val="000E6CD2"/>
    <w:rsid w:val="000F5861"/>
    <w:rsid w:val="001041EC"/>
    <w:rsid w:val="0011473C"/>
    <w:rsid w:val="00121CDE"/>
    <w:rsid w:val="00124DE8"/>
    <w:rsid w:val="00134A67"/>
    <w:rsid w:val="00136071"/>
    <w:rsid w:val="00157C7F"/>
    <w:rsid w:val="001654A2"/>
    <w:rsid w:val="00193ABC"/>
    <w:rsid w:val="00195930"/>
    <w:rsid w:val="001A4CBF"/>
    <w:rsid w:val="001B262B"/>
    <w:rsid w:val="001E44AA"/>
    <w:rsid w:val="00201E75"/>
    <w:rsid w:val="0023061A"/>
    <w:rsid w:val="00250556"/>
    <w:rsid w:val="00267BF8"/>
    <w:rsid w:val="00283F8B"/>
    <w:rsid w:val="002B0CF5"/>
    <w:rsid w:val="002C1DE0"/>
    <w:rsid w:val="002C32F6"/>
    <w:rsid w:val="002C605E"/>
    <w:rsid w:val="002D5258"/>
    <w:rsid w:val="002D602A"/>
    <w:rsid w:val="002E7BB9"/>
    <w:rsid w:val="002F1CFA"/>
    <w:rsid w:val="002F2C54"/>
    <w:rsid w:val="00310A22"/>
    <w:rsid w:val="0032554A"/>
    <w:rsid w:val="0032587C"/>
    <w:rsid w:val="00327DED"/>
    <w:rsid w:val="003341AD"/>
    <w:rsid w:val="003464D7"/>
    <w:rsid w:val="00352356"/>
    <w:rsid w:val="003536AC"/>
    <w:rsid w:val="0037641D"/>
    <w:rsid w:val="0039117A"/>
    <w:rsid w:val="003C6857"/>
    <w:rsid w:val="003D34BC"/>
    <w:rsid w:val="003E5B66"/>
    <w:rsid w:val="004035C3"/>
    <w:rsid w:val="00427758"/>
    <w:rsid w:val="00460CE2"/>
    <w:rsid w:val="0046141A"/>
    <w:rsid w:val="00467641"/>
    <w:rsid w:val="00475984"/>
    <w:rsid w:val="004821FC"/>
    <w:rsid w:val="004867DA"/>
    <w:rsid w:val="004B54D0"/>
    <w:rsid w:val="004D4F4E"/>
    <w:rsid w:val="004E139C"/>
    <w:rsid w:val="004F0C88"/>
    <w:rsid w:val="004F1FB8"/>
    <w:rsid w:val="00553DBB"/>
    <w:rsid w:val="00561AB6"/>
    <w:rsid w:val="005803E1"/>
    <w:rsid w:val="00580A33"/>
    <w:rsid w:val="00587536"/>
    <w:rsid w:val="005877BE"/>
    <w:rsid w:val="00590D71"/>
    <w:rsid w:val="005B66E7"/>
    <w:rsid w:val="005C65CB"/>
    <w:rsid w:val="005D342F"/>
    <w:rsid w:val="005D4341"/>
    <w:rsid w:val="0060220C"/>
    <w:rsid w:val="00602EFF"/>
    <w:rsid w:val="006031F5"/>
    <w:rsid w:val="006379FF"/>
    <w:rsid w:val="0065504A"/>
    <w:rsid w:val="006613F0"/>
    <w:rsid w:val="00670C0B"/>
    <w:rsid w:val="00682202"/>
    <w:rsid w:val="0069646E"/>
    <w:rsid w:val="00697C99"/>
    <w:rsid w:val="006B4FE9"/>
    <w:rsid w:val="006E5350"/>
    <w:rsid w:val="00716079"/>
    <w:rsid w:val="00723C37"/>
    <w:rsid w:val="0072703B"/>
    <w:rsid w:val="00756A73"/>
    <w:rsid w:val="007663F7"/>
    <w:rsid w:val="00775D70"/>
    <w:rsid w:val="007815D2"/>
    <w:rsid w:val="00792800"/>
    <w:rsid w:val="0079559F"/>
    <w:rsid w:val="007A481E"/>
    <w:rsid w:val="007D2983"/>
    <w:rsid w:val="007D3D2D"/>
    <w:rsid w:val="007E10F3"/>
    <w:rsid w:val="007E77F4"/>
    <w:rsid w:val="008029CD"/>
    <w:rsid w:val="00804042"/>
    <w:rsid w:val="008161F9"/>
    <w:rsid w:val="00823BFA"/>
    <w:rsid w:val="00825A00"/>
    <w:rsid w:val="008379CA"/>
    <w:rsid w:val="00846462"/>
    <w:rsid w:val="00863159"/>
    <w:rsid w:val="00870608"/>
    <w:rsid w:val="00883DF6"/>
    <w:rsid w:val="008B3DAB"/>
    <w:rsid w:val="008B4220"/>
    <w:rsid w:val="008D4A70"/>
    <w:rsid w:val="008D5528"/>
    <w:rsid w:val="008E36F2"/>
    <w:rsid w:val="009152DD"/>
    <w:rsid w:val="00923AFD"/>
    <w:rsid w:val="00955980"/>
    <w:rsid w:val="009607CB"/>
    <w:rsid w:val="00974FC3"/>
    <w:rsid w:val="009761B8"/>
    <w:rsid w:val="00986C30"/>
    <w:rsid w:val="009A0233"/>
    <w:rsid w:val="009B298D"/>
    <w:rsid w:val="009D21C4"/>
    <w:rsid w:val="009D7A87"/>
    <w:rsid w:val="009F4C41"/>
    <w:rsid w:val="00A15553"/>
    <w:rsid w:val="00A16917"/>
    <w:rsid w:val="00A27D16"/>
    <w:rsid w:val="00A53A1D"/>
    <w:rsid w:val="00A5569F"/>
    <w:rsid w:val="00A76F5E"/>
    <w:rsid w:val="00A85CDA"/>
    <w:rsid w:val="00A869CB"/>
    <w:rsid w:val="00AB193C"/>
    <w:rsid w:val="00AC1716"/>
    <w:rsid w:val="00AE4D89"/>
    <w:rsid w:val="00AE74E8"/>
    <w:rsid w:val="00AF139E"/>
    <w:rsid w:val="00AF28D1"/>
    <w:rsid w:val="00B04356"/>
    <w:rsid w:val="00B17EC7"/>
    <w:rsid w:val="00B71939"/>
    <w:rsid w:val="00B71C55"/>
    <w:rsid w:val="00B94749"/>
    <w:rsid w:val="00B97214"/>
    <w:rsid w:val="00BA30DB"/>
    <w:rsid w:val="00BB5349"/>
    <w:rsid w:val="00C10EDE"/>
    <w:rsid w:val="00C51932"/>
    <w:rsid w:val="00C66EF2"/>
    <w:rsid w:val="00C96A0A"/>
    <w:rsid w:val="00CD3BAC"/>
    <w:rsid w:val="00CD42D3"/>
    <w:rsid w:val="00CD49A7"/>
    <w:rsid w:val="00CD789B"/>
    <w:rsid w:val="00CE2029"/>
    <w:rsid w:val="00CE293A"/>
    <w:rsid w:val="00D02611"/>
    <w:rsid w:val="00D35E1B"/>
    <w:rsid w:val="00D50E6B"/>
    <w:rsid w:val="00D71FB9"/>
    <w:rsid w:val="00D751F4"/>
    <w:rsid w:val="00D77899"/>
    <w:rsid w:val="00D90F55"/>
    <w:rsid w:val="00D942F6"/>
    <w:rsid w:val="00DC20FF"/>
    <w:rsid w:val="00DD412C"/>
    <w:rsid w:val="00DE2A62"/>
    <w:rsid w:val="00DE5D14"/>
    <w:rsid w:val="00DF0612"/>
    <w:rsid w:val="00E04696"/>
    <w:rsid w:val="00E21EFE"/>
    <w:rsid w:val="00E25F66"/>
    <w:rsid w:val="00E43CC4"/>
    <w:rsid w:val="00E54DE9"/>
    <w:rsid w:val="00E57F27"/>
    <w:rsid w:val="00E9311D"/>
    <w:rsid w:val="00E9395D"/>
    <w:rsid w:val="00E95550"/>
    <w:rsid w:val="00EA482B"/>
    <w:rsid w:val="00F42695"/>
    <w:rsid w:val="00F43833"/>
    <w:rsid w:val="00F46FB1"/>
    <w:rsid w:val="00F47D0F"/>
    <w:rsid w:val="00F843B7"/>
    <w:rsid w:val="00F87F77"/>
    <w:rsid w:val="00F917BF"/>
    <w:rsid w:val="00F92A55"/>
    <w:rsid w:val="00FA439A"/>
    <w:rsid w:val="00FB4A91"/>
    <w:rsid w:val="00FD0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City"/>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983"/>
    <w:pPr>
      <w:suppressAutoHyphens/>
    </w:pPr>
    <w:rPr>
      <w:sz w:val="24"/>
      <w:lang w:val="en-GB" w:eastAsia="fr-FR"/>
    </w:rPr>
  </w:style>
  <w:style w:type="paragraph" w:styleId="Heading1">
    <w:name w:val="heading 1"/>
    <w:basedOn w:val="Normal"/>
    <w:next w:val="Normal"/>
    <w:qFormat/>
    <w:rsid w:val="007D2983"/>
    <w:pPr>
      <w:keepNext/>
      <w:spacing w:before="360" w:after="240"/>
      <w:jc w:val="center"/>
      <w:outlineLvl w:val="0"/>
    </w:pPr>
    <w:rPr>
      <w:b/>
      <w:sz w:val="28"/>
    </w:rPr>
  </w:style>
  <w:style w:type="paragraph" w:styleId="Heading2">
    <w:name w:val="heading 2"/>
    <w:basedOn w:val="Normal"/>
    <w:next w:val="Normal"/>
    <w:qFormat/>
    <w:rsid w:val="007D2983"/>
    <w:pPr>
      <w:keepNext/>
      <w:spacing w:before="240" w:after="120"/>
      <w:ind w:left="284" w:hanging="284"/>
      <w:outlineLvl w:val="1"/>
    </w:pPr>
    <w:rPr>
      <w:b/>
    </w:rPr>
  </w:style>
  <w:style w:type="paragraph" w:styleId="Heading3">
    <w:name w:val="heading 3"/>
    <w:basedOn w:val="Normal"/>
    <w:next w:val="Normal"/>
    <w:qFormat/>
    <w:rsid w:val="007D2983"/>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rsid w:val="007D2983"/>
  </w:style>
  <w:style w:type="table" w:default="1" w:styleId="TableNormal">
    <w:name w:val="Normal Table"/>
    <w:semiHidden/>
    <w:rsid w:val="007D2983"/>
    <w:tblPr>
      <w:tblInd w:w="0" w:type="dxa"/>
      <w:tblCellMar>
        <w:top w:w="0" w:type="dxa"/>
        <w:left w:w="108" w:type="dxa"/>
        <w:bottom w:w="0" w:type="dxa"/>
        <w:right w:w="108" w:type="dxa"/>
      </w:tblCellMar>
    </w:tblPr>
  </w:style>
  <w:style w:type="numbering" w:default="1" w:styleId="NoList">
    <w:name w:val="No List"/>
    <w:semiHidden/>
    <w:rsid w:val="007D2983"/>
  </w:style>
  <w:style w:type="paragraph" w:customStyle="1" w:styleId="JuPara">
    <w:name w:val="Ju_Para"/>
    <w:basedOn w:val="Normal"/>
    <w:rsid w:val="007D2983"/>
    <w:pPr>
      <w:ind w:firstLine="284"/>
      <w:jc w:val="both"/>
    </w:pPr>
  </w:style>
  <w:style w:type="paragraph" w:customStyle="1" w:styleId="JuHIRoman">
    <w:name w:val="Ju_H_I_Roman"/>
    <w:basedOn w:val="JuHHead"/>
    <w:next w:val="JuPara"/>
    <w:rsid w:val="007D2983"/>
    <w:pPr>
      <w:tabs>
        <w:tab w:val="left" w:pos="357"/>
      </w:tabs>
      <w:spacing w:before="360"/>
      <w:ind w:left="357" w:hanging="357"/>
    </w:pPr>
    <w:rPr>
      <w:sz w:val="24"/>
    </w:rPr>
  </w:style>
  <w:style w:type="paragraph" w:customStyle="1" w:styleId="JuHHead">
    <w:name w:val="Ju_H_Head"/>
    <w:basedOn w:val="Normal"/>
    <w:next w:val="JuPara"/>
    <w:rsid w:val="007D2983"/>
    <w:pPr>
      <w:keepNext/>
      <w:keepLines/>
      <w:spacing w:before="720" w:after="240"/>
      <w:jc w:val="both"/>
    </w:pPr>
    <w:rPr>
      <w:sz w:val="28"/>
    </w:rPr>
  </w:style>
  <w:style w:type="paragraph" w:styleId="Footer">
    <w:name w:val="footer"/>
    <w:basedOn w:val="Normal"/>
    <w:rsid w:val="007D2983"/>
    <w:pPr>
      <w:tabs>
        <w:tab w:val="center" w:pos="3686"/>
        <w:tab w:val="right" w:pos="7371"/>
      </w:tabs>
    </w:pPr>
    <w:rPr>
      <w:sz w:val="18"/>
    </w:rPr>
  </w:style>
  <w:style w:type="paragraph" w:customStyle="1" w:styleId="JuJudges">
    <w:name w:val="Ju_Judges"/>
    <w:basedOn w:val="Normal"/>
    <w:rsid w:val="007D2983"/>
    <w:pPr>
      <w:tabs>
        <w:tab w:val="left" w:pos="567"/>
        <w:tab w:val="left" w:pos="1134"/>
      </w:tabs>
    </w:pPr>
  </w:style>
  <w:style w:type="character" w:customStyle="1" w:styleId="JuNames">
    <w:name w:val="Ju_Names"/>
    <w:basedOn w:val="DefaultParagraphFont"/>
    <w:rsid w:val="007D2983"/>
    <w:rPr>
      <w:smallCaps/>
    </w:rPr>
  </w:style>
  <w:style w:type="paragraph" w:customStyle="1" w:styleId="JuHA">
    <w:name w:val="Ju_H_A"/>
    <w:basedOn w:val="JuHIRoman"/>
    <w:next w:val="JuPara"/>
    <w:rsid w:val="007D2983"/>
    <w:pPr>
      <w:tabs>
        <w:tab w:val="clear" w:pos="357"/>
        <w:tab w:val="left" w:pos="584"/>
      </w:tabs>
      <w:ind w:left="584" w:hanging="352"/>
    </w:pPr>
    <w:rPr>
      <w:b/>
    </w:rPr>
  </w:style>
  <w:style w:type="paragraph" w:customStyle="1" w:styleId="JuQuot">
    <w:name w:val="Ju_Quot"/>
    <w:basedOn w:val="JuPara"/>
    <w:rsid w:val="007D2983"/>
    <w:pPr>
      <w:spacing w:before="120" w:after="120"/>
      <w:ind w:left="425" w:firstLine="142"/>
    </w:pPr>
    <w:rPr>
      <w:sz w:val="20"/>
    </w:rPr>
  </w:style>
  <w:style w:type="paragraph" w:customStyle="1" w:styleId="JuSigned">
    <w:name w:val="Ju_Signed"/>
    <w:basedOn w:val="Normal"/>
    <w:next w:val="JuParaLast"/>
    <w:rsid w:val="00267BF8"/>
    <w:pPr>
      <w:tabs>
        <w:tab w:val="center" w:pos="1219"/>
        <w:tab w:val="center" w:pos="6379"/>
      </w:tabs>
      <w:spacing w:before="720"/>
    </w:pPr>
  </w:style>
  <w:style w:type="paragraph" w:customStyle="1" w:styleId="JuParaLast">
    <w:name w:val="Ju_Para_Last"/>
    <w:basedOn w:val="JuPara"/>
    <w:next w:val="JuPara"/>
    <w:rsid w:val="007D2983"/>
    <w:pPr>
      <w:spacing w:before="240"/>
    </w:pPr>
  </w:style>
  <w:style w:type="paragraph" w:customStyle="1" w:styleId="JuCase">
    <w:name w:val="Ju_Case"/>
    <w:basedOn w:val="JuPara"/>
    <w:next w:val="JuPara"/>
    <w:rsid w:val="007D2983"/>
    <w:rPr>
      <w:b/>
    </w:rPr>
  </w:style>
  <w:style w:type="paragraph" w:customStyle="1" w:styleId="JuList">
    <w:name w:val="Ju_List"/>
    <w:basedOn w:val="JuPara"/>
    <w:rsid w:val="007D2983"/>
    <w:pPr>
      <w:ind w:left="340" w:hanging="340"/>
    </w:pPr>
  </w:style>
  <w:style w:type="paragraph" w:customStyle="1" w:styleId="JuHArticle">
    <w:name w:val="Ju_H_Article"/>
    <w:basedOn w:val="JuHa0"/>
    <w:next w:val="JuQuot"/>
    <w:rsid w:val="007D2983"/>
    <w:pPr>
      <w:ind w:left="0" w:firstLine="0"/>
      <w:jc w:val="center"/>
    </w:pPr>
  </w:style>
  <w:style w:type="paragraph" w:customStyle="1" w:styleId="JuHa0">
    <w:name w:val="Ju_H_a"/>
    <w:basedOn w:val="JuH1"/>
    <w:next w:val="JuPara"/>
    <w:rsid w:val="007D2983"/>
    <w:pPr>
      <w:tabs>
        <w:tab w:val="clear" w:pos="731"/>
        <w:tab w:val="left" w:pos="975"/>
      </w:tabs>
      <w:ind w:left="975" w:hanging="340"/>
    </w:pPr>
    <w:rPr>
      <w:b/>
      <w:i w:val="0"/>
      <w:sz w:val="20"/>
    </w:rPr>
  </w:style>
  <w:style w:type="paragraph" w:customStyle="1" w:styleId="JuH1">
    <w:name w:val="Ju_H_1."/>
    <w:basedOn w:val="JuHA"/>
    <w:next w:val="JuPara"/>
    <w:rsid w:val="007D2983"/>
    <w:pPr>
      <w:tabs>
        <w:tab w:val="clear" w:pos="584"/>
        <w:tab w:val="left" w:pos="731"/>
      </w:tabs>
      <w:spacing w:before="240" w:after="120"/>
      <w:ind w:left="732" w:hanging="301"/>
    </w:pPr>
    <w:rPr>
      <w:b w:val="0"/>
      <w:i/>
    </w:rPr>
  </w:style>
  <w:style w:type="paragraph" w:styleId="CommentSubject">
    <w:name w:val="annotation subject"/>
    <w:basedOn w:val="CommentText"/>
    <w:next w:val="CommentText"/>
    <w:semiHidden/>
    <w:rsid w:val="00F43833"/>
    <w:rPr>
      <w:b/>
      <w:bCs/>
    </w:rPr>
  </w:style>
  <w:style w:type="paragraph" w:styleId="CommentText">
    <w:name w:val="annotation text"/>
    <w:basedOn w:val="Normal"/>
    <w:semiHidden/>
    <w:rPr>
      <w:sz w:val="20"/>
    </w:rPr>
  </w:style>
  <w:style w:type="paragraph" w:customStyle="1" w:styleId="JuCourt">
    <w:name w:val="Ju_Court"/>
    <w:basedOn w:val="JuJudges"/>
    <w:rsid w:val="007D2983"/>
    <w:pPr>
      <w:tabs>
        <w:tab w:val="clear" w:pos="567"/>
        <w:tab w:val="clear" w:pos="1134"/>
        <w:tab w:val="left" w:pos="907"/>
        <w:tab w:val="left" w:pos="1701"/>
        <w:tab w:val="right" w:pos="7371"/>
      </w:tabs>
      <w:spacing w:before="240"/>
      <w:ind w:left="397" w:hanging="397"/>
    </w:pPr>
  </w:style>
  <w:style w:type="paragraph" w:styleId="FootnoteText">
    <w:name w:val="footnote text"/>
    <w:basedOn w:val="Normal"/>
    <w:semiHidden/>
    <w:rsid w:val="007D2983"/>
    <w:pPr>
      <w:jc w:val="both"/>
    </w:pPr>
    <w:rPr>
      <w:sz w:val="20"/>
    </w:rPr>
  </w:style>
  <w:style w:type="character" w:styleId="FootnoteReference">
    <w:name w:val="footnote reference"/>
    <w:basedOn w:val="DefaultParagraphFont"/>
    <w:semiHidden/>
    <w:rsid w:val="007D2983"/>
    <w:rPr>
      <w:vertAlign w:val="superscript"/>
    </w:rPr>
  </w:style>
  <w:style w:type="paragraph" w:customStyle="1" w:styleId="JuHi">
    <w:name w:val="Ju_H_i"/>
    <w:basedOn w:val="JuHa0"/>
    <w:next w:val="JuPara"/>
    <w:rsid w:val="007D2983"/>
    <w:pPr>
      <w:tabs>
        <w:tab w:val="clear" w:pos="975"/>
        <w:tab w:val="left" w:pos="1191"/>
      </w:tabs>
      <w:ind w:left="1190" w:hanging="357"/>
    </w:pPr>
    <w:rPr>
      <w:b w:val="0"/>
      <w:i/>
    </w:rPr>
  </w:style>
  <w:style w:type="paragraph" w:styleId="Header">
    <w:name w:val="header"/>
    <w:basedOn w:val="Normal"/>
    <w:rsid w:val="007D2983"/>
    <w:pPr>
      <w:tabs>
        <w:tab w:val="center" w:pos="3686"/>
        <w:tab w:val="right" w:pos="7371"/>
      </w:tabs>
    </w:pPr>
    <w:rPr>
      <w:sz w:val="18"/>
    </w:rPr>
  </w:style>
  <w:style w:type="character" w:styleId="PageNumber">
    <w:name w:val="page number"/>
    <w:basedOn w:val="DefaultParagraphFont"/>
    <w:rsid w:val="007D2983"/>
    <w:rPr>
      <w:sz w:val="18"/>
    </w:rPr>
  </w:style>
  <w:style w:type="paragraph" w:customStyle="1" w:styleId="JuH">
    <w:name w:val="Ju_H_–"/>
    <w:basedOn w:val="JuHalpha"/>
    <w:next w:val="JuPara"/>
    <w:rsid w:val="007D2983"/>
    <w:pPr>
      <w:tabs>
        <w:tab w:val="clear" w:pos="1372"/>
      </w:tabs>
      <w:ind w:left="1236" w:firstLine="0"/>
    </w:pPr>
    <w:rPr>
      <w:i/>
    </w:rPr>
  </w:style>
  <w:style w:type="paragraph" w:customStyle="1" w:styleId="JuHalpha">
    <w:name w:val="Ju_H_alpha"/>
    <w:basedOn w:val="JuHi"/>
    <w:next w:val="JuPara"/>
    <w:rsid w:val="007D2983"/>
    <w:pPr>
      <w:tabs>
        <w:tab w:val="clear" w:pos="1191"/>
        <w:tab w:val="left" w:pos="1372"/>
      </w:tabs>
      <w:ind w:left="1373" w:hanging="335"/>
    </w:pPr>
    <w:rPr>
      <w:i w:val="0"/>
    </w:rPr>
  </w:style>
  <w:style w:type="paragraph" w:customStyle="1" w:styleId="JuLista">
    <w:name w:val="Ju_List_a"/>
    <w:basedOn w:val="JuList"/>
    <w:rsid w:val="007D2983"/>
    <w:pPr>
      <w:ind w:left="346" w:firstLine="0"/>
    </w:pPr>
  </w:style>
  <w:style w:type="paragraph" w:customStyle="1" w:styleId="JuListi">
    <w:name w:val="Ju_List_i"/>
    <w:basedOn w:val="JuLista"/>
    <w:rsid w:val="007D2983"/>
    <w:pPr>
      <w:ind w:left="794"/>
    </w:pPr>
  </w:style>
  <w:style w:type="character" w:styleId="CommentReference">
    <w:name w:val="annotation reference"/>
    <w:basedOn w:val="DefaultParagraphFont"/>
    <w:semiHidden/>
    <w:rPr>
      <w:sz w:val="16"/>
    </w:rPr>
  </w:style>
  <w:style w:type="paragraph" w:customStyle="1" w:styleId="OpiHHead">
    <w:name w:val="Opi_H_Head"/>
    <w:basedOn w:val="JuHHead"/>
    <w:next w:val="OpiPara"/>
    <w:rsid w:val="007D2983"/>
    <w:pPr>
      <w:spacing w:before="0"/>
      <w:jc w:val="center"/>
    </w:pPr>
  </w:style>
  <w:style w:type="paragraph" w:customStyle="1" w:styleId="OpiPara">
    <w:name w:val="Opi_Para"/>
    <w:basedOn w:val="JuPara"/>
    <w:rsid w:val="007D2983"/>
  </w:style>
  <w:style w:type="paragraph" w:customStyle="1" w:styleId="OpiTranslation">
    <w:name w:val="Opi_Translation"/>
    <w:basedOn w:val="OpiHHead"/>
    <w:next w:val="OpiPara"/>
    <w:rsid w:val="007D2983"/>
    <w:rPr>
      <w:sz w:val="24"/>
    </w:rPr>
  </w:style>
  <w:style w:type="paragraph" w:customStyle="1" w:styleId="JuInitialled">
    <w:name w:val="Ju_Initialled"/>
    <w:basedOn w:val="JuSigned"/>
    <w:rsid w:val="007D2983"/>
    <w:pPr>
      <w:jc w:val="right"/>
    </w:pPr>
  </w:style>
  <w:style w:type="paragraph" w:customStyle="1" w:styleId="JuHeader">
    <w:name w:val="Ju_Header"/>
    <w:basedOn w:val="Header"/>
    <w:rsid w:val="007D2983"/>
  </w:style>
  <w:style w:type="paragraph" w:customStyle="1" w:styleId="DecHTitle">
    <w:name w:val="Dec_H_Title"/>
    <w:basedOn w:val="Normal"/>
    <w:rsid w:val="007D2983"/>
    <w:pPr>
      <w:spacing w:after="240"/>
      <w:jc w:val="center"/>
    </w:pPr>
    <w:rPr>
      <w:sz w:val="28"/>
    </w:rPr>
  </w:style>
  <w:style w:type="paragraph" w:customStyle="1" w:styleId="DecHCase">
    <w:name w:val="Dec_H_Case"/>
    <w:basedOn w:val="DecHTitle"/>
    <w:next w:val="JuPara"/>
    <w:rsid w:val="007D2983"/>
    <w:rPr>
      <w:sz w:val="24"/>
    </w:rPr>
  </w:style>
  <w:style w:type="paragraph" w:customStyle="1" w:styleId="DecList">
    <w:name w:val="Dec_List"/>
    <w:basedOn w:val="Normal"/>
    <w:rsid w:val="007D2983"/>
    <w:pPr>
      <w:spacing w:before="240"/>
      <w:ind w:left="284"/>
      <w:jc w:val="both"/>
    </w:pPr>
  </w:style>
  <w:style w:type="paragraph" w:customStyle="1" w:styleId="JuParaSub">
    <w:name w:val="Ju_Para_Sub"/>
    <w:basedOn w:val="JuPara"/>
    <w:rsid w:val="007D2983"/>
    <w:pPr>
      <w:ind w:left="284"/>
    </w:pPr>
    <w:rPr>
      <w:szCs w:val="24"/>
    </w:rPr>
  </w:style>
  <w:style w:type="paragraph" w:customStyle="1" w:styleId="JuQuotSub">
    <w:name w:val="Ju_Quot_Sub"/>
    <w:basedOn w:val="JuQuot"/>
    <w:rsid w:val="007D2983"/>
    <w:pPr>
      <w:ind w:left="567"/>
    </w:pPr>
  </w:style>
  <w:style w:type="paragraph" w:styleId="BalloonText">
    <w:name w:val="Balloon Text"/>
    <w:basedOn w:val="Normal"/>
    <w:semiHidden/>
    <w:rsid w:val="00283F8B"/>
    <w:rPr>
      <w:rFonts w:ascii="Tahoma" w:hAnsi="Tahoma" w:cs="Tahoma"/>
      <w:sz w:val="16"/>
      <w:szCs w:val="16"/>
    </w:rPr>
  </w:style>
  <w:style w:type="paragraph" w:customStyle="1" w:styleId="PJuPara">
    <w:name w:val="P_Ju_Para"/>
    <w:basedOn w:val="Normal"/>
    <w:rsid w:val="007D2983"/>
    <w:pPr>
      <w:ind w:firstLine="284"/>
      <w:jc w:val="both"/>
    </w:pPr>
  </w:style>
  <w:style w:type="paragraph" w:customStyle="1" w:styleId="PJuQuot">
    <w:name w:val="P_Ju_Quot"/>
    <w:basedOn w:val="Normal"/>
    <w:rsid w:val="007D2983"/>
    <w:pPr>
      <w:spacing w:before="120" w:after="120"/>
      <w:ind w:left="403" w:firstLine="176"/>
      <w:jc w:val="both"/>
    </w:pPr>
    <w:rPr>
      <w:sz w:val="20"/>
    </w:rPr>
  </w:style>
  <w:style w:type="paragraph" w:customStyle="1" w:styleId="OpiHA">
    <w:name w:val="Opi_H_A"/>
    <w:basedOn w:val="JuHIRoman"/>
    <w:next w:val="OpiPara"/>
    <w:rsid w:val="007D2983"/>
    <w:pPr>
      <w:tabs>
        <w:tab w:val="clear" w:pos="357"/>
      </w:tabs>
    </w:pPr>
    <w:rPr>
      <w:b/>
    </w:rPr>
  </w:style>
  <w:style w:type="paragraph" w:customStyle="1" w:styleId="OpiH1">
    <w:name w:val="Opi_H_1."/>
    <w:basedOn w:val="OpiHA"/>
    <w:next w:val="OpiPara"/>
    <w:rsid w:val="007D2983"/>
    <w:pPr>
      <w:spacing w:before="240" w:after="120"/>
      <w:ind w:left="635"/>
    </w:pPr>
    <w:rPr>
      <w:b w:val="0"/>
      <w:i/>
    </w:rPr>
  </w:style>
  <w:style w:type="paragraph" w:customStyle="1" w:styleId="OpiHa0">
    <w:name w:val="Opi_H_a"/>
    <w:basedOn w:val="OpiH1"/>
    <w:next w:val="OpiPara"/>
    <w:rsid w:val="007D2983"/>
    <w:pPr>
      <w:ind w:left="834"/>
    </w:pPr>
    <w:rPr>
      <w:b/>
      <w:i w:val="0"/>
      <w:sz w:val="20"/>
    </w:rPr>
  </w:style>
  <w:style w:type="paragraph" w:customStyle="1" w:styleId="OpiHi">
    <w:name w:val="Opi_H_i"/>
    <w:basedOn w:val="OpiHa0"/>
    <w:next w:val="OpiPara"/>
    <w:rsid w:val="007D2983"/>
    <w:pPr>
      <w:ind w:left="1038"/>
    </w:pPr>
    <w:rPr>
      <w:b w:val="0"/>
      <w:i/>
    </w:rPr>
  </w:style>
  <w:style w:type="paragraph" w:customStyle="1" w:styleId="PListArticleSubject">
    <w:name w:val="P_List_ArticleSubject"/>
    <w:basedOn w:val="Normal"/>
    <w:rsid w:val="007D2983"/>
    <w:pPr>
      <w:tabs>
        <w:tab w:val="left" w:pos="2977"/>
      </w:tabs>
      <w:ind w:left="2977" w:hanging="2977"/>
    </w:pPr>
  </w:style>
  <w:style w:type="paragraph" w:customStyle="1" w:styleId="OpiQuot">
    <w:name w:val="Opi_Quot"/>
    <w:basedOn w:val="JuQuot"/>
    <w:rsid w:val="007D2983"/>
  </w:style>
  <w:style w:type="paragraph" w:customStyle="1" w:styleId="SuCoverTitle1">
    <w:name w:val="Su_Cover_Title1"/>
    <w:basedOn w:val="Normal"/>
    <w:next w:val="SuCoverTitle2"/>
    <w:rsid w:val="007D2983"/>
    <w:pPr>
      <w:spacing w:before="2500"/>
      <w:jc w:val="center"/>
    </w:pPr>
    <w:rPr>
      <w:sz w:val="22"/>
    </w:rPr>
  </w:style>
  <w:style w:type="paragraph" w:customStyle="1" w:styleId="SuCoverTitle2">
    <w:name w:val="Su_Cover_Title2"/>
    <w:basedOn w:val="SuCoverTitle1"/>
    <w:next w:val="Normal"/>
    <w:rsid w:val="007D2983"/>
    <w:pPr>
      <w:spacing w:before="240"/>
    </w:pPr>
    <w:rPr>
      <w:sz w:val="18"/>
    </w:rPr>
  </w:style>
  <w:style w:type="paragraph" w:customStyle="1" w:styleId="SuPara">
    <w:name w:val="Su_Para"/>
    <w:basedOn w:val="SuKeywords"/>
    <w:rsid w:val="007D2983"/>
    <w:pPr>
      <w:spacing w:before="0" w:after="0"/>
    </w:pPr>
    <w:rPr>
      <w:i w:val="0"/>
    </w:rPr>
  </w:style>
  <w:style w:type="paragraph" w:customStyle="1" w:styleId="SuKeywords">
    <w:name w:val="Su_Keywords"/>
    <w:basedOn w:val="SuHHead"/>
    <w:rsid w:val="007D2983"/>
    <w:pPr>
      <w:spacing w:before="120"/>
    </w:pPr>
    <w:rPr>
      <w:b w:val="0"/>
      <w:i/>
    </w:rPr>
  </w:style>
  <w:style w:type="paragraph" w:customStyle="1" w:styleId="SuHHead">
    <w:name w:val="Su_H_Head"/>
    <w:basedOn w:val="SuSubject"/>
    <w:rsid w:val="007D2983"/>
    <w:pPr>
      <w:spacing w:after="120"/>
    </w:pPr>
  </w:style>
  <w:style w:type="paragraph" w:customStyle="1" w:styleId="SuSubject">
    <w:name w:val="Su_Subject"/>
    <w:basedOn w:val="SuSummary"/>
    <w:rsid w:val="007D2983"/>
    <w:pPr>
      <w:spacing w:before="360"/>
      <w:jc w:val="both"/>
    </w:pPr>
    <w:rPr>
      <w:b/>
      <w:sz w:val="22"/>
    </w:rPr>
  </w:style>
  <w:style w:type="paragraph" w:customStyle="1" w:styleId="SuSummary">
    <w:name w:val="Su_Summary"/>
    <w:basedOn w:val="Normal"/>
    <w:next w:val="SuSubject"/>
    <w:rsid w:val="007D2983"/>
    <w:pPr>
      <w:spacing w:after="240"/>
      <w:jc w:val="center"/>
    </w:pPr>
  </w:style>
  <w:style w:type="paragraph" w:customStyle="1" w:styleId="PListCaseNo">
    <w:name w:val="P_List_CaseNo"/>
    <w:basedOn w:val="Normal"/>
    <w:rsid w:val="007D2983"/>
    <w:pPr>
      <w:tabs>
        <w:tab w:val="left" w:pos="1276"/>
      </w:tabs>
      <w:spacing w:line="288" w:lineRule="auto"/>
      <w:ind w:left="1276" w:hanging="1276"/>
    </w:pPr>
  </w:style>
  <w:style w:type="paragraph" w:customStyle="1" w:styleId="PListCases">
    <w:name w:val="P_List_Cases"/>
    <w:basedOn w:val="Normal"/>
    <w:rsid w:val="007D2983"/>
    <w:pPr>
      <w:spacing w:line="288" w:lineRule="auto"/>
    </w:pPr>
  </w:style>
  <w:style w:type="paragraph" w:customStyle="1" w:styleId="PTextIntro">
    <w:name w:val="P_Text_Intro"/>
    <w:basedOn w:val="Normal"/>
    <w:rsid w:val="007D2983"/>
    <w:pPr>
      <w:jc w:val="both"/>
    </w:pPr>
    <w:rPr>
      <w:i/>
      <w:sz w:val="20"/>
    </w:rPr>
  </w:style>
  <w:style w:type="paragraph" w:customStyle="1" w:styleId="PTitleCover">
    <w:name w:val="P_Title_Cover"/>
    <w:basedOn w:val="Normal"/>
    <w:rsid w:val="007D2983"/>
    <w:pPr>
      <w:spacing w:before="2500"/>
      <w:jc w:val="center"/>
    </w:pPr>
    <w:rPr>
      <w:b/>
      <w:smallCaps/>
      <w:sz w:val="30"/>
    </w:rPr>
  </w:style>
  <w:style w:type="paragraph" w:customStyle="1" w:styleId="PTitle1Alpha">
    <w:name w:val="P_Title1_Alpha"/>
    <w:basedOn w:val="Normal"/>
    <w:next w:val="Normal"/>
    <w:rsid w:val="007D2983"/>
    <w:pPr>
      <w:spacing w:after="120"/>
      <w:jc w:val="center"/>
    </w:pPr>
    <w:rPr>
      <w:b/>
      <w:smallCaps/>
      <w:sz w:val="30"/>
    </w:rPr>
  </w:style>
  <w:style w:type="paragraph" w:customStyle="1" w:styleId="PTitle1IndexArticle">
    <w:name w:val="P_Title1_IndexArticle"/>
    <w:basedOn w:val="Normal"/>
    <w:rsid w:val="007D2983"/>
    <w:pPr>
      <w:spacing w:after="120"/>
      <w:jc w:val="center"/>
    </w:pPr>
    <w:rPr>
      <w:b/>
      <w:smallCaps/>
      <w:sz w:val="30"/>
    </w:rPr>
  </w:style>
  <w:style w:type="paragraph" w:customStyle="1" w:styleId="PTitle1IndexKey">
    <w:name w:val="P_Title1_IndexKey"/>
    <w:basedOn w:val="Normal"/>
    <w:rsid w:val="007D2983"/>
    <w:pPr>
      <w:spacing w:after="600"/>
      <w:jc w:val="center"/>
    </w:pPr>
    <w:rPr>
      <w:b/>
      <w:smallCaps/>
      <w:sz w:val="30"/>
    </w:rPr>
  </w:style>
  <w:style w:type="paragraph" w:customStyle="1" w:styleId="PTitle1Num">
    <w:name w:val="P_Title1_Num"/>
    <w:basedOn w:val="Normal"/>
    <w:next w:val="PListCaseNo"/>
    <w:rsid w:val="007D2983"/>
    <w:pPr>
      <w:spacing w:after="720"/>
      <w:jc w:val="center"/>
    </w:pPr>
    <w:rPr>
      <w:b/>
      <w:smallCaps/>
      <w:sz w:val="30"/>
    </w:rPr>
  </w:style>
  <w:style w:type="paragraph" w:customStyle="1" w:styleId="PTitle2Country">
    <w:name w:val="P_Title2_Country"/>
    <w:basedOn w:val="Normal"/>
    <w:next w:val="PListCases"/>
    <w:rsid w:val="007D2983"/>
    <w:pPr>
      <w:keepNext/>
      <w:keepLines/>
      <w:spacing w:before="600" w:after="360"/>
    </w:pPr>
    <w:rPr>
      <w:b/>
    </w:rPr>
  </w:style>
  <w:style w:type="paragraph" w:customStyle="1" w:styleId="PTitle2Letters">
    <w:name w:val="P_Title2_Letters"/>
    <w:basedOn w:val="Normal"/>
    <w:next w:val="PListCases"/>
    <w:rsid w:val="007D2983"/>
    <w:pPr>
      <w:keepNext/>
      <w:keepLines/>
      <w:spacing w:before="600" w:after="360"/>
    </w:pPr>
    <w:rPr>
      <w:b/>
      <w:sz w:val="28"/>
    </w:rPr>
  </w:style>
  <w:style w:type="paragraph" w:customStyle="1" w:styleId="PTitle2Part">
    <w:name w:val="P_Title2_Part"/>
    <w:basedOn w:val="Normal"/>
    <w:rsid w:val="007D2983"/>
    <w:pPr>
      <w:keepNext/>
      <w:keepLines/>
      <w:spacing w:before="600" w:after="240"/>
      <w:jc w:val="center"/>
    </w:pPr>
    <w:rPr>
      <w:b/>
      <w:caps/>
    </w:rPr>
  </w:style>
  <w:style w:type="paragraph" w:customStyle="1" w:styleId="PTitle3Article">
    <w:name w:val="P_Title3_Article"/>
    <w:basedOn w:val="Normal"/>
    <w:rsid w:val="007D2983"/>
    <w:pPr>
      <w:keepNext/>
      <w:keepLines/>
      <w:spacing w:before="360" w:after="120"/>
      <w:jc w:val="center"/>
    </w:pPr>
    <w:rPr>
      <w:b/>
      <w:smallCaps/>
      <w:sz w:val="22"/>
    </w:rPr>
  </w:style>
  <w:style w:type="paragraph" w:customStyle="1" w:styleId="PTitle4ArticleSub">
    <w:name w:val="P_Title4_Article_Sub"/>
    <w:basedOn w:val="PTitle3Article"/>
    <w:rsid w:val="007D2983"/>
    <w:pPr>
      <w:spacing w:before="240"/>
    </w:pPr>
    <w:rPr>
      <w:smallCaps w:val="0"/>
      <w:sz w:val="20"/>
    </w:rPr>
  </w:style>
  <w:style w:type="paragraph" w:customStyle="1" w:styleId="PTitle5Subject">
    <w:name w:val="P_Title5_Subject"/>
    <w:basedOn w:val="Normal"/>
    <w:rsid w:val="007D2983"/>
    <w:pPr>
      <w:keepNext/>
      <w:keepLines/>
      <w:spacing w:before="240" w:after="120"/>
      <w:jc w:val="both"/>
    </w:pPr>
    <w:rPr>
      <w:b/>
      <w:i/>
    </w:rPr>
  </w:style>
  <w:style w:type="paragraph" w:customStyle="1" w:styleId="PTitle6SubjectSub">
    <w:name w:val="P_Title6_Subject_Sub"/>
    <w:basedOn w:val="Normal"/>
    <w:rsid w:val="007D2983"/>
    <w:pPr>
      <w:keepNext/>
      <w:keepLines/>
      <w:spacing w:before="240" w:after="120"/>
      <w:ind w:left="284"/>
      <w:jc w:val="both"/>
    </w:pPr>
    <w:rPr>
      <w:b/>
      <w:sz w:val="20"/>
    </w:rPr>
  </w:style>
  <w:style w:type="paragraph" w:customStyle="1" w:styleId="PTitle7CaseName">
    <w:name w:val="P_Title7_CaseName"/>
    <w:basedOn w:val="Normal"/>
    <w:rsid w:val="007D2983"/>
    <w:pPr>
      <w:keepLines/>
      <w:spacing w:after="240"/>
      <w:jc w:val="right"/>
    </w:pPr>
    <w:rPr>
      <w:sz w:val="22"/>
    </w:rPr>
  </w:style>
  <w:style w:type="paragraph" w:customStyle="1" w:styleId="OpiParaSub">
    <w:name w:val="Opi_Para_Sub"/>
    <w:basedOn w:val="JuParaSub"/>
    <w:rsid w:val="007D2983"/>
  </w:style>
  <w:style w:type="paragraph" w:customStyle="1" w:styleId="OpiQuotSub">
    <w:name w:val="Opi_Quot_Sub"/>
    <w:basedOn w:val="JuQuotSub"/>
    <w:rsid w:val="007D2983"/>
  </w:style>
  <w:style w:type="character" w:styleId="Hyperlink">
    <w:name w:val="Hyperlink"/>
    <w:basedOn w:val="DefaultParagraphFont"/>
    <w:rsid w:val="009152DD"/>
    <w:rPr>
      <w:color w:val="0000FF"/>
      <w:u w:val="single"/>
    </w:rPr>
  </w:style>
  <w:style w:type="character" w:customStyle="1" w:styleId="ju-005fpara--char">
    <w:name w:val="ju-005fpara--char"/>
    <w:basedOn w:val="DefaultParagraphFont"/>
    <w:rsid w:val="00B94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30470D-5CF9-4C67-9D38-C84EDE02E95E}"/>
</file>

<file path=customXml/itemProps2.xml><?xml version="1.0" encoding="utf-8"?>
<ds:datastoreItem xmlns:ds="http://schemas.openxmlformats.org/officeDocument/2006/customXml" ds:itemID="{4EA720BB-4965-4565-BF04-F0CA59B07A11}"/>
</file>

<file path=customXml/itemProps3.xml><?xml version="1.0" encoding="utf-8"?>
<ds:datastoreItem xmlns:ds="http://schemas.openxmlformats.org/officeDocument/2006/customXml" ds:itemID="{D17406B2-C7F4-4DB5-B25F-EF5E4035D227}"/>
</file>

<file path=docProps/app.xml><?xml version="1.0" encoding="utf-8"?>
<Properties xmlns="http://schemas.openxmlformats.org/officeDocument/2006/extended-properties" xmlns:vt="http://schemas.openxmlformats.org/officeDocument/2006/docPropsVTypes">
  <Template>Normal.dotm</Template>
  <TotalTime>1573</TotalTime>
  <Pages>1</Pages>
  <Words>3750</Words>
  <Characters>21379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25079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15</cp:revision>
  <cp:lastPrinted>2007-01-24T09:50:00Z</cp:lastPrinted>
  <dcterms:created xsi:type="dcterms:W3CDTF">2015-03-17T19:03:00Z</dcterms:created>
  <dcterms:modified xsi:type="dcterms:W3CDTF">2015-03-17T19:03:00Z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