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9A173F" w:rsidR="000404C3" w:rsidP="00042867" w:rsidRDefault="000404C3">
      <w:pPr>
        <w:jc w:val="center"/>
      </w:pPr>
      <w:bookmarkStart w:name="_GoBack" w:id="0"/>
      <w:bookmarkEnd w:id="0"/>
    </w:p>
    <w:p w:rsidRPr="009A173F" w:rsidR="000404C3" w:rsidP="00042867" w:rsidRDefault="000404C3">
      <w:pPr>
        <w:jc w:val="center"/>
      </w:pPr>
    </w:p>
    <w:p w:rsidRPr="009A173F" w:rsidR="00F71A6A" w:rsidP="00042867" w:rsidRDefault="00F71A6A">
      <w:pPr>
        <w:jc w:val="center"/>
      </w:pPr>
    </w:p>
    <w:p w:rsidRPr="007D0231" w:rsidR="00F71A6A" w:rsidP="00042867" w:rsidRDefault="000404C3">
      <w:pPr>
        <w:jc w:val="center"/>
      </w:pPr>
      <w:r w:rsidRPr="007D0231">
        <w:t>SECOND SECTION</w:t>
      </w:r>
    </w:p>
    <w:p w:rsidRPr="007D0231" w:rsidR="000404C3" w:rsidP="00042867" w:rsidRDefault="000404C3">
      <w:pPr>
        <w:jc w:val="center"/>
      </w:pPr>
    </w:p>
    <w:p w:rsidRPr="007D0231" w:rsidR="000404C3" w:rsidP="00042867" w:rsidRDefault="000404C3">
      <w:pPr>
        <w:jc w:val="center"/>
      </w:pPr>
    </w:p>
    <w:p w:rsidRPr="007D0231" w:rsidR="000404C3" w:rsidP="00042867" w:rsidRDefault="000404C3">
      <w:pPr>
        <w:jc w:val="center"/>
      </w:pPr>
    </w:p>
    <w:p w:rsidRPr="007D0231" w:rsidR="000404C3" w:rsidP="00042867" w:rsidRDefault="000404C3">
      <w:pPr>
        <w:jc w:val="center"/>
      </w:pPr>
    </w:p>
    <w:p w:rsidRPr="007D0231" w:rsidR="00F71A6A" w:rsidP="00042867" w:rsidRDefault="00F71A6A">
      <w:pPr>
        <w:jc w:val="center"/>
      </w:pPr>
    </w:p>
    <w:p w:rsidRPr="007D0231" w:rsidR="00F71A6A" w:rsidP="00042867" w:rsidRDefault="00F71A6A">
      <w:pPr>
        <w:jc w:val="center"/>
        <w:rPr>
          <w:b/>
        </w:rPr>
      </w:pPr>
      <w:bookmarkStart w:name="To" w:id="1"/>
      <w:r w:rsidRPr="007D0231">
        <w:rPr>
          <w:b/>
        </w:rPr>
        <w:t xml:space="preserve">CASE OF </w:t>
      </w:r>
      <w:bookmarkEnd w:id="1"/>
      <w:r w:rsidRPr="007D0231" w:rsidR="000404C3">
        <w:rPr>
          <w:b/>
        </w:rPr>
        <w:t xml:space="preserve">FRANCESCO SESSA v. </w:t>
      </w:r>
      <w:smartTag w:uri="urn:schemas-microsoft-com:office:smarttags" w:element="country-region">
        <w:smartTag w:uri="urn:schemas-microsoft-com:office:smarttags" w:element="place">
          <w:r w:rsidR="000404C3" w:rsidRPr="007D0231">
            <w:rPr>
              <w:b/>
            </w:rPr>
            <w:t>ITALY</w:t>
          </w:r>
        </w:smartTag>
      </w:smartTag>
    </w:p>
    <w:p w:rsidRPr="007D0231" w:rsidR="00F71A6A" w:rsidP="00042867" w:rsidRDefault="00F71A6A">
      <w:pPr>
        <w:jc w:val="center"/>
      </w:pPr>
    </w:p>
    <w:p w:rsidRPr="007D0231" w:rsidR="00F71A6A" w:rsidP="00042867" w:rsidRDefault="00F71A6A">
      <w:pPr>
        <w:jc w:val="center"/>
        <w:rPr>
          <w:i/>
        </w:rPr>
      </w:pPr>
      <w:r w:rsidRPr="007D0231">
        <w:rPr>
          <w:i/>
        </w:rPr>
        <w:t>(</w:t>
      </w:r>
      <w:r w:rsidRPr="007D0231" w:rsidR="000404C3">
        <w:rPr>
          <w:i/>
        </w:rPr>
        <w:t>Application no. 28790/08</w:t>
      </w:r>
      <w:r w:rsidRPr="007D0231">
        <w:rPr>
          <w:i/>
        </w:rPr>
        <w:t>)</w:t>
      </w:r>
    </w:p>
    <w:p w:rsidRPr="007D0231" w:rsidR="00F71A6A" w:rsidP="00042867" w:rsidRDefault="00F71A6A">
      <w:pPr>
        <w:jc w:val="center"/>
      </w:pPr>
    </w:p>
    <w:p w:rsidRPr="007D0231" w:rsidR="00F71A6A" w:rsidP="00042867" w:rsidRDefault="00F71A6A">
      <w:pPr>
        <w:jc w:val="center"/>
      </w:pPr>
    </w:p>
    <w:p w:rsidRPr="007D0231" w:rsidR="00F71A6A" w:rsidP="00042867" w:rsidRDefault="00F71A6A">
      <w:pPr>
        <w:jc w:val="center"/>
      </w:pPr>
    </w:p>
    <w:p w:rsidRPr="007D0231" w:rsidR="00F71A6A" w:rsidP="00042867" w:rsidRDefault="00F71A6A">
      <w:pPr>
        <w:jc w:val="center"/>
      </w:pPr>
    </w:p>
    <w:p w:rsidRPr="007D0231" w:rsidR="00F71A6A" w:rsidP="00042867" w:rsidRDefault="00F71A6A">
      <w:pPr>
        <w:jc w:val="center"/>
      </w:pPr>
    </w:p>
    <w:p w:rsidRPr="007D0231" w:rsidR="00D73611" w:rsidP="000404C3" w:rsidRDefault="000404C3">
      <w:pPr>
        <w:jc w:val="center"/>
        <w:rPr>
          <w:szCs w:val="24"/>
        </w:rPr>
      </w:pPr>
      <w:r w:rsidRPr="007D0231">
        <w:rPr>
          <w:szCs w:val="24"/>
        </w:rPr>
        <w:t>JUDGMENT</w:t>
      </w:r>
    </w:p>
    <w:p w:rsidRPr="007D0231" w:rsidR="00AA2B6A" w:rsidP="00042867" w:rsidRDefault="00C7116C">
      <w:pPr>
        <w:jc w:val="center"/>
        <w:rPr>
          <w:szCs w:val="24"/>
        </w:rPr>
      </w:pPr>
      <w:r w:rsidRPr="007D0231">
        <w:rPr>
          <w:szCs w:val="24"/>
        </w:rPr>
        <w:t>[Extracts]</w:t>
      </w:r>
    </w:p>
    <w:p w:rsidRPr="007D0231" w:rsidR="00B921A8" w:rsidP="00151CCA" w:rsidRDefault="00B921A8">
      <w:pPr>
        <w:rPr>
          <w:szCs w:val="24"/>
        </w:rPr>
      </w:pPr>
    </w:p>
    <w:p w:rsidRPr="007D0231" w:rsidR="000404C3" w:rsidP="000404C3" w:rsidRDefault="000404C3">
      <w:pPr>
        <w:pStyle w:val="JuCase"/>
        <w:ind w:firstLine="0"/>
        <w:jc w:val="center"/>
        <w:rPr>
          <w:b w:val="0"/>
        </w:rPr>
      </w:pPr>
    </w:p>
    <w:p w:rsidRPr="007D0231" w:rsidR="000404C3" w:rsidP="000404C3" w:rsidRDefault="000404C3">
      <w:pPr>
        <w:pStyle w:val="JuCase"/>
        <w:ind w:firstLine="0"/>
        <w:jc w:val="center"/>
        <w:rPr>
          <w:b w:val="0"/>
        </w:rPr>
      </w:pPr>
    </w:p>
    <w:p w:rsidRPr="007D0231" w:rsidR="000404C3" w:rsidP="000404C3" w:rsidRDefault="000404C3">
      <w:pPr>
        <w:pStyle w:val="JuCase"/>
        <w:ind w:firstLine="0"/>
        <w:jc w:val="center"/>
        <w:rPr>
          <w:b w:val="0"/>
        </w:rPr>
      </w:pPr>
      <w:smartTag w:uri="urn:schemas-microsoft-com:office:smarttags" w:element="City">
        <w:smartTag w:uri="urn:schemas-microsoft-com:office:smarttags" w:element="place">
          <w:r w:rsidRPr="007D0231">
            <w:rPr>
              <w:b w:val="0"/>
            </w:rPr>
            <w:t>STRASBOURG</w:t>
          </w:r>
        </w:smartTag>
      </w:smartTag>
    </w:p>
    <w:p w:rsidRPr="007D0231" w:rsidR="000404C3" w:rsidP="000404C3" w:rsidRDefault="000404C3">
      <w:pPr>
        <w:pStyle w:val="JuCase"/>
        <w:ind w:firstLine="0"/>
        <w:jc w:val="center"/>
        <w:rPr>
          <w:b w:val="0"/>
        </w:rPr>
      </w:pPr>
    </w:p>
    <w:p w:rsidRPr="007D0231" w:rsidR="000404C3" w:rsidP="000404C3" w:rsidRDefault="00C7116C">
      <w:pPr>
        <w:pStyle w:val="JuCase"/>
        <w:ind w:firstLine="0"/>
        <w:jc w:val="center"/>
        <w:rPr>
          <w:b w:val="0"/>
        </w:rPr>
      </w:pPr>
      <w:r w:rsidRPr="007D0231">
        <w:rPr>
          <w:b w:val="0"/>
        </w:rPr>
        <w:t>3 April 2012</w:t>
      </w:r>
    </w:p>
    <w:p w:rsidRPr="007D0231" w:rsidR="000404C3" w:rsidP="000404C3" w:rsidRDefault="000404C3">
      <w:pPr>
        <w:pStyle w:val="JuCase"/>
        <w:ind w:firstLine="0"/>
        <w:jc w:val="center"/>
        <w:rPr>
          <w:b w:val="0"/>
        </w:rPr>
      </w:pPr>
    </w:p>
    <w:p w:rsidRPr="00044053" w:rsidR="00044053" w:rsidP="00044053" w:rsidRDefault="00044053">
      <w:pPr>
        <w:suppressAutoHyphens w:val="0"/>
        <w:jc w:val="center"/>
        <w:rPr>
          <w:b/>
          <w:color w:val="FF0000"/>
          <w:szCs w:val="24"/>
          <w:u w:val="single"/>
          <w:lang w:val="fr-FR"/>
        </w:rPr>
      </w:pPr>
    </w:p>
    <w:p w:rsidRPr="00044053" w:rsidR="00044053" w:rsidP="00044053" w:rsidRDefault="00044053">
      <w:pPr>
        <w:suppressAutoHyphens w:val="0"/>
        <w:jc w:val="center"/>
        <w:rPr>
          <w:b/>
          <w:color w:val="FF0000"/>
          <w:szCs w:val="24"/>
          <w:u w:val="single"/>
          <w:lang w:val="fr-FR"/>
        </w:rPr>
      </w:pPr>
    </w:p>
    <w:p w:rsidRPr="00044053" w:rsidR="00044053" w:rsidP="00044053" w:rsidRDefault="00044053">
      <w:pPr>
        <w:suppressAutoHyphens w:val="0"/>
        <w:jc w:val="center"/>
        <w:rPr>
          <w:b/>
          <w:color w:val="FF0000"/>
          <w:szCs w:val="24"/>
          <w:u w:val="single"/>
          <w:lang w:val="en-US"/>
        </w:rPr>
      </w:pPr>
      <w:r w:rsidRPr="00044053">
        <w:rPr>
          <w:b/>
          <w:color w:val="FF0000"/>
          <w:szCs w:val="24"/>
          <w:u w:val="single"/>
          <w:lang w:val="en-US"/>
        </w:rPr>
        <w:t>FINAL</w:t>
      </w:r>
    </w:p>
    <w:p w:rsidRPr="00044053" w:rsidR="00044053" w:rsidP="00044053" w:rsidRDefault="00044053">
      <w:pPr>
        <w:suppressAutoHyphens w:val="0"/>
        <w:jc w:val="center"/>
        <w:rPr>
          <w:b/>
          <w:color w:val="FF0000"/>
          <w:szCs w:val="24"/>
          <w:u w:val="single"/>
          <w:lang w:val="en-US"/>
        </w:rPr>
      </w:pPr>
    </w:p>
    <w:p w:rsidRPr="00044053" w:rsidR="00044053" w:rsidP="00044053" w:rsidRDefault="00044053">
      <w:pPr>
        <w:suppressAutoHyphens w:val="0"/>
        <w:jc w:val="center"/>
        <w:rPr>
          <w:i/>
          <w:color w:val="FF0000"/>
          <w:szCs w:val="24"/>
          <w:lang w:val="en-US"/>
        </w:rPr>
      </w:pPr>
      <w:r w:rsidRPr="00044053">
        <w:rPr>
          <w:i/>
          <w:color w:val="FF0000"/>
          <w:szCs w:val="24"/>
          <w:lang w:val="en-US"/>
        </w:rPr>
        <w:t>24/09/2012</w:t>
      </w:r>
    </w:p>
    <w:p w:rsidRPr="00044053" w:rsidR="00044053" w:rsidP="00044053" w:rsidRDefault="00044053">
      <w:pPr>
        <w:suppressAutoHyphens w:val="0"/>
        <w:jc w:val="center"/>
        <w:rPr>
          <w:i/>
          <w:color w:val="FF0000"/>
          <w:szCs w:val="24"/>
          <w:lang w:val="en-US"/>
        </w:rPr>
      </w:pPr>
    </w:p>
    <w:p w:rsidRPr="007D0231" w:rsidR="000404C3" w:rsidP="00044053" w:rsidRDefault="00044053">
      <w:pPr>
        <w:pStyle w:val="JuCase"/>
        <w:ind w:firstLine="0"/>
        <w:rPr>
          <w:b w:val="0"/>
        </w:rPr>
        <w:sectPr w:rsidRPr="007D0231" w:rsidR="000404C3" w:rsidSect="000404C3">
          <w:headerReference w:type="default" r:id="rId7"/>
          <w:headerReference w:type="first" r:id="rId8"/>
          <w:footerReference w:type="first" r:id="rId9"/>
          <w:footnotePr>
            <w:numRestart w:val="eachPage"/>
          </w:footnotePr>
          <w:pgSz w:w="11906" w:h="16838" w:code="9"/>
          <w:pgMar w:top="2274" w:right="2274" w:bottom="2274" w:left="2274" w:header="1701" w:footer="720" w:gutter="0"/>
          <w:pgNumType w:start="1"/>
          <w:cols w:space="720"/>
          <w:titlePg/>
          <w:docGrid w:linePitch="326"/>
        </w:sectPr>
      </w:pPr>
      <w:r w:rsidRPr="00044053">
        <w:rPr>
          <w:b w:val="0"/>
          <w:i/>
          <w:color w:val="000000"/>
          <w:szCs w:val="24"/>
        </w:rPr>
        <w:t>This judgment has become final under Article 44 § 2 of the Convention.</w:t>
      </w:r>
      <w:r>
        <w:rPr>
          <w:b w:val="0"/>
          <w:i/>
          <w:color w:val="000000"/>
          <w:szCs w:val="24"/>
        </w:rPr>
        <w:t xml:space="preserve"> </w:t>
      </w:r>
    </w:p>
    <w:p w:rsidRPr="007D0231" w:rsidR="00B030BE" w:rsidP="00B030BE" w:rsidRDefault="00F71A6A">
      <w:pPr>
        <w:pStyle w:val="JuCase"/>
        <w:rPr>
          <w:b w:val="0"/>
          <w:bCs/>
        </w:rPr>
      </w:pPr>
      <w:r w:rsidRPr="007D0231">
        <w:t>In the case of</w:t>
      </w:r>
      <w:r w:rsidRPr="007D0231" w:rsidR="00B030BE">
        <w:t xml:space="preserve"> </w:t>
      </w:r>
      <w:r w:rsidRPr="007D0231" w:rsidR="000404C3">
        <w:t xml:space="preserve">Francesco Sessa v. </w:t>
      </w:r>
      <w:smartTag w:uri="urn:schemas-microsoft-com:office:smarttags" w:element="place">
        <w:smartTag w:uri="urn:schemas-microsoft-com:office:smarttags" w:element="country-region">
          <w:r w:rsidR="000404C3" w:rsidRPr="007D0231">
            <w:t>Italy</w:t>
          </w:r>
        </w:smartTag>
      </w:smartTag>
      <w:r w:rsidRPr="007D0231" w:rsidR="00B030BE">
        <w:t>,</w:t>
      </w:r>
    </w:p>
    <w:p w:rsidRPr="007D0231" w:rsidR="00730433" w:rsidP="00B030BE" w:rsidRDefault="00F71A6A">
      <w:pPr>
        <w:pStyle w:val="JuCase"/>
        <w:rPr>
          <w:b w:val="0"/>
          <w:bCs/>
        </w:rPr>
      </w:pPr>
      <w:r w:rsidRPr="007D0231">
        <w:rPr>
          <w:b w:val="0"/>
          <w:bCs/>
        </w:rPr>
        <w:t>The European Court of Human Rights (</w:t>
      </w:r>
      <w:r w:rsidRPr="007D0231" w:rsidR="000404C3">
        <w:rPr>
          <w:b w:val="0"/>
          <w:bCs/>
        </w:rPr>
        <w:t>Second Section</w:t>
      </w:r>
      <w:r w:rsidRPr="007D0231">
        <w:rPr>
          <w:b w:val="0"/>
          <w:bCs/>
        </w:rPr>
        <w:t xml:space="preserve">), sitting as a </w:t>
      </w:r>
      <w:r w:rsidRPr="007D0231" w:rsidR="000404C3">
        <w:rPr>
          <w:b w:val="0"/>
          <w:bCs/>
        </w:rPr>
        <w:t>Chamber</w:t>
      </w:r>
      <w:r w:rsidRPr="007D0231" w:rsidR="00730433">
        <w:rPr>
          <w:b w:val="0"/>
          <w:bCs/>
        </w:rPr>
        <w:t xml:space="preserve"> composed of:</w:t>
      </w:r>
    </w:p>
    <w:p w:rsidRPr="007D0231" w:rsidR="00F71A6A" w:rsidP="008824B9" w:rsidRDefault="00C7116C">
      <w:pPr>
        <w:pStyle w:val="JuJudges"/>
      </w:pPr>
      <w:r w:rsidRPr="007D0231">
        <w:tab/>
        <w:t xml:space="preserve">Françoise Tulkens, </w:t>
      </w:r>
      <w:r w:rsidRPr="007D0231">
        <w:rPr>
          <w:i/>
        </w:rPr>
        <w:t>President</w:t>
      </w:r>
      <w:r w:rsidRPr="007D0231">
        <w:t>,</w:t>
      </w:r>
      <w:r w:rsidRPr="007D0231">
        <w:br/>
      </w:r>
      <w:r w:rsidRPr="007D0231">
        <w:tab/>
        <w:t>Dragoljub Popović,</w:t>
      </w:r>
      <w:r w:rsidRPr="007D0231">
        <w:br/>
      </w:r>
      <w:r w:rsidRPr="007D0231">
        <w:tab/>
        <w:t>Isabelle Berro-Lefèvre,</w:t>
      </w:r>
      <w:r w:rsidRPr="007D0231">
        <w:br/>
      </w:r>
      <w:r w:rsidRPr="007D0231">
        <w:tab/>
        <w:t>András Sajó,</w:t>
      </w:r>
      <w:r w:rsidRPr="007D0231">
        <w:br/>
      </w:r>
      <w:r w:rsidRPr="007D0231">
        <w:tab/>
        <w:t>Guido Raimondi,</w:t>
      </w:r>
      <w:r w:rsidRPr="007D0231">
        <w:br/>
      </w:r>
      <w:r w:rsidRPr="007D0231">
        <w:tab/>
        <w:t>Paulo Pinto de Albuquerque,</w:t>
      </w:r>
      <w:r w:rsidRPr="007D0231">
        <w:br/>
      </w:r>
      <w:r w:rsidRPr="007D0231">
        <w:tab/>
        <w:t>Helen Keller,</w:t>
      </w:r>
      <w:r w:rsidRPr="007D0231">
        <w:rPr>
          <w:i/>
        </w:rPr>
        <w:t xml:space="preserve"> judges</w:t>
      </w:r>
      <w:r w:rsidRPr="007D0231">
        <w:t>,</w:t>
      </w:r>
      <w:r w:rsidRPr="007D0231">
        <w:br/>
      </w:r>
      <w:r w:rsidRPr="007D0231" w:rsidR="00F71A6A">
        <w:t>and</w:t>
      </w:r>
      <w:r w:rsidRPr="007D0231" w:rsidR="000726F6">
        <w:t xml:space="preserve"> </w:t>
      </w:r>
      <w:r w:rsidRPr="007D0231">
        <w:t>Françoise Elens-Passos</w:t>
      </w:r>
      <w:r w:rsidRPr="007D0231" w:rsidR="009D4B87">
        <w:rPr>
          <w:rStyle w:val="JuJudgesChar"/>
        </w:rPr>
        <w:t xml:space="preserve">, </w:t>
      </w:r>
      <w:r w:rsidRPr="007D0231">
        <w:rPr>
          <w:i/>
        </w:rPr>
        <w:t>Deputy S</w:t>
      </w:r>
      <w:r w:rsidRPr="007D0231" w:rsidR="000404C3">
        <w:rPr>
          <w:i/>
        </w:rPr>
        <w:t xml:space="preserve">ection </w:t>
      </w:r>
      <w:r w:rsidRPr="007D0231" w:rsidR="000404C3">
        <w:rPr>
          <w:i/>
          <w:iCs/>
        </w:rPr>
        <w:t>Registrar</w:t>
      </w:r>
      <w:r w:rsidRPr="007D0231" w:rsidR="00F71A6A">
        <w:t>,</w:t>
      </w:r>
    </w:p>
    <w:p w:rsidRPr="007D0231" w:rsidR="00F71A6A" w:rsidP="002F4BCF" w:rsidRDefault="00F71A6A">
      <w:pPr>
        <w:pStyle w:val="JuPara"/>
      </w:pPr>
      <w:r w:rsidRPr="007D0231">
        <w:t xml:space="preserve">Having deliberated in private on </w:t>
      </w:r>
      <w:r w:rsidRPr="007D0231" w:rsidR="00C7116C">
        <w:t>6 March 2012</w:t>
      </w:r>
      <w:r w:rsidRPr="007D0231">
        <w:t>,</w:t>
      </w:r>
    </w:p>
    <w:p w:rsidRPr="007D0231" w:rsidR="00F71A6A" w:rsidP="002F4BCF" w:rsidRDefault="00F71A6A">
      <w:pPr>
        <w:pStyle w:val="JuPara"/>
      </w:pPr>
      <w:r w:rsidRPr="007D0231">
        <w:t>Delivers the following judgment, which was adopted on that date:</w:t>
      </w:r>
    </w:p>
    <w:p w:rsidRPr="007D0231" w:rsidR="00F71A6A" w:rsidP="008824B9" w:rsidRDefault="00F71A6A">
      <w:pPr>
        <w:pStyle w:val="JuHHead"/>
      </w:pPr>
      <w:r w:rsidRPr="007D0231">
        <w:t>PROCEDURE</w:t>
      </w:r>
    </w:p>
    <w:p w:rsidR="00044053" w:rsidP="00893782" w:rsidRDefault="000404C3">
      <w:pPr>
        <w:pStyle w:val="JuPara"/>
      </w:pPr>
      <w:r w:rsidRPr="007D0231">
        <w:fldChar w:fldCharType="begin"/>
      </w:r>
      <w:r w:rsidRPr="007D0231">
        <w:instrText xml:space="preserve"> SEQ level0 \*arabic </w:instrText>
      </w:r>
      <w:r w:rsidRPr="007D0231">
        <w:fldChar w:fldCharType="separate"/>
      </w:r>
      <w:r w:rsidRPr="007D0231" w:rsidR="00A41717">
        <w:rPr>
          <w:noProof/>
        </w:rPr>
        <w:t>1</w:t>
      </w:r>
      <w:r w:rsidRPr="007D0231">
        <w:fldChar w:fldCharType="end"/>
      </w:r>
      <w:r w:rsidRPr="007D0231" w:rsidR="00F71A6A">
        <w:t xml:space="preserve">.  The case originated in </w:t>
      </w:r>
      <w:r w:rsidRPr="007D0231">
        <w:t>an application (no. 28790/08)</w:t>
      </w:r>
      <w:r w:rsidRPr="007D0231" w:rsidR="00F71A6A">
        <w:t xml:space="preserve"> against </w:t>
      </w:r>
      <w:r w:rsidRPr="007D0231">
        <w:t xml:space="preserve">the </w:t>
      </w:r>
      <w:smartTag w:uri="urn:schemas-microsoft-com:office:smarttags" w:element="place">
        <w:smartTag w:uri="urn:schemas-microsoft-com:office:smarttags" w:element="PlaceName">
          <w:r w:rsidRPr="007D0231">
            <w:t>Italian</w:t>
          </w:r>
        </w:smartTag>
        <w:r w:rsidRPr="007D0231">
          <w:t xml:space="preserve"> </w:t>
        </w:r>
        <w:smartTag w:uri="urn:schemas-microsoft-com:office:smarttags" w:element="PlaceType">
          <w:r w:rsidRPr="007D0231">
            <w:t>Republic</w:t>
          </w:r>
        </w:smartTag>
      </w:smartTag>
      <w:r w:rsidRPr="007D0231" w:rsidR="00F71A6A">
        <w:t xml:space="preserve"> lodged with the </w:t>
      </w:r>
      <w:r w:rsidRPr="007D0231">
        <w:t>Court under Article 34</w:t>
      </w:r>
      <w:r w:rsidRPr="007D0231" w:rsidR="004920B1">
        <w:t xml:space="preserve"> of the Convention for the Protection of Human Rights and Fundamental Freedoms (“the Convention”)</w:t>
      </w:r>
      <w:r w:rsidRPr="007D0231" w:rsidR="00F71A6A">
        <w:t xml:space="preserve"> by </w:t>
      </w:r>
      <w:r w:rsidRPr="007D0231">
        <w:t>an Italian national, Mr Francesco Sessa (“the applicant”), on 3 June 2008</w:t>
      </w:r>
      <w:r w:rsidRPr="007D0231" w:rsidR="00F71A6A">
        <w:t>.</w:t>
      </w:r>
    </w:p>
    <w:p w:rsidRPr="007D0231" w:rsidR="000404C3" w:rsidP="002F4BCF" w:rsidRDefault="000404C3">
      <w:pPr>
        <w:pStyle w:val="JuPara"/>
      </w:pPr>
      <w:r w:rsidRPr="007D0231">
        <w:fldChar w:fldCharType="begin"/>
      </w:r>
      <w:r w:rsidRPr="007D0231">
        <w:instrText xml:space="preserve"> SEQ level0 \*arabic </w:instrText>
      </w:r>
      <w:r w:rsidRPr="007D0231">
        <w:fldChar w:fldCharType="separate"/>
      </w:r>
      <w:r w:rsidRPr="007D0231" w:rsidR="00A41717">
        <w:rPr>
          <w:noProof/>
        </w:rPr>
        <w:t>2</w:t>
      </w:r>
      <w:r w:rsidRPr="007D0231">
        <w:fldChar w:fldCharType="end"/>
      </w:r>
      <w:r w:rsidRPr="007D0231" w:rsidR="00F71A6A">
        <w:t>.  </w:t>
      </w:r>
      <w:r w:rsidRPr="007D0231">
        <w:t xml:space="preserve">The applicant was represented by Ms M. Cozza, a lawyer practising in </w:t>
      </w:r>
      <w:smartTag w:uri="urn:schemas-microsoft-com:office:smarttags" w:element="City">
        <w:smartTag w:uri="urn:schemas-microsoft-com:office:smarttags" w:element="place">
          <w:r w:rsidRPr="007D0231">
            <w:t>Salern</w:t>
          </w:r>
          <w:r w:rsidR="001E22B7" w:rsidRPr="007D0231">
            <w:t>o</w:t>
          </w:r>
        </w:smartTag>
      </w:smartTag>
      <w:r w:rsidRPr="007D0231">
        <w:t xml:space="preserve">. </w:t>
      </w:r>
      <w:r w:rsidRPr="007D0231" w:rsidR="00F71A6A">
        <w:t xml:space="preserve">The </w:t>
      </w:r>
      <w:r w:rsidRPr="007D0231">
        <w:t>Italian</w:t>
      </w:r>
      <w:r w:rsidRPr="007D0231" w:rsidR="00F71A6A">
        <w:t xml:space="preserve"> Government (“the Government”) were represented by their Agent, M</w:t>
      </w:r>
      <w:r w:rsidRPr="007D0231" w:rsidR="001E22B7">
        <w:t>s</w:t>
      </w:r>
      <w:r w:rsidRPr="007D0231" w:rsidR="00F71A6A">
        <w:t xml:space="preserve"> </w:t>
      </w:r>
      <w:r w:rsidRPr="007D0231" w:rsidR="001E22B7">
        <w:t>E. Spatafora</w:t>
      </w:r>
      <w:r w:rsidRPr="007D0231" w:rsidR="00F71A6A">
        <w:t>.</w:t>
      </w:r>
    </w:p>
    <w:p w:rsidRPr="007D0231" w:rsidR="00F71A6A" w:rsidP="00865450" w:rsidRDefault="000404C3">
      <w:pPr>
        <w:pStyle w:val="JuPara"/>
      </w:pPr>
      <w:r w:rsidRPr="007D0231">
        <w:fldChar w:fldCharType="begin"/>
      </w:r>
      <w:r w:rsidRPr="007D0231">
        <w:instrText xml:space="preserve"> SEQ level0 \*arabic </w:instrText>
      </w:r>
      <w:r w:rsidRPr="007D0231">
        <w:fldChar w:fldCharType="separate"/>
      </w:r>
      <w:r w:rsidRPr="007D0231" w:rsidR="00A41717">
        <w:rPr>
          <w:noProof/>
        </w:rPr>
        <w:t>3</w:t>
      </w:r>
      <w:r w:rsidRPr="007D0231">
        <w:fldChar w:fldCharType="end"/>
      </w:r>
      <w:r w:rsidRPr="007D0231" w:rsidR="001E22B7">
        <w:t>.  The applicant alleged</w:t>
      </w:r>
      <w:r w:rsidRPr="007D0231">
        <w:t xml:space="preserve">, in particular, </w:t>
      </w:r>
      <w:r w:rsidRPr="007D0231" w:rsidR="001E22B7">
        <w:t>a violation of his freedom to manifest his religion</w:t>
      </w:r>
      <w:r w:rsidRPr="007D0231">
        <w:t>.</w:t>
      </w:r>
    </w:p>
    <w:p w:rsidRPr="007D0231" w:rsidR="007E603C" w:rsidP="00865450" w:rsidRDefault="000404C3">
      <w:pPr>
        <w:pStyle w:val="JuPara"/>
        <w:rPr>
          <w:szCs w:val="22"/>
        </w:rPr>
      </w:pPr>
      <w:r w:rsidRPr="007D0231">
        <w:fldChar w:fldCharType="begin"/>
      </w:r>
      <w:r w:rsidRPr="007D0231">
        <w:instrText xml:space="preserve"> SEQ level0 \*arabic </w:instrText>
      </w:r>
      <w:r w:rsidRPr="007D0231">
        <w:fldChar w:fldCharType="separate"/>
      </w:r>
      <w:r w:rsidRPr="007D0231" w:rsidR="00A41717">
        <w:rPr>
          <w:noProof/>
        </w:rPr>
        <w:t>4</w:t>
      </w:r>
      <w:r w:rsidRPr="007D0231">
        <w:fldChar w:fldCharType="end"/>
      </w:r>
      <w:r w:rsidRPr="007D0231" w:rsidR="00F71A6A">
        <w:t xml:space="preserve">.  On </w:t>
      </w:r>
      <w:r w:rsidRPr="007D0231">
        <w:rPr>
          <w:szCs w:val="24"/>
        </w:rPr>
        <w:t>6 July 2009</w:t>
      </w:r>
      <w:r w:rsidRPr="007D0231" w:rsidR="00F71A6A">
        <w:t xml:space="preserve"> </w:t>
      </w:r>
      <w:r w:rsidRPr="007D0231" w:rsidR="0009409F">
        <w:t>the</w:t>
      </w:r>
      <w:r w:rsidRPr="007D0231" w:rsidR="001E22B7">
        <w:t xml:space="preserve"> President of the Second Section decided to communicate the</w:t>
      </w:r>
      <w:r w:rsidRPr="007D0231" w:rsidR="0009409F">
        <w:t xml:space="preserve"> </w:t>
      </w:r>
      <w:r w:rsidRPr="007D0231">
        <w:t xml:space="preserve">application </w:t>
      </w:r>
      <w:r w:rsidRPr="007D0231" w:rsidR="00F71A6A">
        <w:t>to the Gove</w:t>
      </w:r>
      <w:r w:rsidRPr="007D0231" w:rsidR="00485A6F">
        <w:t>rnment.</w:t>
      </w:r>
      <w:r w:rsidRPr="007D0231">
        <w:t xml:space="preserve"> It was also decided to rule on the admissibility and merits of the application at the same time (Article</w:t>
      </w:r>
      <w:r w:rsidRPr="007D0231" w:rsidR="001E22B7">
        <w:t> </w:t>
      </w:r>
      <w:r w:rsidRPr="007D0231">
        <w:t>29 § 1</w:t>
      </w:r>
      <w:r w:rsidRPr="007D0231" w:rsidR="006E09A6">
        <w:t xml:space="preserve"> of the Convention</w:t>
      </w:r>
      <w:r w:rsidRPr="007D0231">
        <w:t>).</w:t>
      </w:r>
    </w:p>
    <w:p w:rsidRPr="007D0231" w:rsidR="00F71A6A" w:rsidP="008824B9" w:rsidRDefault="00F71A6A">
      <w:pPr>
        <w:pStyle w:val="JuHHead"/>
      </w:pPr>
      <w:r w:rsidRPr="007D0231">
        <w:t>THE FACTS</w:t>
      </w:r>
    </w:p>
    <w:p w:rsidRPr="007D0231" w:rsidR="00D353F4" w:rsidP="008824B9" w:rsidRDefault="007352DD">
      <w:pPr>
        <w:pStyle w:val="JuHIRoman"/>
        <w:outlineLvl w:val="0"/>
      </w:pPr>
      <w:r w:rsidRPr="007D0231">
        <w:t xml:space="preserve">I.  THE CIRCUMSTANCES OF THE </w:t>
      </w:r>
      <w:r w:rsidRPr="007D0231" w:rsidR="00D353F4">
        <w:t>CASE</w:t>
      </w:r>
    </w:p>
    <w:p w:rsidRPr="007D0231" w:rsidR="00F71A6A" w:rsidP="002F4BCF" w:rsidRDefault="000404C3">
      <w:pPr>
        <w:pStyle w:val="JuPara"/>
      </w:pPr>
      <w:r w:rsidRPr="007D0231">
        <w:fldChar w:fldCharType="begin"/>
      </w:r>
      <w:r w:rsidRPr="007D0231">
        <w:instrText xml:space="preserve"> SEQ level0 \*arabic </w:instrText>
      </w:r>
      <w:r w:rsidRPr="007D0231">
        <w:fldChar w:fldCharType="separate"/>
      </w:r>
      <w:r w:rsidRPr="007D0231" w:rsidR="00A41717">
        <w:rPr>
          <w:noProof/>
        </w:rPr>
        <w:t>5</w:t>
      </w:r>
      <w:r w:rsidRPr="007D0231">
        <w:fldChar w:fldCharType="end"/>
      </w:r>
      <w:r w:rsidRPr="007D0231" w:rsidR="00F71A6A">
        <w:t xml:space="preserve">.  The </w:t>
      </w:r>
      <w:r w:rsidRPr="007D0231">
        <w:t>applicant was born in 1955 and lives</w:t>
      </w:r>
      <w:r w:rsidRPr="007D0231" w:rsidR="00F71A6A">
        <w:t xml:space="preserve"> in </w:t>
      </w:r>
      <w:smartTag w:uri="urn:schemas-microsoft-com:office:smarttags" w:element="City">
        <w:smartTag w:uri="urn:schemas-microsoft-com:office:smarttags" w:element="place">
          <w:r w:rsidR="001E22B7" w:rsidRPr="007D0231">
            <w:t>Naples</w:t>
          </w:r>
        </w:smartTag>
      </w:smartTag>
      <w:r w:rsidRPr="007D0231" w:rsidR="00F71A6A">
        <w:t>.</w:t>
      </w:r>
    </w:p>
    <w:p w:rsidRPr="007D0231" w:rsidR="004E1045" w:rsidP="001E22B7" w:rsidRDefault="000404C3">
      <w:pPr>
        <w:pStyle w:val="JuPara"/>
      </w:pPr>
      <w:r w:rsidRPr="007D0231">
        <w:fldChar w:fldCharType="begin"/>
      </w:r>
      <w:r w:rsidRPr="007D0231">
        <w:instrText xml:space="preserve"> SEQ level0 \*arabic </w:instrText>
      </w:r>
      <w:r w:rsidRPr="007D0231">
        <w:fldChar w:fldCharType="separate"/>
      </w:r>
      <w:r w:rsidRPr="007D0231" w:rsidR="00A41717">
        <w:rPr>
          <w:noProof/>
        </w:rPr>
        <w:t>6</w:t>
      </w:r>
      <w:r w:rsidRPr="007D0231">
        <w:fldChar w:fldCharType="end"/>
      </w:r>
      <w:r w:rsidRPr="007D0231" w:rsidR="00F71A6A">
        <w:t>.  </w:t>
      </w:r>
      <w:r w:rsidRPr="007D0231" w:rsidR="001E22B7">
        <w:t xml:space="preserve">The applicant is </w:t>
      </w:r>
      <w:r w:rsidRPr="007D0231" w:rsidR="002F56A2">
        <w:t xml:space="preserve">Jewish and </w:t>
      </w:r>
      <w:r w:rsidRPr="007D0231" w:rsidR="001E22B7">
        <w:t xml:space="preserve">a lawyer </w:t>
      </w:r>
      <w:r w:rsidRPr="007D0231" w:rsidR="002F56A2">
        <w:t>by profession</w:t>
      </w:r>
      <w:r w:rsidRPr="007D0231" w:rsidR="001E22B7">
        <w:t xml:space="preserve">. </w:t>
      </w:r>
      <w:r w:rsidRPr="007D0231" w:rsidR="007754A0">
        <w:t xml:space="preserve">On 7 June 2005 </w:t>
      </w:r>
      <w:r w:rsidRPr="007D0231" w:rsidR="004E1045">
        <w:t xml:space="preserve">he appeared before the </w:t>
      </w:r>
      <w:smartTag w:uri="urn:schemas-microsoft-com:office:smarttags" w:element="place">
        <w:smartTag w:uri="urn:schemas-microsoft-com:office:smarttags" w:element="City">
          <w:r w:rsidR="004E1045" w:rsidRPr="007D0231">
            <w:t>Forli</w:t>
          </w:r>
        </w:smartTag>
      </w:smartTag>
      <w:r w:rsidRPr="007D0231" w:rsidR="004E1045">
        <w:t xml:space="preserve"> investigating judge at a hearing concerning </w:t>
      </w:r>
      <w:r w:rsidRPr="007D0231" w:rsidR="007754A0">
        <w:t xml:space="preserve">a request for </w:t>
      </w:r>
      <w:r w:rsidRPr="007D0231" w:rsidR="004E1045">
        <w:t xml:space="preserve">the immediate production of evidence </w:t>
      </w:r>
      <w:r w:rsidRPr="007D0231" w:rsidR="001E22B7">
        <w:t>(</w:t>
      </w:r>
      <w:r w:rsidRPr="007D0231" w:rsidR="007754A0">
        <w:t>“</w:t>
      </w:r>
      <w:r w:rsidRPr="007D0231" w:rsidR="001E22B7">
        <w:rPr>
          <w:i/>
        </w:rPr>
        <w:t>incidente probatorio</w:t>
      </w:r>
      <w:r w:rsidRPr="007D0231" w:rsidR="007754A0">
        <w:t>”</w:t>
      </w:r>
      <w:r w:rsidRPr="007D0231" w:rsidR="001E22B7">
        <w:t>)</w:t>
      </w:r>
      <w:r w:rsidRPr="007D0231" w:rsidR="007754A0">
        <w:t xml:space="preserve"> in his capacity as representative of one of the two complainants in criminal proceedings against several banks. The investigating judge in charge of the case was prevented from sitting and his replacement invited the parties to choose between two dates for the adjourned hearing – </w:t>
      </w:r>
      <w:r w:rsidRPr="007D0231" w:rsidR="002F56A2">
        <w:t xml:space="preserve">either </w:t>
      </w:r>
      <w:r w:rsidRPr="007D0231" w:rsidR="007754A0">
        <w:t>13 or 18</w:t>
      </w:r>
      <w:r w:rsidRPr="007D0231" w:rsidR="008E5939">
        <w:t> </w:t>
      </w:r>
      <w:r w:rsidRPr="007D0231" w:rsidR="007754A0">
        <w:t>October 2005 – already identified by the investigating judge.</w:t>
      </w:r>
    </w:p>
    <w:p w:rsidRPr="007D0231" w:rsidR="007754A0"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7</w:t>
      </w:r>
      <w:r w:rsidRPr="007D0231">
        <w:fldChar w:fldCharType="end"/>
      </w:r>
      <w:r w:rsidRPr="007D0231">
        <w:t>.  </w:t>
      </w:r>
      <w:r w:rsidRPr="007D0231" w:rsidR="007754A0">
        <w:t xml:space="preserve">The applicant pointed out that both dates </w:t>
      </w:r>
      <w:r w:rsidRPr="007D0231" w:rsidR="00653581">
        <w:t>coincided with</w:t>
      </w:r>
      <w:r w:rsidRPr="007D0231" w:rsidR="007754A0">
        <w:t xml:space="preserve"> Jewish </w:t>
      </w:r>
      <w:r w:rsidRPr="007D0231" w:rsidR="00D57E00">
        <w:t xml:space="preserve">religious </w:t>
      </w:r>
      <w:r w:rsidRPr="007D0231" w:rsidR="007754A0">
        <w:t xml:space="preserve">holidays (Yom Kippur and Sukkot respectively) and stated that </w:t>
      </w:r>
      <w:r w:rsidRPr="007D0231" w:rsidR="00D57E00">
        <w:t xml:space="preserve">he would be unable to attend the adjourned hearing because of </w:t>
      </w:r>
      <w:r w:rsidRPr="007D0231" w:rsidR="007754A0">
        <w:t xml:space="preserve">his religious obligations. He explained that he was a member of the </w:t>
      </w:r>
      <w:smartTag w:uri="urn:schemas-microsoft-com:office:smarttags" w:element="place">
        <w:smartTag w:uri="urn:schemas-microsoft-com:office:smarttags" w:element="City">
          <w:r w:rsidR="007754A0" w:rsidRPr="007D0231">
            <w:t>Naples</w:t>
          </w:r>
        </w:smartTag>
      </w:smartTag>
      <w:r w:rsidRPr="007D0231" w:rsidR="007754A0">
        <w:t xml:space="preserve"> Jewish community</w:t>
      </w:r>
      <w:r w:rsidRPr="007D0231" w:rsidR="00D57E00">
        <w:t>,</w:t>
      </w:r>
      <w:r w:rsidRPr="007D0231" w:rsidR="007754A0">
        <w:t xml:space="preserve"> and alleged a breach of sections 4 and 5 of Law no. 101 of 8 March 1989 </w:t>
      </w:r>
      <w:r w:rsidRPr="007D0231" w:rsidR="00D57E00">
        <w:t>governing</w:t>
      </w:r>
      <w:r w:rsidRPr="007D0231" w:rsidR="007754A0">
        <w:t xml:space="preserve"> relations between the State and the Union of Italian Jewish communities.</w:t>
      </w:r>
    </w:p>
    <w:p w:rsidRPr="007D0231" w:rsidR="001E22B7"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8</w:t>
      </w:r>
      <w:r w:rsidRPr="007D0231">
        <w:fldChar w:fldCharType="end"/>
      </w:r>
      <w:r w:rsidRPr="007D0231">
        <w:t>.  </w:t>
      </w:r>
      <w:r w:rsidRPr="007D0231" w:rsidR="00277CBC">
        <w:t>The investigating judge set the hearing down for 13 October</w:t>
      </w:r>
      <w:r w:rsidRPr="007D0231" w:rsidR="007F249A">
        <w:t xml:space="preserve"> 2005</w:t>
      </w:r>
      <w:r w:rsidRPr="007D0231">
        <w:t>.</w:t>
      </w:r>
    </w:p>
    <w:p w:rsidRPr="007D0231" w:rsidR="00277CBC"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9</w:t>
      </w:r>
      <w:r w:rsidRPr="007D0231">
        <w:fldChar w:fldCharType="end"/>
      </w:r>
      <w:r w:rsidRPr="007D0231">
        <w:t>.  </w:t>
      </w:r>
      <w:r w:rsidRPr="007D0231" w:rsidR="005C608D">
        <w:t xml:space="preserve">The same day the applicant </w:t>
      </w:r>
      <w:r w:rsidRPr="007D0231" w:rsidR="00277CBC">
        <w:t>lodged an application with the investigating judge in charge of the case to have the hearing adjourned. On 20 June 2005, after examining the application,</w:t>
      </w:r>
      <w:r w:rsidRPr="007D0231" w:rsidR="007F249A">
        <w:t xml:space="preserve"> the judge</w:t>
      </w:r>
      <w:r w:rsidRPr="007D0231" w:rsidR="00277CBC">
        <w:t xml:space="preserve"> decided to add it to the case file without ruling on it.</w:t>
      </w:r>
    </w:p>
    <w:p w:rsidRPr="007D0231" w:rsidR="00277CBC"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10</w:t>
      </w:r>
      <w:r w:rsidRPr="007D0231">
        <w:fldChar w:fldCharType="end"/>
      </w:r>
      <w:r w:rsidRPr="007D0231">
        <w:t>.  </w:t>
      </w:r>
      <w:r w:rsidRPr="007D0231" w:rsidR="00277CBC">
        <w:t xml:space="preserve">On 11 July 2005 the applicant lodged a </w:t>
      </w:r>
      <w:r w:rsidRPr="007D0231" w:rsidR="00E1284D">
        <w:t xml:space="preserve">criminal </w:t>
      </w:r>
      <w:r w:rsidRPr="007D0231" w:rsidR="00277CBC">
        <w:t>complaint against the investigating judge in charge of the case and his replacement, alleging that they had breached section 2 of Law no. 101 of 1989. The same day he informed the Supreme Council of the Judiciary about the complaint.</w:t>
      </w:r>
    </w:p>
    <w:p w:rsidRPr="007D0231" w:rsidR="00277CBC"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11</w:t>
      </w:r>
      <w:r w:rsidRPr="007D0231">
        <w:fldChar w:fldCharType="end"/>
      </w:r>
      <w:r w:rsidRPr="007D0231">
        <w:t>.  </w:t>
      </w:r>
      <w:r w:rsidRPr="007D0231" w:rsidR="00277CBC">
        <w:t>At the hearing of 13 October 2005</w:t>
      </w:r>
      <w:r w:rsidRPr="007D0231" w:rsidR="004326B0">
        <w:t>,</w:t>
      </w:r>
      <w:r w:rsidRPr="007D0231" w:rsidR="00277CBC">
        <w:t xml:space="preserve"> the investigating judge noted that the applicant was absent for “personal reasons” and asked the parties to express their view</w:t>
      </w:r>
      <w:r w:rsidRPr="007D0231" w:rsidR="00237BEC">
        <w:t>s</w:t>
      </w:r>
      <w:r w:rsidRPr="007D0231" w:rsidR="00277CBC">
        <w:t xml:space="preserve"> on the application for an adjournment </w:t>
      </w:r>
      <w:r w:rsidRPr="007D0231" w:rsidR="00237BEC">
        <w:t>made on</w:t>
      </w:r>
      <w:r w:rsidRPr="007D0231" w:rsidR="00277CBC">
        <w:t xml:space="preserve"> 7 June. The prosecution and counsel for the defendants objected to the application, arguing in particular that it was not based on </w:t>
      </w:r>
      <w:r w:rsidRPr="007D0231" w:rsidR="00CD3131">
        <w:t xml:space="preserve">any </w:t>
      </w:r>
      <w:r w:rsidRPr="007D0231" w:rsidR="00237BEC">
        <w:t xml:space="preserve">of the statutory </w:t>
      </w:r>
      <w:r w:rsidRPr="007D0231" w:rsidR="00CD3131">
        <w:t xml:space="preserve">grounds for adjournment. </w:t>
      </w:r>
      <w:r w:rsidRPr="007D0231" w:rsidR="007F249A">
        <w:t>However, c</w:t>
      </w:r>
      <w:r w:rsidRPr="007D0231" w:rsidR="00CD3131">
        <w:t>ounsel for the other complainant supported the applicant</w:t>
      </w:r>
      <w:r w:rsidR="00044053">
        <w:t>’</w:t>
      </w:r>
      <w:r w:rsidRPr="007D0231" w:rsidR="00CD3131">
        <w:t>s request.</w:t>
      </w:r>
    </w:p>
    <w:p w:rsidRPr="007D0231" w:rsidR="00CD3131"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12</w:t>
      </w:r>
      <w:r w:rsidRPr="007D0231">
        <w:fldChar w:fldCharType="end"/>
      </w:r>
      <w:r w:rsidRPr="007D0231">
        <w:t>.  </w:t>
      </w:r>
      <w:r w:rsidRPr="007D0231" w:rsidR="00CD3131">
        <w:t xml:space="preserve">In an order issued the same day the investigating judge rejected the application for an adjournment. He noted </w:t>
      </w:r>
      <w:r w:rsidRPr="007D0231" w:rsidR="00237BEC">
        <w:t>at the outset</w:t>
      </w:r>
      <w:r w:rsidRPr="007D0231" w:rsidR="00CD3131">
        <w:t xml:space="preserve"> that, </w:t>
      </w:r>
      <w:r w:rsidRPr="007D0231" w:rsidR="00237BEC">
        <w:t>under</w:t>
      </w:r>
      <w:r w:rsidRPr="007D0231" w:rsidR="00CD3131">
        <w:t xml:space="preserve"> Article</w:t>
      </w:r>
      <w:r w:rsidRPr="007D0231" w:rsidR="00E37A71">
        <w:t> </w:t>
      </w:r>
      <w:r w:rsidRPr="007D0231" w:rsidR="00CD3131">
        <w:t xml:space="preserve">401 of the Code of Criminal Procedure, only the prosecution and counsel for the defendant </w:t>
      </w:r>
      <w:r w:rsidRPr="007D0231" w:rsidR="00237BEC">
        <w:t>were</w:t>
      </w:r>
      <w:r w:rsidRPr="007D0231" w:rsidR="00CD3131">
        <w:t xml:space="preserve"> required </w:t>
      </w:r>
      <w:r w:rsidRPr="007D0231" w:rsidR="00237BEC">
        <w:t>to be present at</w:t>
      </w:r>
      <w:r w:rsidRPr="007D0231" w:rsidR="00CD3131">
        <w:t xml:space="preserve"> hearings concerning the immediate production of evidence</w:t>
      </w:r>
      <w:r w:rsidRPr="007D0231" w:rsidR="00E80DBC">
        <w:t>;</w:t>
      </w:r>
      <w:r w:rsidRPr="007D0231" w:rsidR="002B39D4">
        <w:t xml:space="preserve"> the presence of counsel for the complain</w:t>
      </w:r>
      <w:r w:rsidRPr="007D0231" w:rsidR="00E80DBC">
        <w:t>an</w:t>
      </w:r>
      <w:r w:rsidRPr="007D0231" w:rsidR="002B39D4">
        <w:t xml:space="preserve">t </w:t>
      </w:r>
      <w:r w:rsidRPr="007D0231" w:rsidR="00E80DBC">
        <w:t>was</w:t>
      </w:r>
      <w:r w:rsidRPr="007D0231" w:rsidR="002B39D4">
        <w:t xml:space="preserve"> optional. He went on to observe that the Code of Criminal Procedure did not oblige the judge to adjourn </w:t>
      </w:r>
      <w:r w:rsidRPr="007D0231" w:rsidR="00BE4337">
        <w:t>a</w:t>
      </w:r>
      <w:r w:rsidRPr="007D0231" w:rsidR="002B39D4">
        <w:t xml:space="preserve"> hearing </w:t>
      </w:r>
      <w:r w:rsidRPr="007D0231" w:rsidR="00BE4337">
        <w:t xml:space="preserve">where counsel for the complainant had legitimate reasons for being unable to appear. Lastly, he stressed that a large number of </w:t>
      </w:r>
      <w:r w:rsidRPr="007D0231" w:rsidR="00E80DBC">
        <w:t>individuals</w:t>
      </w:r>
      <w:r w:rsidRPr="007D0231" w:rsidR="00BE4337">
        <w:t xml:space="preserve"> were involved in the proceedings (the defendants, the complainants, court-appointed experts and experts appointed by the parties) and that, “in view of the heavy workload of the </w:t>
      </w:r>
      <w:r w:rsidRPr="007D0231" w:rsidR="00E80DBC">
        <w:t>office</w:t>
      </w:r>
      <w:r w:rsidRPr="007D0231" w:rsidR="00BE4337">
        <w:t>, which would [have meant] adjourning the hearing until 2006, the application</w:t>
      </w:r>
      <w:r w:rsidRPr="007D0231" w:rsidR="00AD35B9">
        <w:t>, submitted by an individual with no legitimate reason to request an adjournment,</w:t>
      </w:r>
      <w:r w:rsidRPr="007D0231" w:rsidR="00BE4337">
        <w:t xml:space="preserve"> ha[d] to be rejected in accordance with the principle that cases should be heard within a reasonable time</w:t>
      </w:r>
      <w:r w:rsidRPr="007D0231" w:rsidR="00E80DBC">
        <w:t>”</w:t>
      </w:r>
      <w:r w:rsidRPr="007D0231" w:rsidR="002D6880">
        <w:t>.</w:t>
      </w:r>
    </w:p>
    <w:p w:rsidRPr="007D0231" w:rsidR="001E22B7" w:rsidP="001E22B7" w:rsidRDefault="001E22B7">
      <w:pPr>
        <w:pStyle w:val="JuPara"/>
      </w:pPr>
      <w:r w:rsidRPr="007D0231">
        <w:fldChar w:fldCharType="begin"/>
      </w:r>
      <w:r w:rsidRPr="00044053">
        <w:rPr>
          <w:lang w:val="en-US"/>
        </w:rPr>
        <w:instrText xml:space="preserve"> SEQ level0 \*arabic </w:instrText>
      </w:r>
      <w:r w:rsidRPr="007D0231">
        <w:fldChar w:fldCharType="separate"/>
      </w:r>
      <w:r w:rsidRPr="00044053" w:rsidR="00A41717">
        <w:rPr>
          <w:noProof/>
          <w:lang w:val="en-US"/>
        </w:rPr>
        <w:t>13</w:t>
      </w:r>
      <w:r w:rsidRPr="007D0231">
        <w:fldChar w:fldCharType="end"/>
      </w:r>
      <w:r w:rsidRPr="00044053">
        <w:rPr>
          <w:lang w:val="en-US"/>
        </w:rPr>
        <w:t>.  </w:t>
      </w:r>
      <w:r w:rsidRPr="007D0231" w:rsidR="00AD35B9">
        <w:t>On</w:t>
      </w:r>
      <w:r w:rsidRPr="007D0231">
        <w:t xml:space="preserve"> 23 </w:t>
      </w:r>
      <w:r w:rsidRPr="007D0231" w:rsidR="00AD35B9">
        <w:t>January</w:t>
      </w:r>
      <w:r w:rsidRPr="007D0231">
        <w:t xml:space="preserve"> 2006</w:t>
      </w:r>
      <w:r w:rsidRPr="007D0231" w:rsidR="00AD35B9">
        <w:t xml:space="preserve"> the Supreme Council of the Judiciary informed the applicant that it was not competent to examine the matter since the applicant</w:t>
      </w:r>
      <w:r w:rsidR="00044053">
        <w:t>’</w:t>
      </w:r>
      <w:r w:rsidRPr="007D0231" w:rsidR="00AD35B9">
        <w:t>s complaints related to the exercise of judicial activity</w:t>
      </w:r>
      <w:r w:rsidRPr="007D0231">
        <w:t>.</w:t>
      </w:r>
    </w:p>
    <w:p w:rsidRPr="007D0231" w:rsidR="00FA0BA0"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14</w:t>
      </w:r>
      <w:r w:rsidRPr="007D0231">
        <w:fldChar w:fldCharType="end"/>
      </w:r>
      <w:r w:rsidRPr="007D0231">
        <w:t>.  </w:t>
      </w:r>
      <w:r w:rsidRPr="007D0231" w:rsidR="00FA0BA0">
        <w:t xml:space="preserve">In the meantime, on 9 January 2006, the </w:t>
      </w:r>
      <w:proofErr w:type="spellStart"/>
      <w:smartTag w:uri="urn:schemas-microsoft-com:office:smarttags" w:element="City">
        <w:smartTag w:uri="urn:schemas-microsoft-com:office:smarttags" w:element="place">
          <w:r w:rsidR="00FA0BA0" w:rsidRPr="007D0231">
            <w:t>Ancona</w:t>
          </w:r>
        </w:smartTag>
      </w:smartTag>
      <w:proofErr w:type="spellEnd"/>
      <w:r w:rsidRPr="007D0231" w:rsidR="00FA0BA0">
        <w:t xml:space="preserve"> public prosecutor</w:t>
      </w:r>
      <w:r w:rsidR="00044053">
        <w:t>’</w:t>
      </w:r>
      <w:r w:rsidRPr="007D0231" w:rsidR="00FA0BA0">
        <w:t>s office</w:t>
      </w:r>
      <w:r w:rsidRPr="007D0231" w:rsidR="00AA1D36">
        <w:t xml:space="preserve"> had</w:t>
      </w:r>
      <w:r w:rsidRPr="007D0231" w:rsidR="00FA0BA0">
        <w:t xml:space="preserve"> requested that no further action be taken on the applicant</w:t>
      </w:r>
      <w:r w:rsidR="00044053">
        <w:t>’</w:t>
      </w:r>
      <w:r w:rsidRPr="007D0231" w:rsidR="00FA0BA0">
        <w:t xml:space="preserve">s complaint. The applicant </w:t>
      </w:r>
      <w:r w:rsidRPr="007D0231" w:rsidR="003C2912">
        <w:t>objected to this request on 28 January 2006.</w:t>
      </w:r>
    </w:p>
    <w:p w:rsidRPr="007D0231" w:rsidR="003C2912"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15</w:t>
      </w:r>
      <w:r w:rsidRPr="007D0231">
        <w:fldChar w:fldCharType="end"/>
      </w:r>
      <w:r w:rsidRPr="007D0231">
        <w:t>.  </w:t>
      </w:r>
      <w:r w:rsidRPr="007D0231" w:rsidR="003C2912">
        <w:t xml:space="preserve">On 21 September 2006 the </w:t>
      </w:r>
      <w:smartTag w:uri="urn:schemas-microsoft-com:office:smarttags" w:element="City">
        <w:smartTag w:uri="urn:schemas-microsoft-com:office:smarttags" w:element="place">
          <w:r w:rsidR="003C2912" w:rsidRPr="007D0231">
            <w:t>Ancona</w:t>
          </w:r>
        </w:smartTag>
      </w:smartTag>
      <w:r w:rsidRPr="007D0231" w:rsidR="003C2912">
        <w:t xml:space="preserve"> investigating judge made an order </w:t>
      </w:r>
      <w:r w:rsidRPr="007D0231" w:rsidR="00AA1D36">
        <w:t>discontinuing the proceedings concerning</w:t>
      </w:r>
      <w:r w:rsidRPr="007D0231" w:rsidR="003C2912">
        <w:t xml:space="preserve"> the applicant</w:t>
      </w:r>
      <w:r w:rsidR="00044053">
        <w:t>’</w:t>
      </w:r>
      <w:r w:rsidRPr="007D0231" w:rsidR="003C2912">
        <w:t xml:space="preserve">s complaint, noting that the applicant had not objected to the request for no further action </w:t>
      </w:r>
      <w:r w:rsidRPr="007D0231" w:rsidR="00FD6E9C">
        <w:t>submitted</w:t>
      </w:r>
      <w:r w:rsidRPr="007D0231" w:rsidR="003C2912">
        <w:t xml:space="preserve"> by the public prosecutor</w:t>
      </w:r>
      <w:r w:rsidR="00044053">
        <w:t>’</w:t>
      </w:r>
      <w:r w:rsidRPr="007D0231" w:rsidR="003C2912">
        <w:t>s office.</w:t>
      </w:r>
    </w:p>
    <w:p w:rsidRPr="007D0231" w:rsidR="003C2912"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16</w:t>
      </w:r>
      <w:r w:rsidRPr="007D0231">
        <w:fldChar w:fldCharType="end"/>
      </w:r>
      <w:r w:rsidRPr="007D0231">
        <w:t>.  </w:t>
      </w:r>
      <w:r w:rsidRPr="007D0231" w:rsidR="003C2912">
        <w:t>On 19 January 2007 the applicant lodged an appeal on points of law, complaining of the investigating judge</w:t>
      </w:r>
      <w:r w:rsidR="00044053">
        <w:t>’</w:t>
      </w:r>
      <w:r w:rsidRPr="007D0231" w:rsidR="003C2912">
        <w:t xml:space="preserve">s failure to take account of the objection he had lodged on 28 January 2006. The Court of Cassation, </w:t>
      </w:r>
      <w:r w:rsidRPr="007D0231" w:rsidR="00FD6E9C">
        <w:t>observing</w:t>
      </w:r>
      <w:r w:rsidRPr="007D0231" w:rsidR="003C2912">
        <w:t xml:space="preserve"> that the failure to take the applicant</w:t>
      </w:r>
      <w:r w:rsidR="00044053">
        <w:t>’</w:t>
      </w:r>
      <w:r w:rsidRPr="007D0231" w:rsidR="003C2912">
        <w:t xml:space="preserve">s objection into account had probably been due to a </w:t>
      </w:r>
      <w:r w:rsidR="004A1626">
        <w:t>r</w:t>
      </w:r>
      <w:r w:rsidRPr="007D0231" w:rsidR="003C2912">
        <w:t>egistry error, set aside the order of 21 September 2006 and referred the case back to the Ancona District Court.</w:t>
      </w:r>
    </w:p>
    <w:p w:rsidRPr="007D0231" w:rsidR="003C2912" w:rsidP="001E22B7" w:rsidRDefault="001E22B7">
      <w:pPr>
        <w:pStyle w:val="JuPara"/>
      </w:pPr>
      <w:r w:rsidRPr="007D0231">
        <w:fldChar w:fldCharType="begin"/>
      </w:r>
      <w:r w:rsidRPr="007D0231">
        <w:rPr>
          <w:lang w:val="fr-FR"/>
        </w:rPr>
        <w:instrText xml:space="preserve"> SEQ level0 \*arabic </w:instrText>
      </w:r>
      <w:r w:rsidRPr="007D0231">
        <w:fldChar w:fldCharType="separate"/>
      </w:r>
      <w:r w:rsidRPr="007D0231" w:rsidR="00A41717">
        <w:rPr>
          <w:noProof/>
          <w:lang w:val="fr-FR"/>
        </w:rPr>
        <w:t>17</w:t>
      </w:r>
      <w:r w:rsidRPr="007D0231">
        <w:fldChar w:fldCharType="end"/>
      </w:r>
      <w:r w:rsidRPr="007D0231">
        <w:rPr>
          <w:lang w:val="fr-FR"/>
        </w:rPr>
        <w:t>.  </w:t>
      </w:r>
      <w:r w:rsidRPr="007D0231" w:rsidR="003C2912">
        <w:t>On</w:t>
      </w:r>
      <w:r w:rsidRPr="007D0231">
        <w:t xml:space="preserve"> 12 </w:t>
      </w:r>
      <w:r w:rsidRPr="007D0231" w:rsidR="003C2912">
        <w:t>February</w:t>
      </w:r>
      <w:r w:rsidRPr="007D0231">
        <w:t xml:space="preserve"> 2008</w:t>
      </w:r>
      <w:r w:rsidRPr="007D0231" w:rsidR="003C2912">
        <w:t xml:space="preserve"> the</w:t>
      </w:r>
      <w:r w:rsidRPr="007D0231" w:rsidR="00A22A3D">
        <w:t xml:space="preserve"> applicant and the prosecution attended a hearing before the </w:t>
      </w:r>
      <w:smartTag w:uri="urn:schemas-microsoft-com:office:smarttags" w:element="City">
        <w:smartTag w:uri="urn:schemas-microsoft-com:office:smarttags" w:element="place">
          <w:r w:rsidR="00A22A3D" w:rsidRPr="007D0231">
            <w:t>Ancona</w:t>
          </w:r>
        </w:smartTag>
      </w:smartTag>
      <w:r w:rsidRPr="007D0231" w:rsidR="00A22A3D">
        <w:t xml:space="preserve"> investigating judge. On 15 February 2008 the latter issued an order discontinuing the proceedings. He noted that there was nothing in the case file to suggest that the investigating judge in charge of the case or the judge who had replaced him at the hearing of 7 June 2005 had had any intention </w:t>
      </w:r>
      <w:r w:rsidRPr="007D0231" w:rsidR="00262B44">
        <w:t>of infringing</w:t>
      </w:r>
      <w:r w:rsidRPr="007D0231" w:rsidR="00A22A3D">
        <w:t xml:space="preserve"> the applicant</w:t>
      </w:r>
      <w:r w:rsidR="00044053">
        <w:t>’</w:t>
      </w:r>
      <w:r w:rsidRPr="007D0231" w:rsidR="00A22A3D">
        <w:t xml:space="preserve">s right to </w:t>
      </w:r>
      <w:r w:rsidRPr="007D0231" w:rsidR="00521573">
        <w:t>practise</w:t>
      </w:r>
      <w:r w:rsidRPr="007D0231" w:rsidR="00A22A3D">
        <w:t xml:space="preserve"> his Jewish </w:t>
      </w:r>
      <w:r w:rsidRPr="007D0231" w:rsidR="00653581">
        <w:t>faith</w:t>
      </w:r>
      <w:r w:rsidRPr="007D0231" w:rsidR="00A22A3D">
        <w:t xml:space="preserve"> </w:t>
      </w:r>
      <w:r w:rsidRPr="007D0231" w:rsidR="00E525F4">
        <w:t xml:space="preserve">freely </w:t>
      </w:r>
      <w:r w:rsidRPr="007D0231" w:rsidR="00A22A3D">
        <w:t xml:space="preserve">or </w:t>
      </w:r>
      <w:r w:rsidRPr="007D0231" w:rsidR="00262B44">
        <w:t>of</w:t>
      </w:r>
      <w:r w:rsidRPr="007D0231" w:rsidR="00A22A3D">
        <w:t xml:space="preserve"> offend</w:t>
      </w:r>
      <w:r w:rsidRPr="007D0231" w:rsidR="00262B44">
        <w:t>ing</w:t>
      </w:r>
      <w:r w:rsidRPr="007D0231" w:rsidR="00A22A3D">
        <w:t xml:space="preserve"> </w:t>
      </w:r>
      <w:r w:rsidRPr="007D0231" w:rsidR="00E37A71">
        <w:t>the applicant</w:t>
      </w:r>
      <w:r w:rsidR="00044053">
        <w:t>’</w:t>
      </w:r>
      <w:r w:rsidRPr="007D0231" w:rsidR="00E37A71">
        <w:t>s</w:t>
      </w:r>
      <w:r w:rsidRPr="007D0231" w:rsidR="00A22A3D">
        <w:t xml:space="preserve"> dignity on account of his religious </w:t>
      </w:r>
      <w:r w:rsidRPr="007D0231" w:rsidR="00FD6E9C">
        <w:t>faith</w:t>
      </w:r>
      <w:r w:rsidRPr="007D0231" w:rsidR="00A22A3D">
        <w:t>.</w:t>
      </w:r>
    </w:p>
    <w:p w:rsidRPr="007D0231" w:rsidR="001E22B7" w:rsidP="001E22B7" w:rsidRDefault="001E22B7">
      <w:pPr>
        <w:pStyle w:val="JuHIRoman"/>
        <w:outlineLvl w:val="0"/>
        <w:rPr>
          <w:lang w:val="fr-FR"/>
        </w:rPr>
      </w:pPr>
      <w:r w:rsidRPr="007D0231">
        <w:rPr>
          <w:lang w:val="fr-FR"/>
        </w:rPr>
        <w:t>II.  </w:t>
      </w:r>
      <w:r w:rsidRPr="007D0231" w:rsidR="00CD3131">
        <w:rPr>
          <w:lang w:val="fr-FR"/>
        </w:rPr>
        <w:t>RELEVANT</w:t>
      </w:r>
      <w:r w:rsidRPr="007D0231" w:rsidR="00CD3131">
        <w:t xml:space="preserve"> DOMESTIC</w:t>
      </w:r>
      <w:r w:rsidRPr="007D0231" w:rsidR="00CD3131">
        <w:rPr>
          <w:lang w:val="fr-FR"/>
        </w:rPr>
        <w:t xml:space="preserve"> LAW</w:t>
      </w:r>
    </w:p>
    <w:p w:rsidRPr="007D0231" w:rsidR="00A22A3D" w:rsidP="001E22B7" w:rsidRDefault="001E22B7">
      <w:pPr>
        <w:pStyle w:val="JuPara"/>
      </w:pPr>
      <w:r w:rsidRPr="007D0231">
        <w:fldChar w:fldCharType="begin"/>
      </w:r>
      <w:r w:rsidRPr="007D0231">
        <w:rPr>
          <w:lang w:val="fr-FR"/>
        </w:rPr>
        <w:instrText xml:space="preserve"> SEQ level0 \*arabic </w:instrText>
      </w:r>
      <w:r w:rsidRPr="007D0231">
        <w:fldChar w:fldCharType="separate"/>
      </w:r>
      <w:r w:rsidRPr="007D0231" w:rsidR="00A41717">
        <w:rPr>
          <w:noProof/>
          <w:lang w:val="fr-FR"/>
        </w:rPr>
        <w:t>18</w:t>
      </w:r>
      <w:r w:rsidRPr="007D0231">
        <w:fldChar w:fldCharType="end"/>
      </w:r>
      <w:r w:rsidRPr="007D0231">
        <w:rPr>
          <w:lang w:val="fr-FR"/>
        </w:rPr>
        <w:t>.  </w:t>
      </w:r>
      <w:r w:rsidRPr="007D0231" w:rsidR="00A22A3D">
        <w:t xml:space="preserve">Law no. </w:t>
      </w:r>
      <w:r w:rsidRPr="007D0231">
        <w:t xml:space="preserve">101 </w:t>
      </w:r>
      <w:r w:rsidRPr="007D0231" w:rsidR="00A22A3D">
        <w:t>of</w:t>
      </w:r>
      <w:r w:rsidRPr="007D0231">
        <w:t xml:space="preserve"> 8 </w:t>
      </w:r>
      <w:r w:rsidRPr="007D0231" w:rsidR="00A22A3D">
        <w:t>March</w:t>
      </w:r>
      <w:r w:rsidRPr="007D0231">
        <w:t xml:space="preserve"> 1989</w:t>
      </w:r>
      <w:r w:rsidRPr="007D0231" w:rsidR="00A22A3D">
        <w:t xml:space="preserve"> contains provisions governing relations between the State and the Union of Italian Jewish communities. Section 2 recognises the right to </w:t>
      </w:r>
      <w:r w:rsidRPr="007D0231" w:rsidR="00521573">
        <w:t>practise</w:t>
      </w:r>
      <w:r w:rsidRPr="007D0231" w:rsidR="00A22A3D">
        <w:t xml:space="preserve"> and manifest the Jewish religion</w:t>
      </w:r>
      <w:r w:rsidRPr="007D0231" w:rsidR="00E525F4">
        <w:t xml:space="preserve"> freely</w:t>
      </w:r>
      <w:r w:rsidRPr="007D0231" w:rsidR="00A22A3D">
        <w:t xml:space="preserve">. Under section 4, </w:t>
      </w:r>
      <w:smartTag w:uri="urn:schemas-microsoft-com:office:smarttags" w:element="country-region">
        <w:smartTag w:uri="urn:schemas-microsoft-com:office:smarttags" w:element="place">
          <w:r w:rsidR="00A22A3D" w:rsidRPr="007D0231">
            <w:t>Italy</w:t>
          </w:r>
        </w:smartTag>
      </w:smartTag>
      <w:r w:rsidRPr="007D0231" w:rsidR="00A22A3D">
        <w:t xml:space="preserve"> grants persons of Jewish faith who so request the right to observe the Sabbath, in the context of flexible working arrangements and without prejudice to the requirements of the </w:t>
      </w:r>
      <w:r w:rsidRPr="007D0231" w:rsidR="00B622C2">
        <w:t>essential</w:t>
      </w:r>
      <w:r w:rsidRPr="007D0231" w:rsidR="00A22A3D">
        <w:t xml:space="preserve"> services provided for by the State legal system.</w:t>
      </w:r>
    </w:p>
    <w:p w:rsidRPr="007D0231" w:rsidR="00A22A3D" w:rsidP="001E22B7" w:rsidRDefault="00A22A3D">
      <w:pPr>
        <w:pStyle w:val="JuPara"/>
      </w:pPr>
      <w:r w:rsidRPr="007D0231">
        <w:t xml:space="preserve">Section 5 of Law no. 101 states that Yom Kippur, Sukkot and other Jewish </w:t>
      </w:r>
      <w:r w:rsidRPr="007D0231" w:rsidR="00327705">
        <w:t>religious holidays</w:t>
      </w:r>
      <w:r w:rsidRPr="007D0231">
        <w:t xml:space="preserve"> are to be treated in the same way as the Sabbath.</w:t>
      </w:r>
    </w:p>
    <w:p w:rsidRPr="007D0231" w:rsidR="000C34DE"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19</w:t>
      </w:r>
      <w:r w:rsidRPr="007D0231">
        <w:fldChar w:fldCharType="end"/>
      </w:r>
      <w:r w:rsidRPr="007D0231">
        <w:t>.  </w:t>
      </w:r>
      <w:r w:rsidRPr="007D0231" w:rsidR="000C34DE">
        <w:t xml:space="preserve">According to the fifth paragraph of section 2 of the Law, manifestations of religious intolerance and prejudice are punishable by the penalties provided for in section 3 of Law no. 654 of 1975, which is the Law ratifying the International Convention on the Elimination of all Forms of Racial Discrimination. Under the latter provision, anyone who disseminates ideas based on superiority or on racial or ethnic hatred, or incites others to commit acts </w:t>
      </w:r>
      <w:r w:rsidRPr="007D0231" w:rsidR="00AA1D36">
        <w:t>of</w:t>
      </w:r>
      <w:r w:rsidRPr="007D0231" w:rsidR="000C34DE">
        <w:t xml:space="preserve"> racial, ethnic, national or religious </w:t>
      </w:r>
      <w:r w:rsidRPr="007D0231" w:rsidR="009F44B0">
        <w:t>discrimination</w:t>
      </w:r>
      <w:r w:rsidRPr="007D0231" w:rsidR="000C34DE">
        <w:t>, is liable to a</w:t>
      </w:r>
      <w:r w:rsidRPr="007D0231" w:rsidR="009F44B0">
        <w:t xml:space="preserve"> prison</w:t>
      </w:r>
      <w:r w:rsidRPr="007D0231" w:rsidR="000C34DE">
        <w:t xml:space="preserve"> sentence of up to eighteen months.</w:t>
      </w:r>
    </w:p>
    <w:p w:rsidR="00044053"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20</w:t>
      </w:r>
      <w:r w:rsidRPr="007D0231">
        <w:fldChar w:fldCharType="end"/>
      </w:r>
      <w:r w:rsidRPr="007D0231">
        <w:t>.  </w:t>
      </w:r>
      <w:r w:rsidRPr="007D0231" w:rsidR="000C34DE">
        <w:t xml:space="preserve">The first paragraph of </w:t>
      </w:r>
      <w:r w:rsidRPr="007D0231" w:rsidR="009F44B0">
        <w:t>Article</w:t>
      </w:r>
      <w:r w:rsidRPr="007D0231" w:rsidR="000C34DE">
        <w:t xml:space="preserve"> 401 of the Code of Criminal Procedure, which governs the procedure for the immediate production of evidence (“</w:t>
      </w:r>
      <w:r w:rsidRPr="007D0231" w:rsidR="000C34DE">
        <w:rPr>
          <w:i/>
        </w:rPr>
        <w:t xml:space="preserve">incidente </w:t>
      </w:r>
      <w:proofErr w:type="spellStart"/>
      <w:r w:rsidRPr="007D0231" w:rsidR="000C34DE">
        <w:rPr>
          <w:i/>
        </w:rPr>
        <w:t>probatorio</w:t>
      </w:r>
      <w:proofErr w:type="spellEnd"/>
      <w:r w:rsidRPr="007D0231" w:rsidR="000C34DE">
        <w:t>”) reads as follows:</w:t>
      </w:r>
    </w:p>
    <w:p w:rsidR="00044053" w:rsidP="001E22B7" w:rsidRDefault="00345032">
      <w:pPr>
        <w:pStyle w:val="JuQuot"/>
      </w:pPr>
      <w:r w:rsidRPr="007D0231">
        <w:t>“</w:t>
      </w:r>
      <w:r w:rsidRPr="007D0231" w:rsidR="000C34DE">
        <w:t xml:space="preserve">The hearing shall take place in private. </w:t>
      </w:r>
      <w:r w:rsidRPr="007D0231">
        <w:t>T</w:t>
      </w:r>
      <w:r w:rsidRPr="007D0231" w:rsidR="000C34DE">
        <w:t xml:space="preserve">he </w:t>
      </w:r>
      <w:r w:rsidRPr="007D0231" w:rsidR="00F120E6">
        <w:t>public prosecutor</w:t>
      </w:r>
      <w:r w:rsidRPr="007D0231" w:rsidR="000C34DE">
        <w:t xml:space="preserve"> and counsel for the </w:t>
      </w:r>
      <w:r w:rsidRPr="007D0231" w:rsidR="005041AF">
        <w:t>defendant</w:t>
      </w:r>
      <w:r w:rsidRPr="007D0231">
        <w:t xml:space="preserve"> shall be required to attend. Counsel for the injured party shall also have the option of attending.”</w:t>
      </w:r>
    </w:p>
    <w:p w:rsidRPr="007D0231" w:rsidR="001E22B7" w:rsidP="001E22B7" w:rsidRDefault="00CD3131">
      <w:pPr>
        <w:pStyle w:val="JuHHead"/>
        <w:rPr>
          <w:lang w:val="fr-FR"/>
        </w:rPr>
      </w:pPr>
      <w:r w:rsidRPr="007D0231">
        <w:rPr>
          <w:lang w:val="fr-FR"/>
        </w:rPr>
        <w:t>THE LAW</w:t>
      </w:r>
    </w:p>
    <w:p w:rsidRPr="007D0231" w:rsidR="001E22B7" w:rsidP="001E22B7" w:rsidRDefault="001E22B7">
      <w:pPr>
        <w:pStyle w:val="JuHIRoman"/>
        <w:tabs>
          <w:tab w:val="clear" w:pos="357"/>
          <w:tab w:val="left" w:pos="284"/>
        </w:tabs>
        <w:ind w:left="284" w:hanging="284"/>
      </w:pPr>
      <w:r w:rsidRPr="007D0231">
        <w:rPr>
          <w:lang w:val="fr-FR"/>
        </w:rPr>
        <w:t>I.  </w:t>
      </w:r>
      <w:r w:rsidRPr="007D0231" w:rsidR="00CD3131">
        <w:t>ALLEGED VIOLATION OF A</w:t>
      </w:r>
      <w:r w:rsidRPr="007D0231">
        <w:t xml:space="preserve">RTICLE 9 </w:t>
      </w:r>
      <w:r w:rsidRPr="007D0231" w:rsidR="00CD3131">
        <w:t>OF THE</w:t>
      </w:r>
      <w:r w:rsidRPr="007D0231">
        <w:t xml:space="preserve"> CONVENTION</w:t>
      </w:r>
    </w:p>
    <w:p w:rsidRPr="007D0231" w:rsidR="00345032" w:rsidP="001E22B7" w:rsidRDefault="001E22B7">
      <w:pPr>
        <w:pStyle w:val="JuPara"/>
      </w:pPr>
      <w:r w:rsidRPr="007D0231">
        <w:fldChar w:fldCharType="begin"/>
      </w:r>
      <w:r w:rsidRPr="007D0231">
        <w:rPr>
          <w:lang w:val="fr-FR"/>
        </w:rPr>
        <w:instrText xml:space="preserve"> SEQ level0 \*arabic </w:instrText>
      </w:r>
      <w:r w:rsidRPr="007D0231">
        <w:fldChar w:fldCharType="separate"/>
      </w:r>
      <w:r w:rsidRPr="007D0231" w:rsidR="00A41717">
        <w:rPr>
          <w:noProof/>
          <w:lang w:val="fr-FR"/>
        </w:rPr>
        <w:t>21</w:t>
      </w:r>
      <w:r w:rsidRPr="007D0231">
        <w:fldChar w:fldCharType="end"/>
      </w:r>
      <w:r w:rsidRPr="007D0231">
        <w:rPr>
          <w:lang w:val="fr-FR"/>
        </w:rPr>
        <w:t>.  </w:t>
      </w:r>
      <w:r w:rsidRPr="007D0231" w:rsidR="00345032">
        <w:t>The applicant alleged that the refusal of the judicial authority to adjourn the hearing in question, which had been listed for a date corresponding to a Jewish</w:t>
      </w:r>
      <w:r w:rsidRPr="007D0231" w:rsidR="00F120E6">
        <w:t xml:space="preserve"> religious</w:t>
      </w:r>
      <w:r w:rsidRPr="007D0231" w:rsidR="00345032">
        <w:t xml:space="preserve"> </w:t>
      </w:r>
      <w:r w:rsidRPr="007D0231" w:rsidR="0057024C">
        <w:t>holiday</w:t>
      </w:r>
      <w:r w:rsidRPr="007D0231" w:rsidR="00345032">
        <w:t>, had prevented him from appearing in his capacity as representative of one of the complainants and had infringed his right to manifest his religion</w:t>
      </w:r>
      <w:r w:rsidRPr="007D0231" w:rsidR="00E525F4">
        <w:t xml:space="preserve"> freely</w:t>
      </w:r>
      <w:r w:rsidRPr="007D0231" w:rsidR="00345032">
        <w:t>. He relied on Article</w:t>
      </w:r>
      <w:r w:rsidRPr="007D0231" w:rsidR="005C608D">
        <w:t xml:space="preserve"> </w:t>
      </w:r>
      <w:r w:rsidRPr="007D0231" w:rsidR="00345032">
        <w:t>9</w:t>
      </w:r>
      <w:r w:rsidRPr="007D0231" w:rsidR="005C608D">
        <w:t xml:space="preserve"> </w:t>
      </w:r>
      <w:r w:rsidRPr="007D0231" w:rsidR="00345032">
        <w:t>§§ 1 and 2 of the Convention, which provide:</w:t>
      </w:r>
    </w:p>
    <w:p w:rsidRPr="007D0231" w:rsidR="00322A8F" w:rsidP="00322A8F" w:rsidRDefault="00322A8F">
      <w:pPr>
        <w:pStyle w:val="JuQuot"/>
      </w:pPr>
      <w:r w:rsidRPr="007D0231">
        <w:t>“1.</w:t>
      </w:r>
      <w:r w:rsidRPr="007D0231" w:rsidR="005C608D">
        <w:t>  </w:t>
      </w:r>
      <w:r w:rsidRPr="007D0231">
        <w:t>Everyone has the right to freedom of thought, conscience and religion; this right includes freedom to change his religion or belief and freedom, either alone or in community with others and in public or private, to manifest his religion or belief, in worship, teaching, practice and observance.</w:t>
      </w:r>
    </w:p>
    <w:p w:rsidRPr="007D0231" w:rsidR="001E22B7" w:rsidP="00322A8F" w:rsidRDefault="00322A8F">
      <w:pPr>
        <w:pStyle w:val="JuQuot"/>
      </w:pPr>
      <w:r w:rsidRPr="007D0231">
        <w:t>2.</w:t>
      </w:r>
      <w:r w:rsidRPr="007D0231" w:rsidR="005C608D">
        <w:t>  </w:t>
      </w:r>
      <w:r w:rsidRPr="007D0231">
        <w:t>Freedom to manifest one</w:t>
      </w:r>
      <w:r w:rsidR="00044053">
        <w:t>’</w:t>
      </w:r>
      <w:r w:rsidRPr="007D0231">
        <w:t>s religion or beliefs shall be subject only to such limitations as are prescribed by law and are necessary in a democratic society in the interests of public safety, for the protection of public order, health or morals, or for the protection of the rights and freedoms of others.”</w:t>
      </w:r>
    </w:p>
    <w:p w:rsidRPr="007D0231" w:rsidR="001E22B7" w:rsidP="001E22B7" w:rsidRDefault="001E22B7">
      <w:pPr>
        <w:pStyle w:val="JuPara"/>
      </w:pPr>
      <w:r w:rsidRPr="007D0231">
        <w:fldChar w:fldCharType="begin"/>
      </w:r>
      <w:r w:rsidRPr="007D0231">
        <w:rPr>
          <w:lang w:val="fr-FR"/>
        </w:rPr>
        <w:instrText xml:space="preserve"> SEQ level0 \*arabic </w:instrText>
      </w:r>
      <w:r w:rsidRPr="007D0231">
        <w:fldChar w:fldCharType="separate"/>
      </w:r>
      <w:r w:rsidRPr="007D0231" w:rsidR="00A41717">
        <w:rPr>
          <w:noProof/>
          <w:lang w:val="fr-FR"/>
        </w:rPr>
        <w:t>22</w:t>
      </w:r>
      <w:r w:rsidRPr="007D0231">
        <w:fldChar w:fldCharType="end"/>
      </w:r>
      <w:r w:rsidRPr="007D0231">
        <w:rPr>
          <w:lang w:val="fr-FR"/>
        </w:rPr>
        <w:t>.  </w:t>
      </w:r>
      <w:r w:rsidRPr="007D0231" w:rsidR="00345032">
        <w:t>The Government con</w:t>
      </w:r>
      <w:smartTag w:uri="urn:schemas-microsoft-com:office:smarttags" w:element="PersonName">
        <w:r w:rsidR="00345032" w:rsidRPr="007D0231">
          <w:t>test</w:t>
        </w:r>
      </w:smartTag>
      <w:r w:rsidRPr="007D0231" w:rsidR="00345032">
        <w:t>ed that argument</w:t>
      </w:r>
      <w:r w:rsidRPr="007D0231">
        <w:t>.</w:t>
      </w:r>
    </w:p>
    <w:p w:rsidRPr="007D0231" w:rsidR="001E22B7" w:rsidP="001E22B7" w:rsidRDefault="001E22B7">
      <w:pPr>
        <w:pStyle w:val="JuPara"/>
        <w:rPr>
          <w:lang w:val="fr-FR"/>
        </w:rPr>
      </w:pPr>
      <w:r w:rsidRPr="007D0231">
        <w:rPr>
          <w:lang w:val="fr-FR"/>
        </w:rPr>
        <w:t>...</w:t>
      </w:r>
    </w:p>
    <w:p w:rsidRPr="007D0231" w:rsidR="001E22B7" w:rsidP="001E22B7" w:rsidRDefault="001E22B7">
      <w:pPr>
        <w:pStyle w:val="JuHA"/>
        <w:outlineLvl w:val="0"/>
        <w:rPr>
          <w:lang w:val="fr-FR"/>
        </w:rPr>
      </w:pPr>
      <w:r w:rsidRPr="007D0231">
        <w:rPr>
          <w:lang w:val="fr-FR"/>
        </w:rPr>
        <w:t>B.  </w:t>
      </w:r>
      <w:r w:rsidRPr="007D0231" w:rsidR="00CD3131">
        <w:t>Merits</w:t>
      </w:r>
    </w:p>
    <w:p w:rsidRPr="007D0231" w:rsidR="001E22B7" w:rsidP="001E22B7" w:rsidRDefault="001E22B7">
      <w:pPr>
        <w:pStyle w:val="JuH1"/>
      </w:pPr>
      <w:r w:rsidRPr="007D0231">
        <w:t>1.  </w:t>
      </w:r>
      <w:r w:rsidRPr="007D0231" w:rsidR="00CD3131">
        <w:t>The parties</w:t>
      </w:r>
      <w:r w:rsidR="00044053">
        <w:t>’</w:t>
      </w:r>
      <w:r w:rsidRPr="007D0231" w:rsidR="00CD3131">
        <w:t xml:space="preserve"> submissions</w:t>
      </w:r>
    </w:p>
    <w:p w:rsidRPr="007D0231" w:rsidR="00345032" w:rsidP="001E22B7" w:rsidRDefault="001E22B7">
      <w:pPr>
        <w:pStyle w:val="JuPara"/>
      </w:pPr>
      <w:r w:rsidRPr="007D0231">
        <w:fldChar w:fldCharType="begin"/>
      </w:r>
      <w:r w:rsidRPr="007D0231">
        <w:rPr>
          <w:lang w:val="fr-FR"/>
        </w:rPr>
        <w:instrText xml:space="preserve"> SEQ level0 \*arabic \r29</w:instrText>
      </w:r>
      <w:r w:rsidRPr="007D0231">
        <w:fldChar w:fldCharType="separate"/>
      </w:r>
      <w:r w:rsidRPr="007D0231" w:rsidR="00A41717">
        <w:rPr>
          <w:noProof/>
          <w:lang w:val="fr-FR"/>
        </w:rPr>
        <w:t>29</w:t>
      </w:r>
      <w:r w:rsidRPr="007D0231">
        <w:fldChar w:fldCharType="end"/>
      </w:r>
      <w:r w:rsidRPr="007D0231">
        <w:rPr>
          <w:lang w:val="fr-FR"/>
        </w:rPr>
        <w:t>.  </w:t>
      </w:r>
      <w:r w:rsidRPr="007D0231" w:rsidR="00345032">
        <w:t xml:space="preserve">The applicant contended that the </w:t>
      </w:r>
      <w:r w:rsidRPr="007D0231" w:rsidR="00761438">
        <w:t>judges</w:t>
      </w:r>
      <w:r w:rsidRPr="007D0231" w:rsidR="00345032">
        <w:t xml:space="preserve"> dealing with his case had acted with the intention of infringing his right to manifest his religion</w:t>
      </w:r>
      <w:r w:rsidRPr="007D0231" w:rsidR="00E525F4">
        <w:t xml:space="preserve"> freely</w:t>
      </w:r>
      <w:r w:rsidRPr="007D0231" w:rsidR="00345032">
        <w:t>.</w:t>
      </w:r>
    </w:p>
    <w:p w:rsidRPr="007D0231" w:rsidR="00E525F4"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30</w:t>
      </w:r>
      <w:r w:rsidRPr="007D0231">
        <w:fldChar w:fldCharType="end"/>
      </w:r>
      <w:r w:rsidRPr="007D0231">
        <w:t>.  </w:t>
      </w:r>
      <w:r w:rsidRPr="007D0231" w:rsidR="00E525F4">
        <w:t xml:space="preserve">In his view, he was entitled under Law no. 101 </w:t>
      </w:r>
      <w:r w:rsidRPr="007D0231" w:rsidR="00D55053">
        <w:t xml:space="preserve">of 1989 </w:t>
      </w:r>
      <w:r w:rsidRPr="007D0231" w:rsidR="00E525F4">
        <w:t xml:space="preserve">to be absent from work on official Jewish </w:t>
      </w:r>
      <w:r w:rsidRPr="007D0231" w:rsidR="00761438">
        <w:t>religious holidays</w:t>
      </w:r>
      <w:r w:rsidRPr="007D0231" w:rsidR="00E525F4">
        <w:t xml:space="preserve"> in order to be able to </w:t>
      </w:r>
      <w:r w:rsidRPr="007D0231" w:rsidR="00521573">
        <w:t>practise</w:t>
      </w:r>
      <w:r w:rsidRPr="007D0231" w:rsidR="00E525F4">
        <w:t xml:space="preserve"> his religion freely. </w:t>
      </w:r>
      <w:r w:rsidR="00B342BC">
        <w:t>Furthermore, no indispensable-</w:t>
      </w:r>
      <w:r w:rsidRPr="007D0231" w:rsidR="006E16F0">
        <w:t>service requirement</w:t>
      </w:r>
      <w:r w:rsidRPr="007D0231" w:rsidR="00E525F4">
        <w:t xml:space="preserve"> could be relied upon in the instant case as justification for restricting that right, since the hearing of 13 October 2005 could have been adjourned for another date without adversely affecting the proper conduct of the proceedings and the rights of the other participants in the trial. </w:t>
      </w:r>
      <w:r w:rsidRPr="007D0231" w:rsidR="00E1284D">
        <w:t>Since</w:t>
      </w:r>
      <w:r w:rsidRPr="007D0231" w:rsidR="00E525F4">
        <w:t xml:space="preserve"> it had not related to a detention measure or</w:t>
      </w:r>
      <w:r w:rsidRPr="007D0231" w:rsidR="00D55053">
        <w:t xml:space="preserve"> to</w:t>
      </w:r>
      <w:r w:rsidRPr="007D0231" w:rsidR="00E525F4">
        <w:t xml:space="preserve"> the rights of a person in detention, the hearing in question had not been in any way urgent.</w:t>
      </w:r>
      <w:r w:rsidRPr="007D0231" w:rsidR="006E16F0">
        <w:t xml:space="preserve"> As the request for an adjournment had been made four months in advance, the authorities had had ample time to organise the timetable of hearings in such a way as to </w:t>
      </w:r>
      <w:r w:rsidRPr="007D0231" w:rsidR="00B622C2">
        <w:t>ensure</w:t>
      </w:r>
      <w:r w:rsidRPr="007D0231" w:rsidR="006E16F0">
        <w:t xml:space="preserve"> respect for the various rights at stake.</w:t>
      </w:r>
    </w:p>
    <w:p w:rsidRPr="007D0231" w:rsidR="006E16F0"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31</w:t>
      </w:r>
      <w:r w:rsidRPr="007D0231">
        <w:fldChar w:fldCharType="end"/>
      </w:r>
      <w:r w:rsidRPr="007D0231">
        <w:t>.  </w:t>
      </w:r>
      <w:r w:rsidRPr="007D0231" w:rsidR="006E16F0">
        <w:t>The Government</w:t>
      </w:r>
      <w:r w:rsidRPr="007D0231" w:rsidR="00D55053">
        <w:t>, for their part,</w:t>
      </w:r>
      <w:r w:rsidRPr="007D0231" w:rsidR="006E16F0">
        <w:t xml:space="preserve"> submitted that there had been no interference with the applicant</w:t>
      </w:r>
      <w:r w:rsidR="00044053">
        <w:t>’</w:t>
      </w:r>
      <w:r w:rsidRPr="007D0231" w:rsidR="006E16F0">
        <w:t xml:space="preserve">s right to manifest his religion freely since he had never been prevented from taking part in Jewish festivals and </w:t>
      </w:r>
      <w:r w:rsidRPr="007D0231" w:rsidR="00521573">
        <w:t>practising</w:t>
      </w:r>
      <w:r w:rsidRPr="007D0231" w:rsidR="006E16F0">
        <w:t xml:space="preserve"> his religion freely. The authorities had simply sought to ensure that the applicant did not </w:t>
      </w:r>
      <w:r w:rsidRPr="007D0231" w:rsidR="00D55053">
        <w:t>hamper</w:t>
      </w:r>
      <w:r w:rsidRPr="007D0231" w:rsidR="006E16F0">
        <w:t xml:space="preserve"> the smooth operation of essential State services in exercising his right to request that the hearing be adjourned.</w:t>
      </w:r>
    </w:p>
    <w:p w:rsidRPr="007D0231" w:rsidR="006E16F0"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32</w:t>
      </w:r>
      <w:r w:rsidRPr="007D0231">
        <w:fldChar w:fldCharType="end"/>
      </w:r>
      <w:r w:rsidRPr="007D0231">
        <w:t>.  </w:t>
      </w:r>
      <w:r w:rsidRPr="007D0231" w:rsidR="006E16F0">
        <w:t>In the Government</w:t>
      </w:r>
      <w:r w:rsidR="00044053">
        <w:t>’</w:t>
      </w:r>
      <w:r w:rsidRPr="007D0231" w:rsidR="006E16F0">
        <w:t xml:space="preserve">s view, the right relied on by the applicant was not of an absolute nature. Although Law no. 101 of 1989 concerned the professional relationship between lawyers and the courts, it </w:t>
      </w:r>
      <w:r w:rsidRPr="007D0231" w:rsidR="0055084F">
        <w:t>was a fact</w:t>
      </w:r>
      <w:r w:rsidRPr="007D0231" w:rsidR="006E16F0">
        <w:t xml:space="preserve"> that the second paragraph of section </w:t>
      </w:r>
      <w:r w:rsidRPr="007D0231" w:rsidR="00B622C2">
        <w:t>4</w:t>
      </w:r>
      <w:r w:rsidRPr="007D0231" w:rsidR="006E16F0">
        <w:t xml:space="preserve"> of </w:t>
      </w:r>
      <w:r w:rsidRPr="007D0231" w:rsidR="0055084F">
        <w:t>the Law</w:t>
      </w:r>
      <w:r w:rsidRPr="007D0231" w:rsidR="006E16F0">
        <w:t xml:space="preserve"> stated explicitly that </w:t>
      </w:r>
      <w:r w:rsidR="00B342BC">
        <w:t>essential-</w:t>
      </w:r>
      <w:r w:rsidRPr="007D0231" w:rsidR="00521573">
        <w:t>service requirements took precedence over the right of individuals to practise t</w:t>
      </w:r>
      <w:r w:rsidRPr="007D0231" w:rsidR="00B622C2">
        <w:t>heir religion freely</w:t>
      </w:r>
      <w:r w:rsidRPr="007D0231" w:rsidR="00521573">
        <w:t xml:space="preserve">. The administration of justice was an essential State service which had to take </w:t>
      </w:r>
      <w:r w:rsidRPr="007D0231" w:rsidR="00A0754A">
        <w:t>priority</w:t>
      </w:r>
      <w:r w:rsidRPr="007D0231" w:rsidR="00521573">
        <w:t xml:space="preserve"> in all circumstances.</w:t>
      </w:r>
    </w:p>
    <w:p w:rsidRPr="007D0231" w:rsidR="00521573" w:rsidP="001E22B7" w:rsidRDefault="00521573">
      <w:pPr>
        <w:pStyle w:val="JuPara"/>
      </w:pPr>
      <w:r w:rsidRPr="007D0231">
        <w:t xml:space="preserve">Furthermore, the attendance of counsel for the injured party at a hearing concerning the immediate production of evidence was not compulsory. In any event, a lawyer who was prevented from attending a hearing for personal reasons could appoint a replacement under the terms of Article 102 of the Code of Criminal Procedure. In </w:t>
      </w:r>
      <w:r w:rsidRPr="007D0231" w:rsidR="00B622C2">
        <w:t>choosing</w:t>
      </w:r>
      <w:r w:rsidRPr="007D0231">
        <w:t xml:space="preserve"> not to avail himself of that </w:t>
      </w:r>
      <w:r w:rsidRPr="007D0231" w:rsidR="0055084F">
        <w:t>option</w:t>
      </w:r>
      <w:r w:rsidRPr="007D0231">
        <w:t xml:space="preserve">, the applicant had </w:t>
      </w:r>
      <w:r w:rsidRPr="007D0231" w:rsidR="00B622C2">
        <w:t>declined</w:t>
      </w:r>
      <w:r w:rsidRPr="007D0231">
        <w:t xml:space="preserve"> to reconcile his religious obligations with the requirements of the proper administration of justice.</w:t>
      </w:r>
    </w:p>
    <w:p w:rsidRPr="007D0231" w:rsidR="00382ECC" w:rsidP="001E22B7" w:rsidRDefault="001E22B7">
      <w:pPr>
        <w:pStyle w:val="JuPara"/>
      </w:pPr>
      <w:r w:rsidRPr="007D0231">
        <w:fldChar w:fldCharType="begin"/>
      </w:r>
      <w:r w:rsidRPr="007D0231">
        <w:instrText xml:space="preserve"> SEQ level0 \*arabic </w:instrText>
      </w:r>
      <w:r w:rsidRPr="007D0231">
        <w:fldChar w:fldCharType="separate"/>
      </w:r>
      <w:r w:rsidRPr="007D0231" w:rsidR="00A41717">
        <w:rPr>
          <w:noProof/>
        </w:rPr>
        <w:t>33</w:t>
      </w:r>
      <w:r w:rsidRPr="007D0231">
        <w:fldChar w:fldCharType="end"/>
      </w:r>
      <w:r w:rsidRPr="007D0231">
        <w:t>.  </w:t>
      </w:r>
      <w:r w:rsidRPr="007D0231" w:rsidR="00382ECC">
        <w:t xml:space="preserve">Lastly, the adjournment of the hearing in question </w:t>
      </w:r>
      <w:r w:rsidRPr="007D0231" w:rsidR="00A90848">
        <w:t>had been</w:t>
      </w:r>
      <w:r w:rsidRPr="007D0231" w:rsidR="00382ECC">
        <w:t xml:space="preserve"> liable to affect </w:t>
      </w:r>
      <w:r w:rsidRPr="007D0231" w:rsidR="00B342BC">
        <w:t xml:space="preserve">adversely </w:t>
      </w:r>
      <w:r w:rsidRPr="007D0231" w:rsidR="00382ECC">
        <w:t xml:space="preserve">the proper conduct of the proceedings and to infringe the right of the twenty-one defendants to be tried within a reasonable time, since, had the request for adjournment been accepted, </w:t>
      </w:r>
      <w:r w:rsidRPr="007D0231" w:rsidR="00B622C2">
        <w:t xml:space="preserve">notice of the new hearing date would have had to be sent out to </w:t>
      </w:r>
      <w:r w:rsidRPr="007D0231" w:rsidR="00382ECC">
        <w:t xml:space="preserve">the large number of </w:t>
      </w:r>
      <w:r w:rsidRPr="007D0231" w:rsidR="00A90848">
        <w:t>persons</w:t>
      </w:r>
      <w:r w:rsidRPr="007D0231" w:rsidR="00382ECC">
        <w:t xml:space="preserve"> involved in the trial in various capacities.</w:t>
      </w:r>
    </w:p>
    <w:p w:rsidRPr="007D0231" w:rsidR="001E22B7" w:rsidP="001E22B7" w:rsidRDefault="001E22B7">
      <w:pPr>
        <w:pStyle w:val="JuH1"/>
      </w:pPr>
      <w:r w:rsidRPr="007D0231">
        <w:t>2.  </w:t>
      </w:r>
      <w:r w:rsidRPr="007D0231" w:rsidR="00CD3131">
        <w:t>The Court</w:t>
      </w:r>
      <w:r w:rsidR="00044053">
        <w:t>’</w:t>
      </w:r>
      <w:r w:rsidRPr="007D0231" w:rsidR="00CD3131">
        <w:t>s assessment</w:t>
      </w:r>
    </w:p>
    <w:p w:rsidRPr="007D0231" w:rsidR="001E22B7" w:rsidP="008A5ABB" w:rsidRDefault="001E22B7">
      <w:pPr>
        <w:pStyle w:val="JuPara"/>
        <w:rPr>
          <w:rStyle w:val="JuParaChar"/>
          <w:szCs w:val="24"/>
          <w:lang w:eastAsia="en-US"/>
        </w:rPr>
      </w:pPr>
      <w:r w:rsidRPr="007D0231">
        <w:fldChar w:fldCharType="begin"/>
      </w:r>
      <w:r w:rsidRPr="00044053">
        <w:rPr>
          <w:lang w:val="en-US"/>
        </w:rPr>
        <w:instrText xml:space="preserve"> SEQ level0 \*arabic </w:instrText>
      </w:r>
      <w:r w:rsidRPr="007D0231">
        <w:fldChar w:fldCharType="separate"/>
      </w:r>
      <w:r w:rsidRPr="00044053" w:rsidR="00A41717">
        <w:rPr>
          <w:noProof/>
          <w:lang w:val="en-US"/>
        </w:rPr>
        <w:t>34</w:t>
      </w:r>
      <w:r w:rsidRPr="007D0231">
        <w:fldChar w:fldCharType="end"/>
      </w:r>
      <w:r w:rsidRPr="00044053">
        <w:rPr>
          <w:lang w:val="en-US"/>
        </w:rPr>
        <w:t>.  </w:t>
      </w:r>
      <w:r w:rsidRPr="007D0231" w:rsidR="006F3556">
        <w:t>The Court reiterates that while religious freedom is primarily a matter of individual conscience, it also implies freedom to manifest one</w:t>
      </w:r>
      <w:r w:rsidR="00044053">
        <w:t>’</w:t>
      </w:r>
      <w:r w:rsidRPr="007D0231" w:rsidR="006F3556">
        <w:t>s religion not only in community with others, in public and within the circle of those whose faith one shares, but also alone and in private</w:t>
      </w:r>
      <w:r w:rsidRPr="007D0231" w:rsidR="008A5ABB">
        <w:t xml:space="preserve"> </w:t>
      </w:r>
      <w:r w:rsidRPr="007D0231">
        <w:t>(</w:t>
      </w:r>
      <w:r w:rsidRPr="007D0231" w:rsidR="008A5ABB">
        <w:t xml:space="preserve">see </w:t>
      </w:r>
      <w:r w:rsidRPr="007D0231">
        <w:rPr>
          <w:i/>
        </w:rPr>
        <w:t xml:space="preserve">Kokkinakis </w:t>
      </w:r>
      <w:r w:rsidRPr="007D0231" w:rsidR="008A5ABB">
        <w:rPr>
          <w:i/>
        </w:rPr>
        <w:t>v</w:t>
      </w:r>
      <w:r w:rsidRPr="007D0231">
        <w:rPr>
          <w:i/>
        </w:rPr>
        <w:t>. Gr</w:t>
      </w:r>
      <w:r w:rsidRPr="007D0231" w:rsidR="008A5ABB">
        <w:rPr>
          <w:i/>
        </w:rPr>
        <w:t>ee</w:t>
      </w:r>
      <w:r w:rsidRPr="007D0231">
        <w:rPr>
          <w:i/>
        </w:rPr>
        <w:t>ce</w:t>
      </w:r>
      <w:r w:rsidRPr="007D0231" w:rsidR="008A5ABB">
        <w:t>,</w:t>
      </w:r>
      <w:r w:rsidRPr="007D0231">
        <w:t xml:space="preserve"> 25 </w:t>
      </w:r>
      <w:r w:rsidRPr="007D0231" w:rsidR="008A5ABB">
        <w:t>May</w:t>
      </w:r>
      <w:r w:rsidRPr="007D0231">
        <w:t xml:space="preserve"> 1993, § 31, </w:t>
      </w:r>
      <w:r w:rsidRPr="007D0231" w:rsidR="008A5ABB">
        <w:t>Series</w:t>
      </w:r>
      <w:r w:rsidRPr="007D0231">
        <w:t xml:space="preserve"> A </w:t>
      </w:r>
      <w:r w:rsidRPr="007D0231" w:rsidR="008A5ABB">
        <w:t>no.</w:t>
      </w:r>
      <w:r w:rsidRPr="007D0231">
        <w:t xml:space="preserve"> 260-A). </w:t>
      </w:r>
      <w:r w:rsidRPr="007D0231" w:rsidR="006F3556">
        <w:t>Article 9 lists a number of forms which manifestation of one</w:t>
      </w:r>
      <w:r w:rsidR="00044053">
        <w:t>’</w:t>
      </w:r>
      <w:r w:rsidRPr="007D0231" w:rsidR="006F3556">
        <w:t xml:space="preserve">s religion or belief may take, namely worship, teaching, practice and observance. Nevertheless, Article 9 does not protect every act motivated or inspired by a religion or belief </w:t>
      </w:r>
      <w:r w:rsidRPr="007D0231">
        <w:t>(</w:t>
      </w:r>
      <w:r w:rsidRPr="007D0231" w:rsidR="006F3556">
        <w:t xml:space="preserve">see </w:t>
      </w:r>
      <w:r w:rsidRPr="007D0231">
        <w:rPr>
          <w:i/>
        </w:rPr>
        <w:t xml:space="preserve">Kalaç </w:t>
      </w:r>
      <w:r w:rsidRPr="007D0231" w:rsidR="006F3556">
        <w:rPr>
          <w:i/>
        </w:rPr>
        <w:t>v</w:t>
      </w:r>
      <w:r w:rsidRPr="007D0231">
        <w:rPr>
          <w:i/>
        </w:rPr>
        <w:t xml:space="preserve">. </w:t>
      </w:r>
      <w:r w:rsidRPr="007D0231" w:rsidR="006F3556">
        <w:rPr>
          <w:i/>
        </w:rPr>
        <w:t>Turkey</w:t>
      </w:r>
      <w:r w:rsidRPr="007D0231">
        <w:t>,</w:t>
      </w:r>
      <w:r w:rsidRPr="007D0231" w:rsidR="005C608D">
        <w:rPr>
          <w:lang w:eastAsia="en-US"/>
        </w:rPr>
        <w:t xml:space="preserve"> 1 </w:t>
      </w:r>
      <w:r w:rsidRPr="007D0231" w:rsidR="006F3556">
        <w:rPr>
          <w:lang w:eastAsia="en-US"/>
        </w:rPr>
        <w:t>July</w:t>
      </w:r>
      <w:r w:rsidRPr="007D0231">
        <w:rPr>
          <w:lang w:eastAsia="en-US"/>
        </w:rPr>
        <w:t xml:space="preserve"> 1997, § 27, </w:t>
      </w:r>
      <w:r w:rsidRPr="007D0231" w:rsidR="006F3556">
        <w:rPr>
          <w:i/>
          <w:lang w:eastAsia="en-US"/>
        </w:rPr>
        <w:t>Reports of Judgments and Decisions</w:t>
      </w:r>
      <w:r w:rsidRPr="007D0231">
        <w:rPr>
          <w:lang w:eastAsia="en-US"/>
        </w:rPr>
        <w:t xml:space="preserve"> 1997</w:t>
      </w:r>
      <w:r w:rsidRPr="007D0231">
        <w:rPr>
          <w:lang w:eastAsia="en-US"/>
        </w:rPr>
        <w:noBreakHyphen/>
        <w:t>IV</w:t>
      </w:r>
      <w:r w:rsidRPr="007D0231" w:rsidR="006F3556">
        <w:rPr>
          <w:lang w:eastAsia="en-US"/>
        </w:rPr>
        <w:t>, and</w:t>
      </w:r>
      <w:r w:rsidRPr="007D0231" w:rsidR="006F3556">
        <w:rPr>
          <w:szCs w:val="24"/>
          <w:lang w:eastAsia="en-US"/>
        </w:rPr>
        <w:t xml:space="preserve"> </w:t>
      </w:r>
      <w:r w:rsidRPr="007D0231" w:rsidR="006F3556">
        <w:rPr>
          <w:i/>
          <w:szCs w:val="24"/>
          <w:lang w:eastAsia="en-US"/>
        </w:rPr>
        <w:t xml:space="preserve">Kosteski v. “the </w:t>
      </w:r>
      <w:smartTag w:uri="urn:schemas-microsoft-com:office:smarttags" w:element="place">
        <w:smartTag w:uri="urn:schemas-microsoft-com:office:smarttags" w:element="country-region">
          <w:r w:rsidR="006F3556" w:rsidRPr="007D0231">
            <w:rPr>
              <w:i/>
              <w:szCs w:val="24"/>
              <w:lang w:eastAsia="en-US"/>
            </w:rPr>
            <w:t>former Yugoslav Republic of Macedonia</w:t>
          </w:r>
        </w:smartTag>
      </w:smartTag>
      <w:r w:rsidRPr="007D0231" w:rsidR="006F3556">
        <w:rPr>
          <w:i/>
          <w:szCs w:val="24"/>
          <w:lang w:eastAsia="en-US"/>
        </w:rPr>
        <w:t>”</w:t>
      </w:r>
      <w:r w:rsidRPr="007D0231" w:rsidR="006F3556">
        <w:rPr>
          <w:szCs w:val="24"/>
          <w:lang w:eastAsia="en-US"/>
        </w:rPr>
        <w:t>, no. 55170/00, § 37, 13 April 2006</w:t>
      </w:r>
      <w:r w:rsidRPr="007D0231">
        <w:rPr>
          <w:rStyle w:val="JuParaChar"/>
        </w:rPr>
        <w:t>).</w:t>
      </w:r>
    </w:p>
    <w:p w:rsidRPr="007D0231" w:rsidR="00141B96" w:rsidP="001E22B7" w:rsidRDefault="001E22B7">
      <w:pPr>
        <w:pStyle w:val="JuPara"/>
        <w:rPr>
          <w:iCs/>
          <w:szCs w:val="24"/>
        </w:rPr>
      </w:pPr>
      <w:r w:rsidRPr="007D0231">
        <w:rPr>
          <w:rStyle w:val="JuParaChar"/>
        </w:rPr>
        <w:fldChar w:fldCharType="begin"/>
      </w:r>
      <w:r w:rsidRPr="007D0231">
        <w:rPr>
          <w:rStyle w:val="JuParaChar"/>
        </w:rPr>
        <w:instrText xml:space="preserve"> SEQ level0 \*arabic </w:instrText>
      </w:r>
      <w:r w:rsidRPr="007D0231">
        <w:rPr>
          <w:rStyle w:val="JuParaChar"/>
        </w:rPr>
        <w:fldChar w:fldCharType="separate"/>
      </w:r>
      <w:r w:rsidRPr="007D0231" w:rsidR="00A41717">
        <w:rPr>
          <w:rStyle w:val="JuParaChar"/>
          <w:noProof/>
        </w:rPr>
        <w:t>35</w:t>
      </w:r>
      <w:r w:rsidRPr="007D0231">
        <w:rPr>
          <w:rStyle w:val="JuParaChar"/>
        </w:rPr>
        <w:fldChar w:fldCharType="end"/>
      </w:r>
      <w:r w:rsidRPr="007D0231">
        <w:rPr>
          <w:rStyle w:val="JuParaChar"/>
        </w:rPr>
        <w:t>.  </w:t>
      </w:r>
      <w:r w:rsidRPr="007D0231" w:rsidR="00A90848">
        <w:rPr>
          <w:rStyle w:val="JuParaChar"/>
        </w:rPr>
        <w:t>Thus</w:t>
      </w:r>
      <w:r w:rsidRPr="007D0231" w:rsidR="004A6C21">
        <w:rPr>
          <w:rStyle w:val="JuParaChar"/>
        </w:rPr>
        <w:t xml:space="preserve">, for instance, the protection afforded by Article 9 </w:t>
      </w:r>
      <w:r w:rsidRPr="007D0231" w:rsidR="00863437">
        <w:rPr>
          <w:rStyle w:val="JuParaChar"/>
        </w:rPr>
        <w:t>was found</w:t>
      </w:r>
      <w:r w:rsidRPr="007D0231" w:rsidR="004A6C21">
        <w:rPr>
          <w:rStyle w:val="JuParaChar"/>
        </w:rPr>
        <w:t xml:space="preserve"> not </w:t>
      </w:r>
      <w:r w:rsidRPr="007D0231" w:rsidR="00863437">
        <w:rPr>
          <w:rStyle w:val="JuParaChar"/>
        </w:rPr>
        <w:t xml:space="preserve">to </w:t>
      </w:r>
      <w:r w:rsidRPr="007D0231" w:rsidR="004A6C21">
        <w:rPr>
          <w:rStyle w:val="JuParaChar"/>
        </w:rPr>
        <w:t xml:space="preserve">extend to the dismissal of a </w:t>
      </w:r>
      <w:r w:rsidRPr="007D0231" w:rsidR="00A90848">
        <w:rPr>
          <w:rStyle w:val="JuParaChar"/>
        </w:rPr>
        <w:t>public</w:t>
      </w:r>
      <w:r w:rsidRPr="007D0231" w:rsidR="004A6C21">
        <w:rPr>
          <w:rStyle w:val="JuParaChar"/>
        </w:rPr>
        <w:t xml:space="preserve"> servant who </w:t>
      </w:r>
      <w:r w:rsidRPr="007D0231" w:rsidR="00863437">
        <w:rPr>
          <w:rStyle w:val="JuParaChar"/>
        </w:rPr>
        <w:t>failed to</w:t>
      </w:r>
      <w:r w:rsidRPr="007D0231" w:rsidR="004A6C21">
        <w:rPr>
          <w:rStyle w:val="JuParaChar"/>
        </w:rPr>
        <w:t xml:space="preserve"> adhere to his working hours on the grounds that the Seventh-day Adventist Church, to which he belonged, prohibited its members from working after sunset on Fridays (see </w:t>
      </w:r>
      <w:r w:rsidRPr="007D0231">
        <w:rPr>
          <w:i/>
        </w:rPr>
        <w:t xml:space="preserve">Konttinen </w:t>
      </w:r>
      <w:r w:rsidRPr="007D0231" w:rsidR="004A6C21">
        <w:rPr>
          <w:i/>
        </w:rPr>
        <w:t>v</w:t>
      </w:r>
      <w:r w:rsidRPr="007D0231">
        <w:rPr>
          <w:i/>
        </w:rPr>
        <w:t>. Finland</w:t>
      </w:r>
      <w:r w:rsidRPr="007D0231">
        <w:t xml:space="preserve">, </w:t>
      </w:r>
      <w:r w:rsidRPr="007D0231" w:rsidR="004A6C21">
        <w:rPr>
          <w:rStyle w:val="JuParaChar"/>
          <w:szCs w:val="24"/>
        </w:rPr>
        <w:t>no.</w:t>
      </w:r>
      <w:r w:rsidRPr="007D0231">
        <w:rPr>
          <w:szCs w:val="24"/>
          <w:lang w:eastAsia="en-GB"/>
        </w:rPr>
        <w:t xml:space="preserve"> 24949/94, Commission </w:t>
      </w:r>
      <w:r w:rsidRPr="007D0231" w:rsidR="004A6C21">
        <w:rPr>
          <w:szCs w:val="24"/>
          <w:lang w:eastAsia="en-GB"/>
        </w:rPr>
        <w:t>decision of</w:t>
      </w:r>
      <w:r w:rsidRPr="007D0231">
        <w:rPr>
          <w:szCs w:val="24"/>
          <w:lang w:eastAsia="en-GB"/>
        </w:rPr>
        <w:t xml:space="preserve"> 3 </w:t>
      </w:r>
      <w:r w:rsidRPr="007D0231" w:rsidR="004A6C21">
        <w:rPr>
          <w:szCs w:val="24"/>
          <w:lang w:eastAsia="en-GB"/>
        </w:rPr>
        <w:t>December</w:t>
      </w:r>
      <w:r w:rsidRPr="007D0231">
        <w:rPr>
          <w:szCs w:val="24"/>
          <w:lang w:eastAsia="en-GB"/>
        </w:rPr>
        <w:t xml:space="preserve"> 1996, D</w:t>
      </w:r>
      <w:r w:rsidRPr="007D0231" w:rsidR="004A6C21">
        <w:rPr>
          <w:szCs w:val="24"/>
          <w:lang w:eastAsia="en-GB"/>
        </w:rPr>
        <w:t>e</w:t>
      </w:r>
      <w:r w:rsidRPr="007D0231">
        <w:rPr>
          <w:szCs w:val="24"/>
          <w:lang w:eastAsia="en-GB"/>
        </w:rPr>
        <w:t xml:space="preserve">cisions </w:t>
      </w:r>
      <w:r w:rsidRPr="007D0231" w:rsidR="004A6C21">
        <w:rPr>
          <w:szCs w:val="24"/>
          <w:lang w:eastAsia="en-GB"/>
        </w:rPr>
        <w:t>and Reports</w:t>
      </w:r>
      <w:r w:rsidRPr="007D0231">
        <w:rPr>
          <w:szCs w:val="24"/>
          <w:lang w:eastAsia="en-GB"/>
        </w:rPr>
        <w:t xml:space="preserve"> (DR) 87-</w:t>
      </w:r>
      <w:r w:rsidRPr="007D0231" w:rsidR="00863437">
        <w:rPr>
          <w:szCs w:val="24"/>
          <w:lang w:eastAsia="en-GB"/>
        </w:rPr>
        <w:t>A</w:t>
      </w:r>
      <w:r w:rsidRPr="007D0231">
        <w:rPr>
          <w:szCs w:val="24"/>
          <w:lang w:eastAsia="en-GB"/>
        </w:rPr>
        <w:t xml:space="preserve">, p. 68), </w:t>
      </w:r>
      <w:r w:rsidRPr="007D0231" w:rsidR="004A6C21">
        <w:rPr>
          <w:szCs w:val="24"/>
          <w:lang w:eastAsia="en-GB"/>
        </w:rPr>
        <w:t xml:space="preserve">or the compulsory retirement for breaches of discipline of a member of the armed forces with fundamentalist views </w:t>
      </w:r>
      <w:r w:rsidRPr="007D0231">
        <w:rPr>
          <w:szCs w:val="24"/>
          <w:lang w:eastAsia="en-GB"/>
        </w:rPr>
        <w:t>(</w:t>
      </w:r>
      <w:r w:rsidRPr="007D0231" w:rsidR="004A6C21">
        <w:rPr>
          <w:szCs w:val="24"/>
          <w:lang w:eastAsia="en-GB"/>
        </w:rPr>
        <w:t xml:space="preserve">see </w:t>
      </w:r>
      <w:r w:rsidRPr="007D0231">
        <w:rPr>
          <w:i/>
          <w:lang w:eastAsia="en-US"/>
        </w:rPr>
        <w:t>Kalaç</w:t>
      </w:r>
      <w:r w:rsidRPr="007D0231">
        <w:rPr>
          <w:szCs w:val="24"/>
          <w:lang w:eastAsia="en-GB"/>
        </w:rPr>
        <w:t xml:space="preserve">, </w:t>
      </w:r>
      <w:r w:rsidRPr="007D0231" w:rsidR="004A6C21">
        <w:rPr>
          <w:szCs w:val="24"/>
          <w:lang w:eastAsia="en-GB"/>
        </w:rPr>
        <w:t>cited above</w:t>
      </w:r>
      <w:r w:rsidRPr="007D0231">
        <w:rPr>
          <w:szCs w:val="24"/>
          <w:lang w:eastAsia="en-GB"/>
        </w:rPr>
        <w:t xml:space="preserve">; </w:t>
      </w:r>
      <w:r w:rsidRPr="007D0231" w:rsidR="004A6C21">
        <w:rPr>
          <w:szCs w:val="24"/>
          <w:lang w:eastAsia="en-GB"/>
        </w:rPr>
        <w:t>see also</w:t>
      </w:r>
      <w:r w:rsidRPr="007D0231">
        <w:rPr>
          <w:szCs w:val="24"/>
          <w:lang w:eastAsia="en-GB"/>
        </w:rPr>
        <w:t xml:space="preserve"> </w:t>
      </w:r>
      <w:r w:rsidRPr="007D0231">
        <w:rPr>
          <w:i/>
          <w:szCs w:val="24"/>
          <w:lang w:eastAsia="en-GB"/>
        </w:rPr>
        <w:t xml:space="preserve">Stedman </w:t>
      </w:r>
      <w:r w:rsidRPr="007D0231" w:rsidR="004A6C21">
        <w:rPr>
          <w:i/>
          <w:szCs w:val="24"/>
          <w:lang w:eastAsia="en-GB"/>
        </w:rPr>
        <w:t>v</w:t>
      </w:r>
      <w:r w:rsidRPr="007D0231">
        <w:rPr>
          <w:i/>
          <w:szCs w:val="24"/>
          <w:lang w:eastAsia="en-GB"/>
        </w:rPr>
        <w:t xml:space="preserve">. </w:t>
      </w:r>
      <w:r w:rsidRPr="007D0231" w:rsidR="004A6C21">
        <w:rPr>
          <w:i/>
          <w:szCs w:val="24"/>
          <w:lang w:eastAsia="en-GB"/>
        </w:rPr>
        <w:t>the United Kingdom</w:t>
      </w:r>
      <w:r w:rsidRPr="007D0231" w:rsidR="004A6C21">
        <w:rPr>
          <w:szCs w:val="24"/>
          <w:lang w:eastAsia="en-GB"/>
        </w:rPr>
        <w:t>,</w:t>
      </w:r>
      <w:r w:rsidRPr="007D0231">
        <w:rPr>
          <w:szCs w:val="24"/>
          <w:lang w:eastAsia="en-GB"/>
        </w:rPr>
        <w:t xml:space="preserve"> </w:t>
      </w:r>
      <w:r w:rsidRPr="007D0231" w:rsidR="004A6C21">
        <w:rPr>
          <w:szCs w:val="24"/>
          <w:lang w:eastAsia="en-GB"/>
        </w:rPr>
        <w:t>no.</w:t>
      </w:r>
      <w:r w:rsidRPr="007D0231" w:rsidR="005C608D">
        <w:rPr>
          <w:szCs w:val="24"/>
          <w:lang w:eastAsia="en-GB"/>
        </w:rPr>
        <w:t xml:space="preserve"> </w:t>
      </w:r>
      <w:r w:rsidRPr="007D0231">
        <w:rPr>
          <w:szCs w:val="24"/>
          <w:lang w:eastAsia="en-GB"/>
        </w:rPr>
        <w:t xml:space="preserve">29107/95, Commission </w:t>
      </w:r>
      <w:r w:rsidRPr="007D0231" w:rsidR="00141B96">
        <w:rPr>
          <w:szCs w:val="24"/>
          <w:lang w:eastAsia="en-GB"/>
        </w:rPr>
        <w:t>decision of</w:t>
      </w:r>
      <w:r w:rsidRPr="007D0231">
        <w:rPr>
          <w:szCs w:val="24"/>
          <w:lang w:eastAsia="en-GB"/>
        </w:rPr>
        <w:t xml:space="preserve"> 9 </w:t>
      </w:r>
      <w:r w:rsidRPr="007D0231" w:rsidR="00141B96">
        <w:rPr>
          <w:szCs w:val="24"/>
          <w:lang w:eastAsia="en-GB"/>
        </w:rPr>
        <w:t>April</w:t>
      </w:r>
      <w:r w:rsidRPr="007D0231">
        <w:rPr>
          <w:szCs w:val="24"/>
          <w:lang w:eastAsia="en-GB"/>
        </w:rPr>
        <w:t xml:space="preserve"> 1997, DR </w:t>
      </w:r>
      <w:r w:rsidRPr="007D0231">
        <w:rPr>
          <w:iCs/>
          <w:szCs w:val="24"/>
        </w:rPr>
        <w:t>89-</w:t>
      </w:r>
      <w:r w:rsidRPr="007D0231" w:rsidR="00863437">
        <w:rPr>
          <w:iCs/>
          <w:szCs w:val="24"/>
        </w:rPr>
        <w:t>A</w:t>
      </w:r>
      <w:r w:rsidRPr="007D0231">
        <w:rPr>
          <w:iCs/>
          <w:szCs w:val="24"/>
        </w:rPr>
        <w:t>, p. 104,</w:t>
      </w:r>
      <w:r w:rsidRPr="007D0231" w:rsidR="00644B9D">
        <w:rPr>
          <w:iCs/>
          <w:szCs w:val="24"/>
        </w:rPr>
        <w:t xml:space="preserve"> concerning the dismissal of an employee by her private-sector employer for refusing to work on Sunday</w:t>
      </w:r>
      <w:r w:rsidRPr="007D0231" w:rsidR="0075196F">
        <w:rPr>
          <w:iCs/>
          <w:szCs w:val="24"/>
        </w:rPr>
        <w:t>s</w:t>
      </w:r>
      <w:r w:rsidRPr="007D0231" w:rsidR="00644B9D">
        <w:rPr>
          <w:iCs/>
          <w:szCs w:val="24"/>
        </w:rPr>
        <w:t>). In these cases, the Commission and the Court considered that the measures taken by the authorities in respect of the applicants had not been based on the applicants</w:t>
      </w:r>
      <w:r w:rsidR="00044053">
        <w:rPr>
          <w:iCs/>
          <w:szCs w:val="24"/>
        </w:rPr>
        <w:t>’</w:t>
      </w:r>
      <w:r w:rsidRPr="007D0231" w:rsidR="00644B9D">
        <w:rPr>
          <w:iCs/>
          <w:szCs w:val="24"/>
        </w:rPr>
        <w:t xml:space="preserve"> religious beliefs but had been justified by the specific contractual obligations between the persons concerned and their respective employers.</w:t>
      </w:r>
    </w:p>
    <w:p w:rsidRPr="007D0231" w:rsidR="00644B9D" w:rsidP="001E22B7" w:rsidRDefault="001E22B7">
      <w:pPr>
        <w:pStyle w:val="JuPara"/>
        <w:rPr>
          <w:lang w:eastAsia="en-GB"/>
        </w:rPr>
      </w:pPr>
      <w:r w:rsidRPr="007D0231">
        <w:rPr>
          <w:lang w:eastAsia="en-GB"/>
        </w:rPr>
        <w:fldChar w:fldCharType="begin"/>
      </w:r>
      <w:r w:rsidRPr="007D0231">
        <w:rPr>
          <w:lang w:eastAsia="en-GB"/>
        </w:rPr>
        <w:instrText xml:space="preserve"> SEQ level0 \*arabic </w:instrText>
      </w:r>
      <w:r w:rsidRPr="007D0231">
        <w:rPr>
          <w:lang w:eastAsia="en-GB"/>
        </w:rPr>
        <w:fldChar w:fldCharType="separate"/>
      </w:r>
      <w:r w:rsidRPr="007D0231" w:rsidR="00A41717">
        <w:rPr>
          <w:noProof/>
          <w:lang w:eastAsia="en-GB"/>
        </w:rPr>
        <w:t>36</w:t>
      </w:r>
      <w:r w:rsidRPr="007D0231">
        <w:rPr>
          <w:lang w:eastAsia="en-GB"/>
        </w:rPr>
        <w:fldChar w:fldCharType="end"/>
      </w:r>
      <w:r w:rsidRPr="007D0231">
        <w:rPr>
          <w:lang w:eastAsia="en-GB"/>
        </w:rPr>
        <w:t>.  </w:t>
      </w:r>
      <w:r w:rsidRPr="007D0231" w:rsidR="00644B9D">
        <w:rPr>
          <w:lang w:eastAsia="en-GB"/>
        </w:rPr>
        <w:t>In the present case the Court observes that the rejection by the investigating judge of the applicant</w:t>
      </w:r>
      <w:r w:rsidR="00044053">
        <w:rPr>
          <w:lang w:eastAsia="en-GB"/>
        </w:rPr>
        <w:t>’</w:t>
      </w:r>
      <w:r w:rsidRPr="007D0231" w:rsidR="00644B9D">
        <w:rPr>
          <w:lang w:eastAsia="en-GB"/>
        </w:rPr>
        <w:t xml:space="preserve">s application for an adjournment was based on provisions of the Code of Criminal Procedure according to which the adjournment of a hearing concerning the immediate production of evidence </w:t>
      </w:r>
      <w:r w:rsidRPr="007D0231" w:rsidR="007845ED">
        <w:rPr>
          <w:lang w:eastAsia="en-GB"/>
        </w:rPr>
        <w:t>is</w:t>
      </w:r>
      <w:r w:rsidRPr="007D0231" w:rsidR="00644B9D">
        <w:rPr>
          <w:lang w:eastAsia="en-GB"/>
        </w:rPr>
        <w:t xml:space="preserve"> warranted only if the public prosecutor or counsel for the defendant </w:t>
      </w:r>
      <w:r w:rsidRPr="007D0231" w:rsidR="007845ED">
        <w:rPr>
          <w:lang w:eastAsia="en-GB"/>
        </w:rPr>
        <w:t>is</w:t>
      </w:r>
      <w:r w:rsidRPr="007D0231" w:rsidR="00644B9D">
        <w:rPr>
          <w:lang w:eastAsia="en-GB"/>
        </w:rPr>
        <w:t xml:space="preserve"> absent; counsel for the complainant </w:t>
      </w:r>
      <w:r w:rsidRPr="007D0231" w:rsidR="007845ED">
        <w:rPr>
          <w:lang w:eastAsia="en-GB"/>
        </w:rPr>
        <w:t>is</w:t>
      </w:r>
      <w:r w:rsidRPr="007D0231" w:rsidR="00644B9D">
        <w:rPr>
          <w:lang w:eastAsia="en-GB"/>
        </w:rPr>
        <w:t xml:space="preserve"> not required to be present at the hearing.</w:t>
      </w:r>
    </w:p>
    <w:p w:rsidRPr="007D0231" w:rsidR="00644B9D" w:rsidP="001E22B7" w:rsidRDefault="001E22B7">
      <w:pPr>
        <w:pStyle w:val="JuPara"/>
        <w:rPr>
          <w:lang w:eastAsia="en-GB"/>
        </w:rPr>
      </w:pPr>
      <w:r w:rsidRPr="007D0231">
        <w:rPr>
          <w:lang w:eastAsia="en-GB"/>
        </w:rPr>
        <w:fldChar w:fldCharType="begin"/>
      </w:r>
      <w:r w:rsidRPr="007D0231">
        <w:rPr>
          <w:lang w:eastAsia="en-GB"/>
        </w:rPr>
        <w:instrText xml:space="preserve"> SEQ level0 \*arabic </w:instrText>
      </w:r>
      <w:r w:rsidRPr="007D0231">
        <w:rPr>
          <w:lang w:eastAsia="en-GB"/>
        </w:rPr>
        <w:fldChar w:fldCharType="separate"/>
      </w:r>
      <w:r w:rsidRPr="007D0231" w:rsidR="00A41717">
        <w:rPr>
          <w:noProof/>
          <w:lang w:eastAsia="en-GB"/>
        </w:rPr>
        <w:t>37</w:t>
      </w:r>
      <w:r w:rsidRPr="007D0231">
        <w:rPr>
          <w:lang w:eastAsia="en-GB"/>
        </w:rPr>
        <w:fldChar w:fldCharType="end"/>
      </w:r>
      <w:r w:rsidRPr="007D0231">
        <w:rPr>
          <w:lang w:eastAsia="en-GB"/>
        </w:rPr>
        <w:t>.  </w:t>
      </w:r>
      <w:r w:rsidRPr="007D0231" w:rsidR="00644B9D">
        <w:rPr>
          <w:lang w:eastAsia="en-GB"/>
        </w:rPr>
        <w:t>In view of the circumstances of the present case</w:t>
      </w:r>
      <w:r w:rsidRPr="007D0231" w:rsidR="003723DC">
        <w:rPr>
          <w:lang w:eastAsia="en-GB"/>
        </w:rPr>
        <w:t>,</w:t>
      </w:r>
      <w:r w:rsidRPr="007D0231" w:rsidR="00644B9D">
        <w:rPr>
          <w:lang w:eastAsia="en-GB"/>
        </w:rPr>
        <w:t xml:space="preserve"> the Court is not </w:t>
      </w:r>
      <w:r w:rsidRPr="007D0231" w:rsidR="009A3AD2">
        <w:rPr>
          <w:lang w:eastAsia="en-GB"/>
        </w:rPr>
        <w:t>convinced that setting the case down for hearing on a date which coincided with a Jewish holiday and refusing to adjourn it to a later date amounted to a restriction on the applicant</w:t>
      </w:r>
      <w:r w:rsidR="00044053">
        <w:rPr>
          <w:lang w:eastAsia="en-GB"/>
        </w:rPr>
        <w:t>’</w:t>
      </w:r>
      <w:r w:rsidRPr="007D0231" w:rsidR="009A3AD2">
        <w:rPr>
          <w:lang w:eastAsia="en-GB"/>
        </w:rPr>
        <w:t xml:space="preserve">s right to </w:t>
      </w:r>
      <w:r w:rsidRPr="007D0231" w:rsidR="007845ED">
        <w:rPr>
          <w:lang w:eastAsia="en-GB"/>
        </w:rPr>
        <w:t>practise</w:t>
      </w:r>
      <w:r w:rsidRPr="007D0231" w:rsidR="009A3AD2">
        <w:rPr>
          <w:lang w:eastAsia="en-GB"/>
        </w:rPr>
        <w:t xml:space="preserve"> his religion freely. It is not disputed between the parties that the applicant was able to perform his religious duties. Furthermore, he could have expected that his request for </w:t>
      </w:r>
      <w:r w:rsidRPr="007D0231" w:rsidR="0075196F">
        <w:rPr>
          <w:lang w:eastAsia="en-GB"/>
        </w:rPr>
        <w:t xml:space="preserve">an </w:t>
      </w:r>
      <w:r w:rsidRPr="007D0231" w:rsidR="009A3AD2">
        <w:rPr>
          <w:lang w:eastAsia="en-GB"/>
        </w:rPr>
        <w:t>adjournment would be refused on the basis of the statutory provisions in force and could have arranged to be replaced at the hearing in question to ensure that he complied with his professional obligations.</w:t>
      </w:r>
    </w:p>
    <w:p w:rsidRPr="007D0231" w:rsidR="001E22B7" w:rsidP="001E22B7" w:rsidRDefault="009A3AD2">
      <w:pPr>
        <w:pStyle w:val="JuPara"/>
        <w:rPr>
          <w:lang w:eastAsia="en-GB"/>
        </w:rPr>
      </w:pPr>
      <w:r w:rsidRPr="007D0231">
        <w:rPr>
          <w:lang w:eastAsia="en-GB"/>
        </w:rPr>
        <w:t>Lastly, the Court note</w:t>
      </w:r>
      <w:r w:rsidRPr="007D0231" w:rsidR="0075196F">
        <w:rPr>
          <w:lang w:eastAsia="en-GB"/>
        </w:rPr>
        <w:t>s</w:t>
      </w:r>
      <w:r w:rsidRPr="007D0231">
        <w:rPr>
          <w:lang w:eastAsia="en-GB"/>
        </w:rPr>
        <w:t xml:space="preserve"> that the applicant </w:t>
      </w:r>
      <w:r w:rsidRPr="007D0231" w:rsidR="0075196F">
        <w:rPr>
          <w:lang w:eastAsia="en-GB"/>
        </w:rPr>
        <w:t>did</w:t>
      </w:r>
      <w:r w:rsidRPr="007D0231">
        <w:rPr>
          <w:lang w:eastAsia="en-GB"/>
        </w:rPr>
        <w:t xml:space="preserve"> not demonstrate that pressure had been exerted on him to </w:t>
      </w:r>
      <w:r w:rsidRPr="007D0231" w:rsidR="00E033FB">
        <w:rPr>
          <w:lang w:eastAsia="en-GB"/>
        </w:rPr>
        <w:t xml:space="preserve">make him </w:t>
      </w:r>
      <w:r w:rsidRPr="007D0231">
        <w:rPr>
          <w:lang w:eastAsia="en-GB"/>
        </w:rPr>
        <w:t xml:space="preserve">change his religious beliefs or to prevent him from manifesting his religion or beliefs </w:t>
      </w:r>
      <w:r w:rsidRPr="007D0231" w:rsidR="001E22B7">
        <w:rPr>
          <w:lang w:eastAsia="en-GB"/>
        </w:rPr>
        <w:t>(</w:t>
      </w:r>
      <w:r w:rsidRPr="007D0231">
        <w:rPr>
          <w:lang w:eastAsia="en-GB"/>
        </w:rPr>
        <w:t xml:space="preserve">see </w:t>
      </w:r>
      <w:r w:rsidRPr="007D0231" w:rsidR="001E22B7">
        <w:rPr>
          <w:rStyle w:val="ju-005fpara--char"/>
          <w:i/>
          <w:iCs/>
        </w:rPr>
        <w:t xml:space="preserve">Knudsen </w:t>
      </w:r>
      <w:r w:rsidRPr="007D0231">
        <w:rPr>
          <w:rStyle w:val="ju-005fpara--char"/>
          <w:i/>
          <w:iCs/>
        </w:rPr>
        <w:t>v</w:t>
      </w:r>
      <w:r w:rsidRPr="007D0231" w:rsidR="001E22B7">
        <w:rPr>
          <w:rStyle w:val="ju-005fpara--char"/>
          <w:i/>
          <w:iCs/>
        </w:rPr>
        <w:t>.</w:t>
      </w:r>
      <w:r w:rsidRPr="007D0231" w:rsidR="005C608D">
        <w:rPr>
          <w:rStyle w:val="ju-005fpara--char"/>
          <w:i/>
          <w:iCs/>
        </w:rPr>
        <w:t xml:space="preserve"> </w:t>
      </w:r>
      <w:r w:rsidRPr="007D0231">
        <w:rPr>
          <w:rStyle w:val="ju-005fpara--char"/>
          <w:i/>
          <w:iCs/>
        </w:rPr>
        <w:t>Norway</w:t>
      </w:r>
      <w:r w:rsidRPr="007D0231" w:rsidR="001E22B7">
        <w:t xml:space="preserve">, </w:t>
      </w:r>
      <w:r w:rsidRPr="007D0231">
        <w:t>no.</w:t>
      </w:r>
      <w:r w:rsidRPr="007D0231" w:rsidR="005C608D">
        <w:t xml:space="preserve"> </w:t>
      </w:r>
      <w:r w:rsidRPr="007D0231" w:rsidR="001E22B7">
        <w:t xml:space="preserve">11045/84, Commission </w:t>
      </w:r>
      <w:r w:rsidRPr="007D0231">
        <w:t>decision of</w:t>
      </w:r>
      <w:r w:rsidRPr="007D0231" w:rsidR="001E22B7">
        <w:t xml:space="preserve"> 8 </w:t>
      </w:r>
      <w:r w:rsidRPr="007D0231">
        <w:t>March</w:t>
      </w:r>
      <w:r w:rsidRPr="007D0231" w:rsidR="001E22B7">
        <w:t xml:space="preserve"> 1985, DR 42, p.</w:t>
      </w:r>
      <w:r w:rsidRPr="007D0231" w:rsidR="007845ED">
        <w:t> </w:t>
      </w:r>
      <w:r w:rsidRPr="007D0231" w:rsidR="001E22B7">
        <w:t>2</w:t>
      </w:r>
      <w:r w:rsidRPr="007D0231" w:rsidR="0075196F">
        <w:t>4</w:t>
      </w:r>
      <w:r w:rsidRPr="007D0231" w:rsidR="008E5939">
        <w:t>7</w:t>
      </w:r>
      <w:r w:rsidRPr="007D0231" w:rsidR="001E22B7">
        <w:t xml:space="preserve">, </w:t>
      </w:r>
      <w:r w:rsidRPr="007D0231">
        <w:t xml:space="preserve">and </w:t>
      </w:r>
      <w:proofErr w:type="spellStart"/>
      <w:r w:rsidRPr="007D0231" w:rsidR="001E22B7">
        <w:rPr>
          <w:i/>
          <w:lang w:eastAsia="en-GB"/>
        </w:rPr>
        <w:t>Konttinen</w:t>
      </w:r>
      <w:proofErr w:type="spellEnd"/>
      <w:r w:rsidRPr="007D0231" w:rsidR="001E22B7">
        <w:rPr>
          <w:lang w:eastAsia="en-GB"/>
        </w:rPr>
        <w:t xml:space="preserve">, </w:t>
      </w:r>
      <w:r w:rsidRPr="007D0231">
        <w:rPr>
          <w:lang w:eastAsia="en-GB"/>
        </w:rPr>
        <w:t>cited above</w:t>
      </w:r>
      <w:r w:rsidRPr="007D0231" w:rsidR="001E22B7">
        <w:rPr>
          <w:lang w:eastAsia="en-GB"/>
        </w:rPr>
        <w:t>).</w:t>
      </w:r>
    </w:p>
    <w:p w:rsidRPr="007D0231" w:rsidR="001E22B7" w:rsidP="001E22B7" w:rsidRDefault="001E22B7">
      <w:pPr>
        <w:pStyle w:val="JuPara"/>
        <w:keepNext/>
        <w:keepLines/>
        <w:rPr>
          <w:bCs/>
        </w:rPr>
      </w:pPr>
      <w:r w:rsidRPr="007D0231">
        <w:rPr>
          <w:lang w:eastAsia="en-GB"/>
        </w:rPr>
        <w:fldChar w:fldCharType="begin"/>
      </w:r>
      <w:r w:rsidRPr="00044053">
        <w:rPr>
          <w:lang w:val="en-US" w:eastAsia="en-GB"/>
        </w:rPr>
        <w:instrText xml:space="preserve"> SEQ level0 \*arabic </w:instrText>
      </w:r>
      <w:r w:rsidRPr="007D0231">
        <w:rPr>
          <w:lang w:eastAsia="en-GB"/>
        </w:rPr>
        <w:fldChar w:fldCharType="separate"/>
      </w:r>
      <w:r w:rsidRPr="00044053" w:rsidR="00A41717">
        <w:rPr>
          <w:noProof/>
          <w:lang w:val="en-US" w:eastAsia="en-GB"/>
        </w:rPr>
        <w:t>38</w:t>
      </w:r>
      <w:r w:rsidRPr="007D0231">
        <w:rPr>
          <w:lang w:eastAsia="en-GB"/>
        </w:rPr>
        <w:fldChar w:fldCharType="end"/>
      </w:r>
      <w:r w:rsidRPr="00044053">
        <w:rPr>
          <w:lang w:val="en-US" w:eastAsia="en-GB"/>
        </w:rPr>
        <w:t>.  </w:t>
      </w:r>
      <w:r w:rsidRPr="007D0231" w:rsidR="00322A8F">
        <w:rPr>
          <w:lang w:eastAsia="en-GB"/>
        </w:rPr>
        <w:t xml:space="preserve">In any event, even </w:t>
      </w:r>
      <w:r w:rsidRPr="007D0231" w:rsidR="0057024C">
        <w:rPr>
          <w:lang w:eastAsia="en-GB"/>
        </w:rPr>
        <w:t>supposing</w:t>
      </w:r>
      <w:r w:rsidRPr="007D0231" w:rsidR="00322A8F">
        <w:rPr>
          <w:lang w:eastAsia="en-GB"/>
        </w:rPr>
        <w:t xml:space="preserve"> that there was interference with the applicant</w:t>
      </w:r>
      <w:r w:rsidR="00044053">
        <w:rPr>
          <w:lang w:eastAsia="en-GB"/>
        </w:rPr>
        <w:t>’</w:t>
      </w:r>
      <w:r w:rsidRPr="007D0231" w:rsidR="00322A8F">
        <w:rPr>
          <w:lang w:eastAsia="en-GB"/>
        </w:rPr>
        <w:t xml:space="preserve">s rights under Article 9 § 1, the Court considers that </w:t>
      </w:r>
      <w:r w:rsidRPr="007D0231" w:rsidR="0057024C">
        <w:rPr>
          <w:lang w:eastAsia="en-GB"/>
        </w:rPr>
        <w:t>it</w:t>
      </w:r>
      <w:r w:rsidRPr="007D0231" w:rsidR="00322A8F">
        <w:rPr>
          <w:lang w:eastAsia="en-GB"/>
        </w:rPr>
        <w:t xml:space="preserve"> was prescribed by law, was justified on grounds of the protection of the rights and freedoms of others – and in particular the public</w:t>
      </w:r>
      <w:r w:rsidR="00044053">
        <w:rPr>
          <w:lang w:eastAsia="en-GB"/>
        </w:rPr>
        <w:t>’</w:t>
      </w:r>
      <w:r w:rsidRPr="007D0231" w:rsidR="00322A8F">
        <w:rPr>
          <w:lang w:eastAsia="en-GB"/>
        </w:rPr>
        <w:t xml:space="preserve">s right to the proper administration of justice and the principle that cases be heard within a reasonable time (see paragraph 12 above) – and that it observed a reasonable relationship of proportionality between the means employed and the aim sought to be achieved (see, </w:t>
      </w:r>
      <w:r w:rsidRPr="007D0231">
        <w:rPr>
          <w:bCs/>
          <w:i/>
        </w:rPr>
        <w:t>mutatis mutandis</w:t>
      </w:r>
      <w:r w:rsidRPr="007D0231">
        <w:rPr>
          <w:bCs/>
        </w:rPr>
        <w:t xml:space="preserve">, </w:t>
      </w:r>
      <w:r w:rsidRPr="007D0231">
        <w:rPr>
          <w:i/>
        </w:rPr>
        <w:t xml:space="preserve">Casimiro </w:t>
      </w:r>
      <w:r w:rsidRPr="007D0231" w:rsidR="00322A8F">
        <w:rPr>
          <w:i/>
        </w:rPr>
        <w:t>and</w:t>
      </w:r>
      <w:r w:rsidRPr="007D0231">
        <w:rPr>
          <w:i/>
        </w:rPr>
        <w:t xml:space="preserve"> Ferreira</w:t>
      </w:r>
      <w:r w:rsidRPr="007D0231">
        <w:rPr>
          <w:rStyle w:val="ju-005fpara-002cleft-002cfirst-0020line-003a-0020-00200-0020cm--char"/>
          <w:i/>
          <w:iCs/>
        </w:rPr>
        <w:t xml:space="preserve"> </w:t>
      </w:r>
      <w:r w:rsidRPr="007D0231" w:rsidR="00322A8F">
        <w:rPr>
          <w:i/>
        </w:rPr>
        <w:t>v</w:t>
      </w:r>
      <w:r w:rsidRPr="007D0231">
        <w:rPr>
          <w:i/>
        </w:rPr>
        <w:t>. Luxembourg</w:t>
      </w:r>
      <w:r w:rsidRPr="007D0231">
        <w:t xml:space="preserve"> (d</w:t>
      </w:r>
      <w:r w:rsidRPr="007D0231" w:rsidR="00322A8F">
        <w:t>e</w:t>
      </w:r>
      <w:r w:rsidRPr="007D0231">
        <w:t xml:space="preserve">c.), </w:t>
      </w:r>
      <w:bookmarkStart w:name="HIT1" w:id="2"/>
      <w:bookmarkEnd w:id="2"/>
      <w:r w:rsidRPr="007D0231" w:rsidR="00322A8F">
        <w:t>no.</w:t>
      </w:r>
      <w:r w:rsidRPr="007D0231">
        <w:t xml:space="preserve"> </w:t>
      </w:r>
      <w:r w:rsidRPr="007D0231">
        <w:rPr>
          <w:bCs/>
        </w:rPr>
        <w:t>44888</w:t>
      </w:r>
      <w:r w:rsidRPr="007D0231">
        <w:t>/</w:t>
      </w:r>
      <w:bookmarkStart w:name="HIT2" w:id="3"/>
      <w:bookmarkEnd w:id="3"/>
      <w:r w:rsidRPr="007D0231">
        <w:rPr>
          <w:bCs/>
        </w:rPr>
        <w:t>98</w:t>
      </w:r>
      <w:r w:rsidRPr="007D0231">
        <w:t xml:space="preserve">, 27 </w:t>
      </w:r>
      <w:r w:rsidRPr="007D0231" w:rsidR="00322A8F">
        <w:t>April</w:t>
      </w:r>
      <w:r w:rsidRPr="007D0231">
        <w:t xml:space="preserve"> 1999</w:t>
      </w:r>
      <w:r w:rsidRPr="007D0231">
        <w:rPr>
          <w:bCs/>
        </w:rPr>
        <w:t>).</w:t>
      </w:r>
    </w:p>
    <w:p w:rsidRPr="007D0231" w:rsidR="001E22B7" w:rsidP="001E22B7" w:rsidRDefault="001E22B7">
      <w:pPr>
        <w:pStyle w:val="JuPara"/>
        <w:keepNext/>
        <w:keepLines/>
      </w:pPr>
      <w:r w:rsidRPr="007D0231">
        <w:fldChar w:fldCharType="begin"/>
      </w:r>
      <w:r w:rsidRPr="007D0231">
        <w:rPr>
          <w:lang w:val="fr-FR"/>
        </w:rPr>
        <w:instrText xml:space="preserve"> SEQ level0 \*arabic </w:instrText>
      </w:r>
      <w:r w:rsidRPr="007D0231">
        <w:fldChar w:fldCharType="separate"/>
      </w:r>
      <w:r w:rsidRPr="007D0231" w:rsidR="00A41717">
        <w:rPr>
          <w:noProof/>
          <w:lang w:val="fr-FR"/>
        </w:rPr>
        <w:t>39</w:t>
      </w:r>
      <w:r w:rsidRPr="007D0231">
        <w:fldChar w:fldCharType="end"/>
      </w:r>
      <w:r w:rsidRPr="007D0231">
        <w:rPr>
          <w:lang w:val="fr-FR"/>
        </w:rPr>
        <w:t>.  </w:t>
      </w:r>
      <w:r w:rsidRPr="007D0231" w:rsidR="00322A8F">
        <w:t>Accordingly</w:t>
      </w:r>
      <w:r w:rsidRPr="007D0231">
        <w:t xml:space="preserve">, </w:t>
      </w:r>
      <w:r w:rsidRPr="007D0231" w:rsidR="00322A8F">
        <w:t>there has been no</w:t>
      </w:r>
      <w:r w:rsidRPr="007D0231">
        <w:t xml:space="preserve"> violation </w:t>
      </w:r>
      <w:r w:rsidRPr="007D0231" w:rsidR="00322A8F">
        <w:t>of Article</w:t>
      </w:r>
      <w:r w:rsidRPr="007D0231">
        <w:t xml:space="preserve"> 9 </w:t>
      </w:r>
      <w:r w:rsidRPr="007D0231" w:rsidR="00322A8F">
        <w:t>of the</w:t>
      </w:r>
      <w:r w:rsidRPr="007D0231">
        <w:t xml:space="preserve"> Convention.</w:t>
      </w:r>
    </w:p>
    <w:p w:rsidRPr="007D0231" w:rsidR="001E22B7" w:rsidP="001E22B7" w:rsidRDefault="001E22B7">
      <w:pPr>
        <w:pStyle w:val="JuPara"/>
        <w:ind w:firstLine="0"/>
      </w:pPr>
      <w:r w:rsidRPr="007D0231">
        <w:t>...</w:t>
      </w:r>
    </w:p>
    <w:p w:rsidRPr="007D0231" w:rsidR="001E22B7" w:rsidP="001E22B7" w:rsidRDefault="00CD3131">
      <w:pPr>
        <w:pStyle w:val="JuHHead"/>
      </w:pPr>
      <w:r w:rsidRPr="007D0231">
        <w:t>FOR THESE REASONS</w:t>
      </w:r>
      <w:r w:rsidRPr="007D0231" w:rsidR="001E22B7">
        <w:t xml:space="preserve">, </w:t>
      </w:r>
      <w:r w:rsidRPr="007D0231">
        <w:t>THE COURT</w:t>
      </w:r>
    </w:p>
    <w:p w:rsidRPr="007D0231" w:rsidR="001E22B7" w:rsidP="001E22B7" w:rsidRDefault="001E22B7">
      <w:pPr>
        <w:pStyle w:val="JuList"/>
      </w:pPr>
      <w:r w:rsidRPr="007D0231">
        <w:t>...</w:t>
      </w:r>
    </w:p>
    <w:p w:rsidRPr="007D0231" w:rsidR="001E22B7" w:rsidP="001E22B7" w:rsidRDefault="001E22B7">
      <w:pPr>
        <w:pStyle w:val="JuList"/>
      </w:pPr>
    </w:p>
    <w:p w:rsidRPr="007D0231" w:rsidR="001E22B7" w:rsidP="001E22B7" w:rsidRDefault="001E22B7">
      <w:pPr>
        <w:pStyle w:val="JuList"/>
      </w:pPr>
      <w:r w:rsidRPr="007D0231">
        <w:rPr>
          <w:lang w:val="fr-FR"/>
        </w:rPr>
        <w:t>2.  </w:t>
      </w:r>
      <w:r w:rsidRPr="007D0231" w:rsidR="00CD3131">
        <w:rPr>
          <w:i/>
        </w:rPr>
        <w:t>Holds</w:t>
      </w:r>
      <w:r w:rsidRPr="007D0231">
        <w:rPr>
          <w:noProof/>
        </w:rPr>
        <w:t xml:space="preserve"> </w:t>
      </w:r>
      <w:r w:rsidRPr="007D0231" w:rsidR="00CD3131">
        <w:rPr>
          <w:noProof/>
        </w:rPr>
        <w:t>by four votes to three</w:t>
      </w:r>
      <w:r w:rsidRPr="007D0231">
        <w:rPr>
          <w:noProof/>
        </w:rPr>
        <w:t xml:space="preserve"> </w:t>
      </w:r>
      <w:r w:rsidRPr="007D0231" w:rsidR="00CD3131">
        <w:t>that there has been no</w:t>
      </w:r>
      <w:r w:rsidRPr="007D0231">
        <w:t xml:space="preserve"> violation </w:t>
      </w:r>
      <w:r w:rsidRPr="007D0231" w:rsidR="00CD3131">
        <w:t>of</w:t>
      </w:r>
      <w:r w:rsidRPr="007D0231">
        <w:t xml:space="preserve"> </w:t>
      </w:r>
      <w:r w:rsidRPr="007D0231" w:rsidR="00CD3131">
        <w:t>A</w:t>
      </w:r>
      <w:r w:rsidRPr="007D0231">
        <w:t>rticle</w:t>
      </w:r>
      <w:r w:rsidRPr="007D0231" w:rsidR="005C608D">
        <w:t xml:space="preserve"> </w:t>
      </w:r>
      <w:r w:rsidRPr="007D0231">
        <w:t xml:space="preserve">9 </w:t>
      </w:r>
      <w:r w:rsidRPr="007D0231" w:rsidR="00CD3131">
        <w:t>of the</w:t>
      </w:r>
      <w:r w:rsidRPr="007D0231">
        <w:t xml:space="preserve"> Convention.</w:t>
      </w:r>
    </w:p>
    <w:p w:rsidRPr="007D0231" w:rsidR="001E22B7" w:rsidP="001E22B7" w:rsidRDefault="00CD3131">
      <w:pPr>
        <w:pStyle w:val="JuParaLast"/>
      </w:pPr>
      <w:r w:rsidRPr="007D0231">
        <w:t>Done in French</w:t>
      </w:r>
      <w:r w:rsidRPr="007D0231" w:rsidR="001E22B7">
        <w:t xml:space="preserve">, </w:t>
      </w:r>
      <w:r w:rsidRPr="007D0231">
        <w:t>and notified in writing on</w:t>
      </w:r>
      <w:r w:rsidRPr="007D0231" w:rsidR="001E22B7">
        <w:t xml:space="preserve"> 3 </w:t>
      </w:r>
      <w:r w:rsidRPr="007D0231">
        <w:t>April</w:t>
      </w:r>
      <w:r w:rsidRPr="007D0231" w:rsidR="001E22B7">
        <w:t xml:space="preserve"> 2012, </w:t>
      </w:r>
      <w:r w:rsidRPr="007D0231">
        <w:t>pursuant to Rule </w:t>
      </w:r>
      <w:r w:rsidRPr="007D0231" w:rsidR="001E22B7">
        <w:t xml:space="preserve">77 §§ 2 </w:t>
      </w:r>
      <w:r w:rsidRPr="007D0231">
        <w:t>and</w:t>
      </w:r>
      <w:r w:rsidRPr="007D0231" w:rsidR="001E22B7">
        <w:t xml:space="preserve"> 3 </w:t>
      </w:r>
      <w:r w:rsidRPr="007D0231">
        <w:t>of the Rules of Court</w:t>
      </w:r>
      <w:r w:rsidRPr="007D0231" w:rsidR="001E22B7">
        <w:t>.</w:t>
      </w:r>
    </w:p>
    <w:p w:rsidRPr="007D0231" w:rsidR="001E22B7" w:rsidP="001E22B7" w:rsidRDefault="001E22B7">
      <w:pPr>
        <w:pStyle w:val="JuSigned"/>
        <w:keepNext/>
        <w:keepLines/>
        <w:tabs>
          <w:tab w:val="clear" w:pos="851"/>
          <w:tab w:val="center" w:pos="1122"/>
        </w:tabs>
        <w:rPr>
          <w:noProof/>
          <w:lang w:val="fr-FR"/>
        </w:rPr>
      </w:pPr>
      <w:r w:rsidRPr="007D0231">
        <w:rPr>
          <w:noProof/>
        </w:rPr>
        <w:tab/>
      </w:r>
      <w:r w:rsidRPr="007D0231">
        <w:rPr>
          <w:noProof/>
          <w:lang w:val="fr-FR"/>
        </w:rPr>
        <w:t>Françoise Elens-Passos</w:t>
      </w:r>
      <w:r w:rsidRPr="007D0231">
        <w:rPr>
          <w:lang w:val="fr-FR"/>
        </w:rPr>
        <w:tab/>
      </w:r>
      <w:r w:rsidRPr="007D0231">
        <w:rPr>
          <w:noProof/>
          <w:lang w:val="fr-FR"/>
        </w:rPr>
        <w:t>Françoise Tulkens</w:t>
      </w:r>
      <w:r w:rsidRPr="007D0231">
        <w:rPr>
          <w:lang w:val="fr-FR"/>
        </w:rPr>
        <w:br/>
      </w:r>
      <w:r w:rsidRPr="007D0231">
        <w:rPr>
          <w:lang w:val="fr-FR"/>
        </w:rPr>
        <w:tab/>
      </w:r>
      <w:r w:rsidRPr="007D0231" w:rsidR="00CD3131">
        <w:rPr>
          <w:noProof/>
          <w:lang w:val="fr-FR"/>
        </w:rPr>
        <w:t>Deputy Registrar</w:t>
      </w:r>
      <w:r w:rsidRPr="007D0231">
        <w:rPr>
          <w:lang w:val="fr-FR"/>
        </w:rPr>
        <w:tab/>
      </w:r>
      <w:r w:rsidRPr="007D0231">
        <w:rPr>
          <w:noProof/>
          <w:lang w:val="fr-FR"/>
        </w:rPr>
        <w:t>Pr</w:t>
      </w:r>
      <w:r w:rsidRPr="007D0231" w:rsidR="00CD3131">
        <w:rPr>
          <w:noProof/>
          <w:lang w:val="fr-FR"/>
        </w:rPr>
        <w:t>esident</w:t>
      </w:r>
      <w:r w:rsidRPr="007D0231">
        <w:rPr>
          <w:noProof/>
          <w:lang w:val="fr-FR"/>
        </w:rPr>
        <w:br/>
      </w:r>
    </w:p>
    <w:p w:rsidRPr="007D0231" w:rsidR="00CD3131" w:rsidP="00CD3131" w:rsidRDefault="00CD3131">
      <w:pPr>
        <w:pStyle w:val="JuParaLast"/>
      </w:pPr>
      <w:r w:rsidRPr="007D0231">
        <w:t>In accordance with Article 45 § 2 of the Convention and Rule 74 § 2 of the Rules of Court, the joint separate opinion of Judges Tulkens, Popović and Keller is annexed to this judgment.</w:t>
      </w:r>
    </w:p>
    <w:p w:rsidRPr="007D0231" w:rsidR="005E0826" w:rsidP="001E22B7" w:rsidRDefault="001E22B7">
      <w:pPr>
        <w:pStyle w:val="JuInitialled"/>
        <w:rPr>
          <w:lang w:val="en-US"/>
        </w:rPr>
        <w:sectPr w:rsidRPr="007D0231" w:rsidR="005E0826" w:rsidSect="000404C3">
          <w:headerReference w:type="even" r:id="rId10"/>
          <w:headerReference w:type="default" r:id="rId11"/>
          <w:footnotePr>
            <w:numRestart w:val="eachPage"/>
          </w:footnotePr>
          <w:pgSz w:w="11906" w:h="16838" w:code="9"/>
          <w:pgMar w:top="2274" w:right="2274" w:bottom="2274" w:left="2274" w:header="1701" w:footer="720" w:gutter="0"/>
          <w:pgNumType w:start="1"/>
          <w:cols w:space="720"/>
          <w:docGrid w:linePitch="326"/>
        </w:sectPr>
      </w:pPr>
      <w:r w:rsidRPr="007D0231">
        <w:rPr>
          <w:lang w:val="en-US"/>
        </w:rPr>
        <w:t>F.T.</w:t>
      </w:r>
      <w:r w:rsidRPr="007D0231">
        <w:rPr>
          <w:lang w:val="en-US"/>
        </w:rPr>
        <w:br/>
        <w:t>F.E.P.</w:t>
      </w:r>
    </w:p>
    <w:p w:rsidRPr="007D0231" w:rsidR="005E0826" w:rsidP="005E0826" w:rsidRDefault="005E0826">
      <w:pPr>
        <w:pStyle w:val="OpiHHead"/>
      </w:pPr>
      <w:r w:rsidRPr="007D0231">
        <w:t>JOINT DISSENTING OPINION OF JUDGES</w:t>
      </w:r>
      <w:r w:rsidRPr="007D0231">
        <w:br/>
        <w:t>TULKENS, POPOVIĆ AND KELLER</w:t>
      </w:r>
    </w:p>
    <w:p w:rsidRPr="007D0231" w:rsidR="005E0826" w:rsidP="005E0826" w:rsidRDefault="005E0826">
      <w:pPr>
        <w:pStyle w:val="OpiTranslation"/>
        <w:rPr>
          <w:i w:val="0"/>
        </w:rPr>
      </w:pPr>
      <w:r w:rsidRPr="007D0231">
        <w:t>(Translation)</w:t>
      </w:r>
    </w:p>
    <w:p w:rsidRPr="007D0231" w:rsidR="005E0826" w:rsidP="005E0826" w:rsidRDefault="005E0826">
      <w:pPr>
        <w:pStyle w:val="OpiPara"/>
      </w:pPr>
      <w:r w:rsidRPr="007D0231">
        <w:t>We do not share the position of the majority that there has been no violation of Article 9 of the Convention in the present case. We will explain our reasons below.</w:t>
      </w:r>
    </w:p>
    <w:p w:rsidRPr="007D0231" w:rsidR="005E0826" w:rsidP="005E0826" w:rsidRDefault="005E0826">
      <w:pPr>
        <w:pStyle w:val="OpiPara"/>
      </w:pPr>
      <w:r w:rsidRPr="007D0231">
        <w:t>1.  The facts of the case are relatively straightforward. In his capacity as a lawyer</w:t>
      </w:r>
      <w:r w:rsidRPr="007D0231" w:rsidR="008A3BFE">
        <w:t>,</w:t>
      </w:r>
      <w:r w:rsidRPr="007D0231">
        <w:t xml:space="preserve"> the applicant represented one of the two civil parties in a set of criminal proceedings against certain banks. On 7 June 2005 he appeared before the investigating judge at a hearing concerning the production of evidence. The judge in charge of the case was prevented from sitting and his replacement invited the parties to choose between two dates for the adjourned hearing – 13 and 18 October 2005 – in accordance with the timetable already drawn up by the judge in charge of the case. The applicant pointed out that both the proposed dates coincided with Jewish religious holidays (Yom Kippur and Sukkot respectively). The judge nevertheless scheduled the hearing for 13 October 2005.</w:t>
      </w:r>
    </w:p>
    <w:p w:rsidRPr="007D0231" w:rsidR="005E0826" w:rsidP="005E0826" w:rsidRDefault="005E0826">
      <w:pPr>
        <w:pStyle w:val="OpiPara"/>
      </w:pPr>
      <w:r w:rsidRPr="007D0231">
        <w:t>2.  On the same day, 7 June 2005, the applicant lodged an application with the judge in charge of the case for the hearing to be adjourned. On 20 June 2005 the latter added the application to the case file without ruling on it.</w:t>
      </w:r>
    </w:p>
    <w:p w:rsidRPr="007D0231" w:rsidR="005E0826" w:rsidP="005E0826" w:rsidRDefault="005E0826">
      <w:pPr>
        <w:pStyle w:val="OpiPara"/>
      </w:pPr>
      <w:r w:rsidRPr="007D0231">
        <w:t>3.  At the hearing on 13 October 2005 the judge observed that the applicant was absent for “personal reasons”. After consulting the prosecution and counsel for the defendants, he rejected the application to adjourn the case made by the applicant on 7 June 2005, although counsel for the other civil party had supported the application.</w:t>
      </w:r>
    </w:p>
    <w:p w:rsidRPr="007D0231" w:rsidR="005E0826" w:rsidP="005E0826" w:rsidRDefault="005E0826">
      <w:pPr>
        <w:pStyle w:val="OpiPara"/>
      </w:pPr>
      <w:r w:rsidRPr="007D0231">
        <w:t>4.  The Court</w:t>
      </w:r>
      <w:r w:rsidR="00044053">
        <w:t>’</w:t>
      </w:r>
      <w:r w:rsidRPr="007D0231">
        <w:t xml:space="preserve">s assessment is based on rather brief reasoning which, viewed in terms of both its aspects (the existence of interference and proportionality), appears to us to raise issues as regards </w:t>
      </w:r>
      <w:r w:rsidRPr="007D0231" w:rsidR="001C5FF6">
        <w:t>freedom of religion, which “is ...</w:t>
      </w:r>
      <w:r w:rsidRPr="007D0231">
        <w:t xml:space="preserve"> one of the most vital elements that go to make up the identity of believers and</w:t>
      </w:r>
      <w:r w:rsidRPr="007D0231" w:rsidR="001C5FF6">
        <w:t xml:space="preserve"> their conception of life, but ...</w:t>
      </w:r>
      <w:r w:rsidRPr="007D0231">
        <w:t xml:space="preserve"> is also a precious asset for atheists, agnostics, sceptics and t</w:t>
      </w:r>
      <w:r w:rsidRPr="007D0231" w:rsidR="001C5FF6">
        <w:t>he unconcerned ...</w:t>
      </w:r>
      <w:r w:rsidRPr="007D0231">
        <w:t xml:space="preserve"> and entails, </w:t>
      </w:r>
      <w:r w:rsidRPr="007D0231">
        <w:rPr>
          <w:i/>
        </w:rPr>
        <w:t>inter alia</w:t>
      </w:r>
      <w:r w:rsidRPr="007D0231">
        <w:t>, freedom to hold or not to hold religious beliefs and to practise or not to practise a religion”</w:t>
      </w:r>
      <w:r w:rsidRPr="007D0231">
        <w:rPr>
          <w:rStyle w:val="FootnoteReference"/>
        </w:rPr>
        <w:footnoteReference w:id="1"/>
      </w:r>
      <w:r w:rsidRPr="007D0231">
        <w:t>.</w:t>
      </w:r>
    </w:p>
    <w:p w:rsidRPr="007D0231" w:rsidR="005E0826" w:rsidP="00B342BC" w:rsidRDefault="005E0826">
      <w:pPr>
        <w:pStyle w:val="OpiHA"/>
      </w:pPr>
      <w:r w:rsidRPr="007D0231">
        <w:t>Existence of interference</w:t>
      </w:r>
    </w:p>
    <w:p w:rsidRPr="007D0231" w:rsidR="005E0826" w:rsidP="005E0826" w:rsidRDefault="005E0826">
      <w:pPr>
        <w:pStyle w:val="OpiPara"/>
      </w:pPr>
      <w:r w:rsidRPr="007D0231">
        <w:t>5.  The majority first consider that there was no interference with the applicant</w:t>
      </w:r>
      <w:r w:rsidR="00044053">
        <w:t>’</w:t>
      </w:r>
      <w:r w:rsidRPr="007D0231">
        <w:t>s rights under Article 9 of the Convention. They observe that the decision by the investigating judge not to allow the applicant</w:t>
      </w:r>
      <w:r w:rsidR="00044053">
        <w:t>’</w:t>
      </w:r>
      <w:r w:rsidRPr="007D0231">
        <w:t>s request for an adjournment was based on the provisions of the Code of Criminal Procedure according to which hearings concerning the immediate production of evidence take place in private and the public prosecutor and counsel for the defendant must be present. The majority infer from this that the presence of counsel for the complainant was therefore not required (see paragraph 36 of the judgment) and that, accordingly, the fact that the case was set down for hearing on a date which coincided with a Jewish holiday, and the refusal to adjourn it to a later date, did not amount to a restriction on the applicant</w:t>
      </w:r>
      <w:r w:rsidR="00044053">
        <w:t>’</w:t>
      </w:r>
      <w:r w:rsidRPr="007D0231">
        <w:t>s right to practise his religion freely (see the first sub</w:t>
      </w:r>
      <w:r w:rsidRPr="007D0231">
        <w:noBreakHyphen/>
        <w:t>paragraph of paragraph 37 of the judgment).</w:t>
      </w:r>
    </w:p>
    <w:p w:rsidRPr="007D0231" w:rsidR="005E0826" w:rsidP="005E0826" w:rsidRDefault="005E0826">
      <w:pPr>
        <w:pStyle w:val="OpiPara"/>
      </w:pPr>
      <w:r w:rsidRPr="007D0231">
        <w:t>6.  We cannot subscribe to this reasoning. Although Article 401 of the Code of Criminal Procedure states that the attendance of the public prosecutor and counsel for the defendant is compulsory, it also states that “</w:t>
      </w:r>
      <w:r w:rsidRPr="007D0231" w:rsidR="00CC096F">
        <w:t>[</w:t>
      </w:r>
      <w:r w:rsidRPr="007D0231">
        <w:t>c</w:t>
      </w:r>
      <w:r w:rsidRPr="007D0231" w:rsidR="00CC096F">
        <w:t>]</w:t>
      </w:r>
      <w:proofErr w:type="spellStart"/>
      <w:r w:rsidRPr="007D0231">
        <w:t>ouns</w:t>
      </w:r>
      <w:r w:rsidRPr="007D0231" w:rsidR="00A10039">
        <w:t>el</w:t>
      </w:r>
      <w:proofErr w:type="spellEnd"/>
      <w:r w:rsidRPr="007D0231" w:rsidR="00A10039">
        <w:t xml:space="preserve"> for the injured party shall ...</w:t>
      </w:r>
      <w:r w:rsidRPr="007D0231">
        <w:t xml:space="preserve"> have the option of attending”. It is therefore up to the lawyer and no one else to decide, with an eye to his or her client</w:t>
      </w:r>
      <w:r w:rsidR="00044053">
        <w:t>’</w:t>
      </w:r>
      <w:r w:rsidRPr="007D0231">
        <w:t>s interests, whether or not to take advantage of this option; the judicial authorities may not interfere in the exercise of individuals</w:t>
      </w:r>
      <w:r w:rsidR="00044053">
        <w:t>’</w:t>
      </w:r>
      <w:r w:rsidRPr="007D0231">
        <w:t xml:space="preserve"> defence rights or presume that the attendance of counsel is not required.</w:t>
      </w:r>
    </w:p>
    <w:p w:rsidRPr="007D0231" w:rsidR="005E0826" w:rsidP="005E0826" w:rsidRDefault="005E0826">
      <w:pPr>
        <w:pStyle w:val="OpiPara"/>
      </w:pPr>
      <w:r w:rsidRPr="007D0231">
        <w:t>7.  In support of their argument the majority further note, curiously, that the applicant did not demonstrate that any pressure had been exerted on him to make him change his religious beliefs or to prevent him from manifesting his religion or beliefs (see the second sub-paragraph of paragraph 37 of the judgment). It seems to us to be contrary to the enjoyment of freedom of religion guaranteed by Article 9 of the Convention for the exercise of that freedom, in either its internal or external aspect, to be subordinated to or even made conditional upon the furnishing of evidence by the applicant of the pressure to which he was allegedly subjected.</w:t>
      </w:r>
    </w:p>
    <w:p w:rsidRPr="007D0231" w:rsidR="005E0826" w:rsidP="00B342BC" w:rsidRDefault="005E0826">
      <w:pPr>
        <w:pStyle w:val="OpiHA"/>
      </w:pPr>
      <w:r w:rsidRPr="007D0231">
        <w:t>Relationship of proportionality</w:t>
      </w:r>
    </w:p>
    <w:p w:rsidRPr="007D0231" w:rsidR="005E0826" w:rsidP="005E0826" w:rsidRDefault="005E0826">
      <w:pPr>
        <w:pStyle w:val="OpiPara"/>
      </w:pPr>
      <w:r w:rsidRPr="007D0231">
        <w:t>8.  Next, the majority consider that, even supposing that there was interference with the applicant</w:t>
      </w:r>
      <w:r w:rsidR="00044053">
        <w:t>’</w:t>
      </w:r>
      <w:r w:rsidRPr="007D0231">
        <w:t>s rights under Article 9 § 1 of the Convention, it was justified on</w:t>
      </w:r>
      <w:r w:rsidR="00B342BC">
        <w:t xml:space="preserve"> the ground</w:t>
      </w:r>
      <w:r w:rsidRPr="007D0231">
        <w:t xml:space="preserve"> of the protection of the rights and freedoms of others, namely the public</w:t>
      </w:r>
      <w:r w:rsidR="00044053">
        <w:t>’</w:t>
      </w:r>
      <w:r w:rsidRPr="007D0231">
        <w:t>s right to the proper administration of justice, and that there was a reasonable relationship of proportionality between the means employed and the aim sought to be achieved. We do not agree.</w:t>
      </w:r>
    </w:p>
    <w:p w:rsidR="00044053" w:rsidP="005E0826" w:rsidRDefault="005E0826">
      <w:pPr>
        <w:pStyle w:val="OpiPara"/>
      </w:pPr>
      <w:r w:rsidRPr="007D0231">
        <w:t xml:space="preserve">9.  As to the proportionality requirement, which is the </w:t>
      </w:r>
      <w:smartTag w:uri="urn:schemas-microsoft-com:office:smarttags" w:element="PersonName">
        <w:r w:rsidRPr="007D0231">
          <w:t>test</w:t>
        </w:r>
      </w:smartTag>
      <w:r w:rsidRPr="007D0231">
        <w:t xml:space="preserve"> of whether the interference was necessary in a democratic society, the Court</w:t>
      </w:r>
      <w:r w:rsidR="00044053">
        <w:t>’</w:t>
      </w:r>
      <w:r w:rsidRPr="007D0231">
        <w:t>s case-law is very clear: for a measure to be proportionate, the authorities, when choosing between several possible means of achieving the legitimate aim pursued, must opt for the measure that is least restrictive of rights and freedoms</w:t>
      </w:r>
      <w:r w:rsidRPr="007D0231">
        <w:rPr>
          <w:rStyle w:val="FootnoteReference"/>
        </w:rPr>
        <w:footnoteReference w:id="2"/>
      </w:r>
      <w:r w:rsidRPr="007D0231">
        <w:t>. From that standpoint, seeking a reasonable accommodation of the situation in issue may, in some circumstances, constitute a less restrictive means of achieving the aim pursued</w:t>
      </w:r>
      <w:r w:rsidRPr="007D0231">
        <w:rPr>
          <w:rStyle w:val="FootnoteReference"/>
        </w:rPr>
        <w:footnoteReference w:id="3"/>
      </w:r>
      <w:r w:rsidRPr="007D0231">
        <w:t>.</w:t>
      </w:r>
    </w:p>
    <w:p w:rsidRPr="007D0231" w:rsidR="005E0826" w:rsidP="005E0826" w:rsidRDefault="005E0826">
      <w:pPr>
        <w:pStyle w:val="OpiPara"/>
      </w:pPr>
      <w:r w:rsidRPr="007D0231">
        <w:t xml:space="preserve">10.  In the present case we believe that the conditions were met for attempting to reach a </w:t>
      </w:r>
      <w:r w:rsidRPr="007D0231">
        <w:rPr>
          <w:i/>
        </w:rPr>
        <w:t>reasonable accommodation</w:t>
      </w:r>
      <w:r w:rsidRPr="007D0231">
        <w:t xml:space="preserve"> of the situation, that is to say, one that did not impose a disproportionate burden on the judicial authorities. By dint of a few concessions, this would have made it possible to avoid interfering with the applicant</w:t>
      </w:r>
      <w:r w:rsidR="00044053">
        <w:t>’</w:t>
      </w:r>
      <w:r w:rsidRPr="007D0231">
        <w:t>s religious freedom without compromising the achievement of the clearly legitimate aim of ensuring the proper administration of justice.</w:t>
      </w:r>
    </w:p>
    <w:p w:rsidRPr="007D0231" w:rsidR="005E0826" w:rsidP="005E0826" w:rsidRDefault="005E0826">
      <w:pPr>
        <w:pStyle w:val="OpiPara"/>
      </w:pPr>
      <w:r w:rsidRPr="007D0231">
        <w:t xml:space="preserve">11.  First of all, </w:t>
      </w:r>
      <w:r w:rsidRPr="007D0231" w:rsidR="00B342BC">
        <w:t>as soon as the date of the hearing was set,</w:t>
      </w:r>
      <w:r w:rsidR="00B342BC">
        <w:t xml:space="preserve"> </w:t>
      </w:r>
      <w:r w:rsidRPr="007D0231">
        <w:t>the applicant drew attention to the difficulty it presented for him, and requested an adjournment. He therefore notified the judicial authorities four months in advance, giving them a reasonable opportunity to organise the timetable of hearings in order to ensure that the various rights at stake were respected.</w:t>
      </w:r>
    </w:p>
    <w:p w:rsidRPr="007D0231" w:rsidR="005E0826" w:rsidP="005E0826" w:rsidRDefault="005E0826">
      <w:pPr>
        <w:pStyle w:val="OpiPara"/>
        <w:rPr>
          <w:szCs w:val="24"/>
        </w:rPr>
      </w:pPr>
      <w:r w:rsidRPr="007D0231">
        <w:t>12</w:t>
      </w:r>
      <w:r w:rsidRPr="007D0231">
        <w:rPr>
          <w:szCs w:val="24"/>
        </w:rPr>
        <w:t xml:space="preserve">.  By converse implication, the decision in </w:t>
      </w:r>
      <w:r w:rsidRPr="007D0231">
        <w:rPr>
          <w:i/>
          <w:szCs w:val="24"/>
        </w:rPr>
        <w:t>S.H. and H.V. v. Austria</w:t>
      </w:r>
      <w:r w:rsidRPr="007D0231">
        <w:rPr>
          <w:szCs w:val="24"/>
        </w:rPr>
        <w:t xml:space="preserve"> (no. 18960/91, Commission decision of 13 January 1993) seems to us to acknowledge the force of this argument. The applicants, who were practising members of the Jewish faith, criticised the refusal of an Austrian court to grant their request for a hearing in a case concerning them to be adjourned on the grounds that the date set coincided with an important Jewish holiday. The Commission found that, had the applicants, on learning of the date of the hearing, duly informed the court that it presented them with a problem for religious reasons, the court would have had to set a new date. In that case, however, the applicants had reacted too late: although they had been informed on 30 May that the hearing would take place on 4 October, they had not written to the court until 25 September in order to request an adjournment. In view of the complexity of the proceedings, which involved a large number of persons, and the fact that the request had been made at short notice, the Commission held that the court</w:t>
      </w:r>
      <w:r w:rsidR="00044053">
        <w:rPr>
          <w:szCs w:val="24"/>
        </w:rPr>
        <w:t>’</w:t>
      </w:r>
      <w:r w:rsidRPr="007D0231">
        <w:rPr>
          <w:szCs w:val="24"/>
        </w:rPr>
        <w:t>s decision had not been unreasonable.</w:t>
      </w:r>
    </w:p>
    <w:p w:rsidRPr="007D0231" w:rsidR="005E0826" w:rsidP="005E0826" w:rsidRDefault="005E0826">
      <w:pPr>
        <w:pStyle w:val="OpiPara"/>
      </w:pPr>
      <w:r w:rsidRPr="007D0231">
        <w:t>13.  Next, it has not been demonstrated in the instant case that the applicant</w:t>
      </w:r>
      <w:r w:rsidR="00044053">
        <w:t>’</w:t>
      </w:r>
      <w:r w:rsidRPr="007D0231">
        <w:t>s request, had it been granted, would have caused such a degree of disruption to the functioning of the public judicial service. This is what we might refer to as the public</w:t>
      </w:r>
      <w:r w:rsidRPr="007D0231" w:rsidR="00FA056B">
        <w:t>-</w:t>
      </w:r>
      <w:r w:rsidRPr="007D0231">
        <w:t xml:space="preserve">service disturbance </w:t>
      </w:r>
      <w:smartTag w:uri="urn:schemas-microsoft-com:office:smarttags" w:element="PersonName">
        <w:r w:rsidRPr="007D0231">
          <w:t>test</w:t>
        </w:r>
      </w:smartTag>
      <w:r w:rsidRPr="007D0231">
        <w:t>. The reasonable-time requirement relied on by the Italian judge in refusing the applicant</w:t>
      </w:r>
      <w:r w:rsidR="00044053">
        <w:t>’</w:t>
      </w:r>
      <w:r w:rsidRPr="007D0231">
        <w:t>s request is undoubtedly legitimate but, in the absence of any further explanation, appears in this case to be more in the nature of an excuse. Of course, the requested adjournment might have caused some administrative inconvenience stemming, for instance, from the need to inform the parties involved of the new date for the hearing. But this seems to us to be minimal and should perhaps be seen as the small price to be paid in order to ensure respect for freedom of religion in a multicultural society</w:t>
      </w:r>
      <w:r w:rsidRPr="007D0231">
        <w:rPr>
          <w:rStyle w:val="FootnoteReference"/>
        </w:rPr>
        <w:footnoteReference w:id="4"/>
      </w:r>
      <w:r w:rsidRPr="007D0231">
        <w:t>.</w:t>
      </w:r>
    </w:p>
    <w:p w:rsidRPr="007D0231" w:rsidR="005E0826" w:rsidP="005E0826" w:rsidRDefault="005E0826">
      <w:pPr>
        <w:pStyle w:val="OpiPara"/>
      </w:pPr>
      <w:r w:rsidRPr="007D0231">
        <w:t>14.  Lastly, it is not apparent from the case file that the hearing in question was urgent, as it did not relate to a detention measure or to persons in detention. Had that been the case it would have been for the applicant to make some concessions, for instance by arranging to be replaced at the hearing.</w:t>
      </w:r>
    </w:p>
    <w:p w:rsidRPr="009A173F" w:rsidR="001E22B7" w:rsidP="00B342BC" w:rsidRDefault="005E0826">
      <w:pPr>
        <w:pStyle w:val="OpiPara"/>
      </w:pPr>
      <w:r w:rsidRPr="007D0231">
        <w:t>15.  In these circumstances, and given that the authorities have furnished no evidence that they took the reasonable steps required to ensure respect for the applicant</w:t>
      </w:r>
      <w:r w:rsidR="00044053">
        <w:t>’</w:t>
      </w:r>
      <w:r w:rsidRPr="007D0231">
        <w:t>s right to freedom of religion under Article 9 of the Convention, we are of the view that there has been a violation of that provision.</w:t>
      </w:r>
    </w:p>
    <w:sectPr w:rsidRPr="009A173F" w:rsidR="001E22B7" w:rsidSect="005E0826">
      <w:headerReference w:type="even" r:id="rId12"/>
      <w:headerReference w:type="default" r:id="rId13"/>
      <w:footnotePr>
        <w:numRestart w:val="eachPage"/>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5DA" w:rsidRDefault="00AB05DA">
      <w:r>
        <w:separator/>
      </w:r>
    </w:p>
  </w:endnote>
  <w:endnote w:type="continuationSeparator" w:id="0">
    <w:p w:rsidR="00AB05DA" w:rsidRDefault="00AB0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4CF" w:rsidRPr="00150BFA" w:rsidRDefault="008E54CF" w:rsidP="000404C3">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pt;height:33pt">
          <v:imagedata r:id="rId1" o:title="DocFooter-03"/>
        </v:shape>
      </w:pict>
    </w:r>
  </w:p>
  <w:p w:rsidR="008E54CF" w:rsidRDefault="008E54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5DA" w:rsidRDefault="00AB05DA">
      <w:r>
        <w:separator/>
      </w:r>
    </w:p>
  </w:footnote>
  <w:footnote w:type="continuationSeparator" w:id="0">
    <w:p w:rsidR="00AB05DA" w:rsidRDefault="00AB05DA">
      <w:r>
        <w:continuationSeparator/>
      </w:r>
    </w:p>
  </w:footnote>
  <w:footnote w:id="1">
    <w:p w:rsidR="008E54CF" w:rsidRPr="00843AC7" w:rsidRDefault="008E54CF" w:rsidP="005E0826">
      <w:pPr>
        <w:pStyle w:val="FootnoteText"/>
      </w:pPr>
      <w:r w:rsidRPr="0027237F">
        <w:rPr>
          <w:rStyle w:val="FootnoteReference"/>
          <w:vertAlign w:val="baseline"/>
        </w:rPr>
        <w:footnoteRef/>
      </w:r>
      <w:r w:rsidR="0027237F">
        <w:t>.</w:t>
      </w:r>
      <w:r w:rsidRPr="00083C74">
        <w:t>  </w:t>
      </w:r>
      <w:r w:rsidRPr="007D0231">
        <w:t xml:space="preserve">See </w:t>
      </w:r>
      <w:proofErr w:type="spellStart"/>
      <w:r w:rsidRPr="007D0231">
        <w:rPr>
          <w:i/>
        </w:rPr>
        <w:t>Bayatyan</w:t>
      </w:r>
      <w:proofErr w:type="spellEnd"/>
      <w:r w:rsidRPr="007D0231">
        <w:rPr>
          <w:i/>
        </w:rPr>
        <w:t xml:space="preserve"> v. </w:t>
      </w:r>
      <w:smartTag w:uri="urn:schemas-microsoft-com:office:smarttags" w:element="place">
        <w:smartTag w:uri="urn:schemas-microsoft-com:office:smarttags" w:element="country-region">
          <w:r w:rsidRPr="007D0231">
            <w:rPr>
              <w:i/>
            </w:rPr>
            <w:t>Armenia</w:t>
          </w:r>
        </w:smartTag>
      </w:smartTag>
      <w:r w:rsidRPr="007D0231">
        <w:rPr>
          <w:i/>
        </w:rPr>
        <w:t xml:space="preserve"> </w:t>
      </w:r>
      <w:r w:rsidRPr="007D0231">
        <w:t xml:space="preserve">[GC], no. 23459/03, § 118, ECHR 2011. See also, among other authorities, </w:t>
      </w:r>
      <w:r w:rsidRPr="007D0231">
        <w:rPr>
          <w:rStyle w:val="ju--005fpara----char--char"/>
          <w:i/>
          <w:iCs/>
        </w:rPr>
        <w:t xml:space="preserve">Kokkinakis v. </w:t>
      </w:r>
      <w:smartTag w:uri="urn:schemas-microsoft-com:office:smarttags" w:element="place">
        <w:smartTag w:uri="urn:schemas-microsoft-com:office:smarttags" w:element="country-region">
          <w:r w:rsidRPr="007D0231">
            <w:rPr>
              <w:rStyle w:val="ju--005fpara----char--char"/>
              <w:i/>
              <w:iCs/>
            </w:rPr>
            <w:t>Greece</w:t>
          </w:r>
        </w:smartTag>
      </w:smartTag>
      <w:r w:rsidRPr="007D0231">
        <w:t xml:space="preserve">, 25 May 1993, § 31, Series A no. 260-A, and </w:t>
      </w:r>
      <w:proofErr w:type="spellStart"/>
      <w:r w:rsidRPr="007D0231">
        <w:rPr>
          <w:rStyle w:val="ju--005fpara----char--char"/>
          <w:i/>
          <w:iCs/>
        </w:rPr>
        <w:t>Buscarini</w:t>
      </w:r>
      <w:proofErr w:type="spellEnd"/>
      <w:r w:rsidRPr="007D0231">
        <w:rPr>
          <w:rStyle w:val="ju--005fpara----char--char"/>
          <w:i/>
          <w:iCs/>
        </w:rPr>
        <w:t xml:space="preserve"> and Others v. San Marino</w:t>
      </w:r>
      <w:r w:rsidRPr="007D0231">
        <w:rPr>
          <w:rStyle w:val="ju--005fpara----char--char"/>
          <w:iCs/>
        </w:rPr>
        <w:t xml:space="preserve"> [GC], </w:t>
      </w:r>
      <w:r w:rsidRPr="007D0231">
        <w:t xml:space="preserve">no. 24645/94, § 34, </w:t>
      </w:r>
      <w:r w:rsidRPr="007D0231">
        <w:rPr>
          <w:rStyle w:val="ju--005fpara----char--char"/>
          <w:iCs/>
        </w:rPr>
        <w:t>ECHR 1999-I</w:t>
      </w:r>
      <w:r w:rsidRPr="00843AC7">
        <w:t>.</w:t>
      </w:r>
    </w:p>
  </w:footnote>
  <w:footnote w:id="2">
    <w:p w:rsidR="008E54CF" w:rsidRPr="007D0231" w:rsidRDefault="008E54CF" w:rsidP="005E0826">
      <w:pPr>
        <w:pStyle w:val="FootnoteText"/>
        <w:rPr>
          <w:lang w:val="fr-FR"/>
        </w:rPr>
      </w:pPr>
      <w:r w:rsidRPr="00637639">
        <w:rPr>
          <w:rStyle w:val="FootnoteReference"/>
          <w:vertAlign w:val="baseline"/>
        </w:rPr>
        <w:footnoteRef/>
      </w:r>
      <w:r>
        <w:rPr>
          <w:lang w:val="fr-FR"/>
        </w:rPr>
        <w:t>.</w:t>
      </w:r>
      <w:r w:rsidRPr="00637639">
        <w:rPr>
          <w:lang w:val="fr-FR"/>
        </w:rPr>
        <w:t>  </w:t>
      </w:r>
      <w:r w:rsidRPr="007D0231">
        <w:rPr>
          <w:lang w:val="fr-FR"/>
        </w:rPr>
        <w:t xml:space="preserve">S. </w:t>
      </w:r>
      <w:r w:rsidRPr="007D0231">
        <w:rPr>
          <w:smallCaps/>
          <w:lang w:val="fr-FR"/>
        </w:rPr>
        <w:t>V</w:t>
      </w:r>
      <w:r w:rsidRPr="007D0231">
        <w:rPr>
          <w:lang w:val="fr-FR"/>
        </w:rPr>
        <w:t>an</w:t>
      </w:r>
      <w:r w:rsidRPr="007D0231">
        <w:rPr>
          <w:smallCaps/>
          <w:lang w:val="fr-FR"/>
        </w:rPr>
        <w:t xml:space="preserve"> </w:t>
      </w:r>
      <w:proofErr w:type="spellStart"/>
      <w:r w:rsidRPr="007D0231">
        <w:rPr>
          <w:smallCaps/>
          <w:lang w:val="fr-FR"/>
        </w:rPr>
        <w:t>D</w:t>
      </w:r>
      <w:r w:rsidRPr="007D0231">
        <w:rPr>
          <w:lang w:val="fr-FR"/>
        </w:rPr>
        <w:t>rooghenbroeck</w:t>
      </w:r>
      <w:proofErr w:type="spellEnd"/>
      <w:r w:rsidRPr="007D0231">
        <w:rPr>
          <w:lang w:val="fr-FR"/>
        </w:rPr>
        <w:t xml:space="preserve">, </w:t>
      </w:r>
      <w:r w:rsidRPr="007D0231">
        <w:rPr>
          <w:i/>
          <w:lang w:val="fr-FR"/>
        </w:rPr>
        <w:t xml:space="preserve">La </w:t>
      </w:r>
      <w:r w:rsidR="00F31563" w:rsidRPr="007D0231">
        <w:rPr>
          <w:i/>
          <w:lang w:val="fr-FR"/>
        </w:rPr>
        <w:t>P</w:t>
      </w:r>
      <w:r w:rsidRPr="007D0231">
        <w:rPr>
          <w:i/>
          <w:lang w:val="fr-FR"/>
        </w:rPr>
        <w:t>roportionnalité dans le droit de la Convention européenne des droits de l’homme. Prendre l’idée simple au sérieux</w:t>
      </w:r>
      <w:r w:rsidRPr="007D0231">
        <w:rPr>
          <w:lang w:val="fr-FR"/>
        </w:rPr>
        <w:t xml:space="preserve">, Brussels, </w:t>
      </w:r>
      <w:proofErr w:type="spellStart"/>
      <w:r w:rsidRPr="007D0231">
        <w:rPr>
          <w:lang w:val="fr-FR"/>
        </w:rPr>
        <w:t>Bruylant</w:t>
      </w:r>
      <w:proofErr w:type="spellEnd"/>
      <w:r w:rsidRPr="007D0231">
        <w:rPr>
          <w:lang w:val="fr-FR"/>
        </w:rPr>
        <w:t>, Publications des Facultés universitaires Saint-Louis, 2001, pp. 190-219.</w:t>
      </w:r>
    </w:p>
  </w:footnote>
  <w:footnote w:id="3">
    <w:p w:rsidR="008E54CF" w:rsidRPr="00637639" w:rsidRDefault="008E54CF" w:rsidP="005E0826">
      <w:pPr>
        <w:pStyle w:val="FootnoteText"/>
      </w:pPr>
      <w:r w:rsidRPr="007D0231">
        <w:rPr>
          <w:rStyle w:val="FootnoteReference"/>
          <w:vertAlign w:val="baseline"/>
        </w:rPr>
        <w:footnoteRef/>
      </w:r>
      <w:r w:rsidRPr="007D0231">
        <w:rPr>
          <w:lang w:val="fr-FR"/>
        </w:rPr>
        <w:t>.  </w:t>
      </w:r>
      <w:smartTag w:uri="urn:schemas-microsoft-com:office:smarttags" w:element="place">
        <w:r w:rsidRPr="007D0231">
          <w:t xml:space="preserve">E. </w:t>
        </w:r>
        <w:proofErr w:type="spellStart"/>
        <w:r w:rsidRPr="007D0231">
          <w:rPr>
            <w:smallCaps/>
          </w:rPr>
          <w:t>B</w:t>
        </w:r>
        <w:r w:rsidRPr="007D0231">
          <w:t>ribosia</w:t>
        </w:r>
      </w:smartTag>
      <w:proofErr w:type="spellEnd"/>
      <w:r w:rsidRPr="007D0231">
        <w:t xml:space="preserve">, J. </w:t>
      </w:r>
      <w:proofErr w:type="spellStart"/>
      <w:r w:rsidRPr="007D0231">
        <w:rPr>
          <w:smallCaps/>
        </w:rPr>
        <w:t>R</w:t>
      </w:r>
      <w:r w:rsidRPr="007D0231">
        <w:t>ingelheim</w:t>
      </w:r>
      <w:proofErr w:type="spellEnd"/>
      <w:r w:rsidRPr="007D0231">
        <w:t xml:space="preserve"> and I. </w:t>
      </w:r>
      <w:proofErr w:type="spellStart"/>
      <w:r w:rsidRPr="007D0231">
        <w:rPr>
          <w:smallCaps/>
        </w:rPr>
        <w:t>R</w:t>
      </w:r>
      <w:r w:rsidRPr="007D0231">
        <w:t>orive</w:t>
      </w:r>
      <w:proofErr w:type="spellEnd"/>
      <w:r w:rsidRPr="007D0231">
        <w:t>, “</w:t>
      </w:r>
      <w:proofErr w:type="spellStart"/>
      <w:r w:rsidRPr="007D0231">
        <w:t>Aménager</w:t>
      </w:r>
      <w:proofErr w:type="spellEnd"/>
      <w:r w:rsidRPr="007D0231">
        <w:t xml:space="preserve"> la </w:t>
      </w:r>
      <w:proofErr w:type="spellStart"/>
      <w:r w:rsidRPr="007D0231">
        <w:t>diversité</w:t>
      </w:r>
      <w:proofErr w:type="spellEnd"/>
      <w:r w:rsidRPr="007D0231">
        <w:t xml:space="preserve">: le </w:t>
      </w:r>
      <w:proofErr w:type="spellStart"/>
      <w:r w:rsidRPr="007D0231">
        <w:t>droit</w:t>
      </w:r>
      <w:proofErr w:type="spellEnd"/>
      <w:r w:rsidRPr="007D0231">
        <w:t xml:space="preserve"> de </w:t>
      </w:r>
      <w:proofErr w:type="spellStart"/>
      <w:r w:rsidRPr="007D0231">
        <w:t>l’égalité</w:t>
      </w:r>
      <w:proofErr w:type="spellEnd"/>
      <w:r w:rsidRPr="007D0231">
        <w:t xml:space="preserve"> face à la </w:t>
      </w:r>
      <w:proofErr w:type="spellStart"/>
      <w:r w:rsidRPr="007D0231">
        <w:t>pluralité</w:t>
      </w:r>
      <w:proofErr w:type="spellEnd"/>
      <w:r w:rsidRPr="007D0231">
        <w:t xml:space="preserve"> </w:t>
      </w:r>
      <w:proofErr w:type="spellStart"/>
      <w:r w:rsidRPr="007D0231">
        <w:t>religieuse</w:t>
      </w:r>
      <w:proofErr w:type="spellEnd"/>
      <w:r w:rsidRPr="007D0231">
        <w:t xml:space="preserve">”, </w:t>
      </w:r>
      <w:r w:rsidR="00F31563" w:rsidRPr="007D0231">
        <w:t>Revue</w:t>
      </w:r>
      <w:r w:rsidR="00F31563">
        <w:t xml:space="preserve"> </w:t>
      </w:r>
      <w:proofErr w:type="spellStart"/>
      <w:r w:rsidR="00F31563">
        <w:t>trimestrielle</w:t>
      </w:r>
      <w:proofErr w:type="spellEnd"/>
      <w:r w:rsidR="00F31563">
        <w:t xml:space="preserve"> des </w:t>
      </w:r>
      <w:proofErr w:type="spellStart"/>
      <w:r w:rsidR="00F31563">
        <w:t>droits</w:t>
      </w:r>
      <w:proofErr w:type="spellEnd"/>
      <w:r w:rsidR="00F31563">
        <w:t xml:space="preserve"> de </w:t>
      </w:r>
      <w:proofErr w:type="spellStart"/>
      <w:r w:rsidR="00F31563">
        <w:t>l’homme</w:t>
      </w:r>
      <w:proofErr w:type="spellEnd"/>
      <w:r w:rsidRPr="00637639">
        <w:t>, 2009, pp. 319 et seq.</w:t>
      </w:r>
    </w:p>
  </w:footnote>
  <w:footnote w:id="4">
    <w:p w:rsidR="008E54CF" w:rsidRPr="001A6863" w:rsidRDefault="008E54CF" w:rsidP="005E0826">
      <w:pPr>
        <w:pStyle w:val="FootnoteText"/>
        <w:rPr>
          <w:lang w:val="fr-FR"/>
        </w:rPr>
      </w:pPr>
      <w:r w:rsidRPr="00637639">
        <w:rPr>
          <w:rStyle w:val="FootnoteReference"/>
          <w:vertAlign w:val="baseline"/>
        </w:rPr>
        <w:footnoteRef/>
      </w:r>
      <w:r>
        <w:rPr>
          <w:lang w:val="fr-FR"/>
        </w:rPr>
        <w:t>.</w:t>
      </w:r>
      <w:r w:rsidRPr="00637639">
        <w:rPr>
          <w:lang w:val="fr-FR"/>
        </w:rPr>
        <w:t>  </w:t>
      </w:r>
      <w:r w:rsidRPr="000E633C">
        <w:rPr>
          <w:lang w:val="fr-FR"/>
        </w:rPr>
        <w:t>Ibid</w:t>
      </w:r>
      <w:r>
        <w:rPr>
          <w:lang w:val="fr-FR"/>
        </w:rPr>
        <w:t>.</w:t>
      </w:r>
      <w:r w:rsidRPr="001A6863">
        <w:rPr>
          <w:lang w:val="fr-FR"/>
        </w:rPr>
        <w:t>, p. 342.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4CF" w:rsidRPr="000404C3" w:rsidRDefault="008E54CF" w:rsidP="000404C3">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4CF" w:rsidRPr="00C00F0F" w:rsidRDefault="008E54CF">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64.25pt">
          <v:imagedata r:id="rId1" o:title="TranspDocHeaderBigBlack"/>
        </v:shape>
      </w:pict>
    </w:r>
  </w:p>
  <w:p w:rsidR="008E54CF" w:rsidRDefault="008E54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4CF" w:rsidRDefault="008E54CF">
    <w:pPr>
      <w:pStyle w:val="JuHeader"/>
    </w:pPr>
    <w:r>
      <w:rPr>
        <w:rStyle w:val="PageNumber"/>
      </w:rPr>
      <w:fldChar w:fldCharType="begin"/>
    </w:r>
    <w:r>
      <w:rPr>
        <w:rStyle w:val="PageNumber"/>
      </w:rPr>
      <w:instrText xml:space="preserve"> PAGE </w:instrText>
    </w:r>
    <w:r>
      <w:rPr>
        <w:rStyle w:val="PageNumber"/>
      </w:rPr>
      <w:fldChar w:fldCharType="separate"/>
    </w:r>
    <w:r w:rsidR="00044053">
      <w:rPr>
        <w:rStyle w:val="PageNumber"/>
        <w:noProof/>
      </w:rPr>
      <w:t>6</w:t>
    </w:r>
    <w:r>
      <w:rPr>
        <w:rStyle w:val="PageNumber"/>
      </w:rPr>
      <w:fldChar w:fldCharType="end"/>
    </w:r>
    <w:r>
      <w:tab/>
      <w:t xml:space="preserve">FRANCESCO SESSA v. </w:t>
    </w:r>
    <w:smartTag w:uri="urn:schemas-microsoft-com:office:smarttags" w:element="country-region">
      <w:smartTag w:uri="urn:schemas-microsoft-com:office:smarttags" w:element="place">
        <w:r>
          <w:t>ITALY</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4CF" w:rsidRDefault="008E54CF">
    <w:pPr>
      <w:pStyle w:val="JuHeader"/>
    </w:pPr>
    <w:r>
      <w:tab/>
      <w:t xml:space="preserve">FRANCESCO SESSA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044053">
      <w:rPr>
        <w:rStyle w:val="PageNumber"/>
        <w:noProof/>
      </w:rPr>
      <w:t>7</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4CF" w:rsidRDefault="008E54CF">
    <w:pPr>
      <w:pStyle w:val="JuHeader"/>
    </w:pPr>
    <w:r>
      <w:rPr>
        <w:rStyle w:val="PageNumber"/>
      </w:rPr>
      <w:fldChar w:fldCharType="begin"/>
    </w:r>
    <w:r>
      <w:rPr>
        <w:rStyle w:val="PageNumber"/>
      </w:rPr>
      <w:instrText xml:space="preserve"> PAGE </w:instrText>
    </w:r>
    <w:r>
      <w:rPr>
        <w:rStyle w:val="PageNumber"/>
      </w:rPr>
      <w:fldChar w:fldCharType="separate"/>
    </w:r>
    <w:r w:rsidR="00044053">
      <w:rPr>
        <w:rStyle w:val="PageNumber"/>
        <w:noProof/>
      </w:rPr>
      <w:t>10</w:t>
    </w:r>
    <w:r>
      <w:rPr>
        <w:rStyle w:val="PageNumber"/>
      </w:rPr>
      <w:fldChar w:fldCharType="end"/>
    </w:r>
    <w:r>
      <w:tab/>
      <w:t xml:space="preserve">FRANCESCO SESSA v. </w:t>
    </w:r>
    <w:smartTag w:uri="urn:schemas-microsoft-com:office:smarttags" w:element="country-region">
      <w:smartTag w:uri="urn:schemas-microsoft-com:office:smarttags" w:element="place">
        <w:r>
          <w:t>ITALY</w:t>
        </w:r>
      </w:smartTag>
    </w:smartTag>
    <w:r>
      <w:t xml:space="preserve"> JUDGMENT – SEPARATE OPINION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4CF" w:rsidRDefault="008E54CF">
    <w:pPr>
      <w:pStyle w:val="JuHeader"/>
    </w:pPr>
    <w:r>
      <w:tab/>
      <w:t xml:space="preserve">FRANCESCO SESSA v. </w:t>
    </w:r>
    <w:smartTag w:uri="urn:schemas-microsoft-com:office:smarttags" w:element="country-region">
      <w:smartTag w:uri="urn:schemas-microsoft-com:office:smarttags" w:element="place">
        <w:r>
          <w:t>ITALY</w:t>
        </w:r>
      </w:smartTag>
    </w:smartTag>
    <w:r>
      <w:t xml:space="preserve"> JUDGMENT – SEPARATE OPINION</w:t>
    </w:r>
    <w:r>
      <w:tab/>
    </w:r>
    <w:r>
      <w:rPr>
        <w:rStyle w:val="PageNumber"/>
      </w:rPr>
      <w:fldChar w:fldCharType="begin"/>
    </w:r>
    <w:r>
      <w:rPr>
        <w:rStyle w:val="PageNumber"/>
      </w:rPr>
      <w:instrText xml:space="preserve"> PAGE </w:instrText>
    </w:r>
    <w:r>
      <w:rPr>
        <w:rStyle w:val="PageNumber"/>
      </w:rPr>
      <w:fldChar w:fldCharType="separate"/>
    </w:r>
    <w:r w:rsidR="00044053">
      <w:rPr>
        <w:rStyle w:val="PageNumber"/>
        <w:noProof/>
      </w:rPr>
      <w:t>11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6C273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EDCD3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B44A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6CC6A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7B26C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9265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98D2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6A49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8C53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74745A"/>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7D768FB"/>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6F4445CA"/>
    <w:multiLevelType w:val="multilevel"/>
    <w:tmpl w:val="08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14"/>
  </w:num>
  <w:num w:numId="4">
    <w:abstractNumId w:val="14"/>
  </w:num>
  <w:num w:numId="5">
    <w:abstractNumId w:val="14"/>
  </w:num>
  <w:num w:numId="6">
    <w:abstractNumId w:val="14"/>
  </w:num>
  <w:num w:numId="7">
    <w:abstractNumId w:val="11"/>
  </w:num>
  <w:num w:numId="8">
    <w:abstractNumId w:val="10"/>
  </w:num>
  <w:num w:numId="9">
    <w:abstractNumId w:val="13"/>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0404C3"/>
    <w:rsid w:val="00001CC5"/>
    <w:rsid w:val="00002DD1"/>
    <w:rsid w:val="000042D1"/>
    <w:rsid w:val="00007B38"/>
    <w:rsid w:val="00013894"/>
    <w:rsid w:val="00033160"/>
    <w:rsid w:val="00033FD2"/>
    <w:rsid w:val="0003679E"/>
    <w:rsid w:val="000404C3"/>
    <w:rsid w:val="00042867"/>
    <w:rsid w:val="00044053"/>
    <w:rsid w:val="0005522C"/>
    <w:rsid w:val="00055AC1"/>
    <w:rsid w:val="000726F6"/>
    <w:rsid w:val="00076A67"/>
    <w:rsid w:val="00085837"/>
    <w:rsid w:val="00085B3A"/>
    <w:rsid w:val="00090C82"/>
    <w:rsid w:val="0009409F"/>
    <w:rsid w:val="000C34DE"/>
    <w:rsid w:val="000D173B"/>
    <w:rsid w:val="000D6108"/>
    <w:rsid w:val="000D76E9"/>
    <w:rsid w:val="000E1449"/>
    <w:rsid w:val="000F699D"/>
    <w:rsid w:val="00104AD1"/>
    <w:rsid w:val="00111D99"/>
    <w:rsid w:val="0011665B"/>
    <w:rsid w:val="00126213"/>
    <w:rsid w:val="0013290F"/>
    <w:rsid w:val="00141B96"/>
    <w:rsid w:val="00151CCA"/>
    <w:rsid w:val="00157BD8"/>
    <w:rsid w:val="00174A6F"/>
    <w:rsid w:val="001812B2"/>
    <w:rsid w:val="0019388B"/>
    <w:rsid w:val="00195378"/>
    <w:rsid w:val="00197C29"/>
    <w:rsid w:val="001A0EBE"/>
    <w:rsid w:val="001A2CB2"/>
    <w:rsid w:val="001B0D91"/>
    <w:rsid w:val="001B2EFC"/>
    <w:rsid w:val="001B62B1"/>
    <w:rsid w:val="001B74F7"/>
    <w:rsid w:val="001C5FF6"/>
    <w:rsid w:val="001E22B7"/>
    <w:rsid w:val="001F5586"/>
    <w:rsid w:val="002041E3"/>
    <w:rsid w:val="00225BE5"/>
    <w:rsid w:val="002266CD"/>
    <w:rsid w:val="002320C6"/>
    <w:rsid w:val="00237BEC"/>
    <w:rsid w:val="00252B31"/>
    <w:rsid w:val="00262B44"/>
    <w:rsid w:val="00265471"/>
    <w:rsid w:val="0026789F"/>
    <w:rsid w:val="00267E01"/>
    <w:rsid w:val="00271A81"/>
    <w:rsid w:val="0027237F"/>
    <w:rsid w:val="00277CBC"/>
    <w:rsid w:val="00296B76"/>
    <w:rsid w:val="00297942"/>
    <w:rsid w:val="002A0514"/>
    <w:rsid w:val="002A4296"/>
    <w:rsid w:val="002B18B7"/>
    <w:rsid w:val="002B39D4"/>
    <w:rsid w:val="002C7D3E"/>
    <w:rsid w:val="002D6880"/>
    <w:rsid w:val="002E2EAF"/>
    <w:rsid w:val="002E6A74"/>
    <w:rsid w:val="002F4BCF"/>
    <w:rsid w:val="002F56A2"/>
    <w:rsid w:val="002F6FE9"/>
    <w:rsid w:val="00302008"/>
    <w:rsid w:val="003104E9"/>
    <w:rsid w:val="00312FBC"/>
    <w:rsid w:val="0031573C"/>
    <w:rsid w:val="0032093A"/>
    <w:rsid w:val="00322A8F"/>
    <w:rsid w:val="00325C2B"/>
    <w:rsid w:val="00327705"/>
    <w:rsid w:val="00332547"/>
    <w:rsid w:val="00336887"/>
    <w:rsid w:val="00337600"/>
    <w:rsid w:val="003403BB"/>
    <w:rsid w:val="00345032"/>
    <w:rsid w:val="0034580F"/>
    <w:rsid w:val="003506C9"/>
    <w:rsid w:val="00354676"/>
    <w:rsid w:val="00355F8F"/>
    <w:rsid w:val="00371277"/>
    <w:rsid w:val="0037228D"/>
    <w:rsid w:val="003723DC"/>
    <w:rsid w:val="00381550"/>
    <w:rsid w:val="00382ECC"/>
    <w:rsid w:val="003A1B38"/>
    <w:rsid w:val="003A64D3"/>
    <w:rsid w:val="003B41C7"/>
    <w:rsid w:val="003B50D7"/>
    <w:rsid w:val="003C2912"/>
    <w:rsid w:val="003D1E2C"/>
    <w:rsid w:val="003E2006"/>
    <w:rsid w:val="003E319C"/>
    <w:rsid w:val="003F3BFD"/>
    <w:rsid w:val="00401C5B"/>
    <w:rsid w:val="00412F5F"/>
    <w:rsid w:val="00413EFC"/>
    <w:rsid w:val="004326B0"/>
    <w:rsid w:val="004406AA"/>
    <w:rsid w:val="00452CF1"/>
    <w:rsid w:val="00457A18"/>
    <w:rsid w:val="00460FAD"/>
    <w:rsid w:val="00465AD7"/>
    <w:rsid w:val="00485A6F"/>
    <w:rsid w:val="004920B1"/>
    <w:rsid w:val="004A1626"/>
    <w:rsid w:val="004A6C21"/>
    <w:rsid w:val="004D4C13"/>
    <w:rsid w:val="004E1045"/>
    <w:rsid w:val="004E5DFC"/>
    <w:rsid w:val="0050096C"/>
    <w:rsid w:val="005041AF"/>
    <w:rsid w:val="00513446"/>
    <w:rsid w:val="00516EBF"/>
    <w:rsid w:val="00521573"/>
    <w:rsid w:val="00522362"/>
    <w:rsid w:val="00524FFC"/>
    <w:rsid w:val="005419B6"/>
    <w:rsid w:val="00546F49"/>
    <w:rsid w:val="0055084F"/>
    <w:rsid w:val="0056771C"/>
    <w:rsid w:val="0057024C"/>
    <w:rsid w:val="005777BA"/>
    <w:rsid w:val="00577E6A"/>
    <w:rsid w:val="00582D1B"/>
    <w:rsid w:val="00584A11"/>
    <w:rsid w:val="005874FF"/>
    <w:rsid w:val="005944D6"/>
    <w:rsid w:val="00595C5D"/>
    <w:rsid w:val="005A3D27"/>
    <w:rsid w:val="005B16A8"/>
    <w:rsid w:val="005B4233"/>
    <w:rsid w:val="005C1929"/>
    <w:rsid w:val="005C1956"/>
    <w:rsid w:val="005C2C88"/>
    <w:rsid w:val="005C41CB"/>
    <w:rsid w:val="005C608D"/>
    <w:rsid w:val="005D08B7"/>
    <w:rsid w:val="005E0826"/>
    <w:rsid w:val="005E384F"/>
    <w:rsid w:val="005E6794"/>
    <w:rsid w:val="005F4753"/>
    <w:rsid w:val="005F7A10"/>
    <w:rsid w:val="006053AC"/>
    <w:rsid w:val="006111FF"/>
    <w:rsid w:val="006138EA"/>
    <w:rsid w:val="00625699"/>
    <w:rsid w:val="0062787C"/>
    <w:rsid w:val="00633478"/>
    <w:rsid w:val="00637639"/>
    <w:rsid w:val="00640B82"/>
    <w:rsid w:val="00644B9D"/>
    <w:rsid w:val="00653581"/>
    <w:rsid w:val="00655126"/>
    <w:rsid w:val="006639B6"/>
    <w:rsid w:val="00686D8C"/>
    <w:rsid w:val="00697F14"/>
    <w:rsid w:val="006A3D9D"/>
    <w:rsid w:val="006A7C48"/>
    <w:rsid w:val="006C2B52"/>
    <w:rsid w:val="006C35C5"/>
    <w:rsid w:val="006D71BC"/>
    <w:rsid w:val="006E09A6"/>
    <w:rsid w:val="006E16F0"/>
    <w:rsid w:val="006E6D33"/>
    <w:rsid w:val="006F3556"/>
    <w:rsid w:val="006F4751"/>
    <w:rsid w:val="007156E0"/>
    <w:rsid w:val="00730053"/>
    <w:rsid w:val="00730433"/>
    <w:rsid w:val="007352DD"/>
    <w:rsid w:val="00750E5E"/>
    <w:rsid w:val="0075196F"/>
    <w:rsid w:val="00754ABE"/>
    <w:rsid w:val="00756D5B"/>
    <w:rsid w:val="007603BB"/>
    <w:rsid w:val="00761438"/>
    <w:rsid w:val="007754A0"/>
    <w:rsid w:val="00776807"/>
    <w:rsid w:val="0077789B"/>
    <w:rsid w:val="0078062F"/>
    <w:rsid w:val="007827E7"/>
    <w:rsid w:val="007845ED"/>
    <w:rsid w:val="0079163D"/>
    <w:rsid w:val="0079187F"/>
    <w:rsid w:val="007A1FFE"/>
    <w:rsid w:val="007A357A"/>
    <w:rsid w:val="007A6DBA"/>
    <w:rsid w:val="007B2958"/>
    <w:rsid w:val="007C090B"/>
    <w:rsid w:val="007C1CE3"/>
    <w:rsid w:val="007D0231"/>
    <w:rsid w:val="007D0D75"/>
    <w:rsid w:val="007E603C"/>
    <w:rsid w:val="007F249A"/>
    <w:rsid w:val="007F735A"/>
    <w:rsid w:val="00806E5F"/>
    <w:rsid w:val="00846856"/>
    <w:rsid w:val="00853345"/>
    <w:rsid w:val="008601F7"/>
    <w:rsid w:val="00863437"/>
    <w:rsid w:val="00864209"/>
    <w:rsid w:val="00865450"/>
    <w:rsid w:val="008824B9"/>
    <w:rsid w:val="0088315D"/>
    <w:rsid w:val="00884205"/>
    <w:rsid w:val="00886BB5"/>
    <w:rsid w:val="00893782"/>
    <w:rsid w:val="008A3BFE"/>
    <w:rsid w:val="008A5ABB"/>
    <w:rsid w:val="008B5BFB"/>
    <w:rsid w:val="008C39B5"/>
    <w:rsid w:val="008C60EE"/>
    <w:rsid w:val="008C6F68"/>
    <w:rsid w:val="008D7BF2"/>
    <w:rsid w:val="008E05A3"/>
    <w:rsid w:val="008E54CF"/>
    <w:rsid w:val="008E5939"/>
    <w:rsid w:val="00900F2B"/>
    <w:rsid w:val="00901475"/>
    <w:rsid w:val="009169BC"/>
    <w:rsid w:val="00921581"/>
    <w:rsid w:val="00927277"/>
    <w:rsid w:val="00930CD7"/>
    <w:rsid w:val="00932C7B"/>
    <w:rsid w:val="0094239F"/>
    <w:rsid w:val="00946590"/>
    <w:rsid w:val="00956501"/>
    <w:rsid w:val="00965BD4"/>
    <w:rsid w:val="0098535B"/>
    <w:rsid w:val="0099561C"/>
    <w:rsid w:val="00995F44"/>
    <w:rsid w:val="009A173F"/>
    <w:rsid w:val="009A3AD2"/>
    <w:rsid w:val="009A6925"/>
    <w:rsid w:val="009B039E"/>
    <w:rsid w:val="009B15A1"/>
    <w:rsid w:val="009C5183"/>
    <w:rsid w:val="009D46D7"/>
    <w:rsid w:val="009D4B87"/>
    <w:rsid w:val="009F0055"/>
    <w:rsid w:val="009F07CC"/>
    <w:rsid w:val="009F18CE"/>
    <w:rsid w:val="009F1D27"/>
    <w:rsid w:val="009F44B0"/>
    <w:rsid w:val="009F5625"/>
    <w:rsid w:val="00A012A5"/>
    <w:rsid w:val="00A04E02"/>
    <w:rsid w:val="00A06A89"/>
    <w:rsid w:val="00A0754A"/>
    <w:rsid w:val="00A10039"/>
    <w:rsid w:val="00A135BE"/>
    <w:rsid w:val="00A22A3D"/>
    <w:rsid w:val="00A23F55"/>
    <w:rsid w:val="00A32B81"/>
    <w:rsid w:val="00A35C98"/>
    <w:rsid w:val="00A36290"/>
    <w:rsid w:val="00A41717"/>
    <w:rsid w:val="00A50E2D"/>
    <w:rsid w:val="00A5331A"/>
    <w:rsid w:val="00A7049C"/>
    <w:rsid w:val="00A80135"/>
    <w:rsid w:val="00A80B28"/>
    <w:rsid w:val="00A8381C"/>
    <w:rsid w:val="00A90848"/>
    <w:rsid w:val="00AA0A20"/>
    <w:rsid w:val="00AA1D36"/>
    <w:rsid w:val="00AA2B6A"/>
    <w:rsid w:val="00AA373E"/>
    <w:rsid w:val="00AA6CAF"/>
    <w:rsid w:val="00AA7CA2"/>
    <w:rsid w:val="00AB0594"/>
    <w:rsid w:val="00AB05DA"/>
    <w:rsid w:val="00AB2166"/>
    <w:rsid w:val="00AB43D9"/>
    <w:rsid w:val="00AC134B"/>
    <w:rsid w:val="00AC4995"/>
    <w:rsid w:val="00AD35B9"/>
    <w:rsid w:val="00AD57B2"/>
    <w:rsid w:val="00AE2F4F"/>
    <w:rsid w:val="00B030BE"/>
    <w:rsid w:val="00B0594B"/>
    <w:rsid w:val="00B122EA"/>
    <w:rsid w:val="00B324A5"/>
    <w:rsid w:val="00B342BC"/>
    <w:rsid w:val="00B3608A"/>
    <w:rsid w:val="00B4551C"/>
    <w:rsid w:val="00B460AF"/>
    <w:rsid w:val="00B462B6"/>
    <w:rsid w:val="00B52010"/>
    <w:rsid w:val="00B574E7"/>
    <w:rsid w:val="00B6108B"/>
    <w:rsid w:val="00B622C2"/>
    <w:rsid w:val="00B64488"/>
    <w:rsid w:val="00B662B2"/>
    <w:rsid w:val="00B6763B"/>
    <w:rsid w:val="00B67CBD"/>
    <w:rsid w:val="00B70D54"/>
    <w:rsid w:val="00B743BC"/>
    <w:rsid w:val="00B81192"/>
    <w:rsid w:val="00B921A8"/>
    <w:rsid w:val="00B96B21"/>
    <w:rsid w:val="00BC7EEE"/>
    <w:rsid w:val="00BD19AE"/>
    <w:rsid w:val="00BE4337"/>
    <w:rsid w:val="00BE50FE"/>
    <w:rsid w:val="00BE5958"/>
    <w:rsid w:val="00BF071D"/>
    <w:rsid w:val="00C01E1C"/>
    <w:rsid w:val="00C02E48"/>
    <w:rsid w:val="00C27EF9"/>
    <w:rsid w:val="00C3018F"/>
    <w:rsid w:val="00C30671"/>
    <w:rsid w:val="00C47696"/>
    <w:rsid w:val="00C53BED"/>
    <w:rsid w:val="00C577C8"/>
    <w:rsid w:val="00C61445"/>
    <w:rsid w:val="00C63E30"/>
    <w:rsid w:val="00C66AB5"/>
    <w:rsid w:val="00C7116C"/>
    <w:rsid w:val="00C73967"/>
    <w:rsid w:val="00C84877"/>
    <w:rsid w:val="00C94023"/>
    <w:rsid w:val="00C96EBF"/>
    <w:rsid w:val="00CC096F"/>
    <w:rsid w:val="00CC6623"/>
    <w:rsid w:val="00CD3131"/>
    <w:rsid w:val="00CD31A0"/>
    <w:rsid w:val="00CD5D90"/>
    <w:rsid w:val="00CE1C9D"/>
    <w:rsid w:val="00CE5750"/>
    <w:rsid w:val="00CF166A"/>
    <w:rsid w:val="00D00569"/>
    <w:rsid w:val="00D102A7"/>
    <w:rsid w:val="00D1288A"/>
    <w:rsid w:val="00D15473"/>
    <w:rsid w:val="00D30F97"/>
    <w:rsid w:val="00D33169"/>
    <w:rsid w:val="00D333B8"/>
    <w:rsid w:val="00D353F4"/>
    <w:rsid w:val="00D357B5"/>
    <w:rsid w:val="00D44EA3"/>
    <w:rsid w:val="00D55053"/>
    <w:rsid w:val="00D56B5D"/>
    <w:rsid w:val="00D57E00"/>
    <w:rsid w:val="00D63793"/>
    <w:rsid w:val="00D73611"/>
    <w:rsid w:val="00D76B5D"/>
    <w:rsid w:val="00D87A94"/>
    <w:rsid w:val="00D90810"/>
    <w:rsid w:val="00DB214F"/>
    <w:rsid w:val="00DB226C"/>
    <w:rsid w:val="00DB5B90"/>
    <w:rsid w:val="00DB6D67"/>
    <w:rsid w:val="00DC2093"/>
    <w:rsid w:val="00DC5C22"/>
    <w:rsid w:val="00DE5E8F"/>
    <w:rsid w:val="00DF06A0"/>
    <w:rsid w:val="00E033FB"/>
    <w:rsid w:val="00E1284D"/>
    <w:rsid w:val="00E32625"/>
    <w:rsid w:val="00E32971"/>
    <w:rsid w:val="00E37A71"/>
    <w:rsid w:val="00E50968"/>
    <w:rsid w:val="00E525F4"/>
    <w:rsid w:val="00E526A4"/>
    <w:rsid w:val="00E80DBC"/>
    <w:rsid w:val="00E81663"/>
    <w:rsid w:val="00E9155E"/>
    <w:rsid w:val="00E973F5"/>
    <w:rsid w:val="00EA4C31"/>
    <w:rsid w:val="00EB0CCC"/>
    <w:rsid w:val="00EB2A33"/>
    <w:rsid w:val="00EB41E9"/>
    <w:rsid w:val="00EB5EBC"/>
    <w:rsid w:val="00ED12C3"/>
    <w:rsid w:val="00ED3AC7"/>
    <w:rsid w:val="00EE1252"/>
    <w:rsid w:val="00EE47FF"/>
    <w:rsid w:val="00EE7911"/>
    <w:rsid w:val="00EF2384"/>
    <w:rsid w:val="00F00ED6"/>
    <w:rsid w:val="00F120E6"/>
    <w:rsid w:val="00F22E8B"/>
    <w:rsid w:val="00F31563"/>
    <w:rsid w:val="00F324E0"/>
    <w:rsid w:val="00F43FF3"/>
    <w:rsid w:val="00F5124B"/>
    <w:rsid w:val="00F62FA4"/>
    <w:rsid w:val="00F64444"/>
    <w:rsid w:val="00F71040"/>
    <w:rsid w:val="00F71A6A"/>
    <w:rsid w:val="00F73D18"/>
    <w:rsid w:val="00F94742"/>
    <w:rsid w:val="00FA056B"/>
    <w:rsid w:val="00FA0BA0"/>
    <w:rsid w:val="00FD3E2F"/>
    <w:rsid w:val="00FD6E9C"/>
    <w:rsid w:val="00FE6E31"/>
    <w:rsid w:val="00FE7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2BC"/>
    <w:pPr>
      <w:suppressAutoHyphens/>
    </w:pPr>
    <w:rPr>
      <w:sz w:val="24"/>
      <w:lang w:val="en-GB" w:eastAsia="fr-FR"/>
    </w:rPr>
  </w:style>
  <w:style w:type="paragraph" w:styleId="Heading1">
    <w:name w:val="heading 1"/>
    <w:basedOn w:val="Normal"/>
    <w:next w:val="Normal"/>
    <w:qFormat/>
    <w:rsid w:val="00322A8F"/>
    <w:pPr>
      <w:keepNext/>
      <w:numPr>
        <w:numId w:val="9"/>
      </w:numPr>
      <w:spacing w:before="360" w:after="240"/>
      <w:jc w:val="center"/>
      <w:outlineLvl w:val="0"/>
    </w:pPr>
    <w:rPr>
      <w:b/>
      <w:sz w:val="28"/>
    </w:rPr>
  </w:style>
  <w:style w:type="paragraph" w:styleId="Heading2">
    <w:name w:val="heading 2"/>
    <w:basedOn w:val="Normal"/>
    <w:next w:val="Normal"/>
    <w:qFormat/>
    <w:rsid w:val="00322A8F"/>
    <w:pPr>
      <w:keepNext/>
      <w:numPr>
        <w:ilvl w:val="1"/>
        <w:numId w:val="9"/>
      </w:numPr>
      <w:spacing w:before="240" w:after="120"/>
      <w:outlineLvl w:val="1"/>
    </w:pPr>
    <w:rPr>
      <w:b/>
    </w:rPr>
  </w:style>
  <w:style w:type="paragraph" w:styleId="Heading3">
    <w:name w:val="heading 3"/>
    <w:basedOn w:val="Normal"/>
    <w:next w:val="Normal"/>
    <w:qFormat/>
    <w:rsid w:val="00322A8F"/>
    <w:pPr>
      <w:keepNext/>
      <w:numPr>
        <w:ilvl w:val="2"/>
        <w:numId w:val="9"/>
      </w:numPr>
      <w:spacing w:before="120" w:after="60"/>
      <w:outlineLvl w:val="2"/>
    </w:pPr>
    <w:rPr>
      <w:i/>
    </w:rPr>
  </w:style>
  <w:style w:type="paragraph" w:styleId="Heading4">
    <w:name w:val="heading 4"/>
    <w:basedOn w:val="Normal"/>
    <w:next w:val="Normal"/>
    <w:qFormat/>
    <w:rsid w:val="00322A8F"/>
    <w:pPr>
      <w:keepNext/>
      <w:numPr>
        <w:ilvl w:val="3"/>
        <w:numId w:val="9"/>
      </w:numPr>
      <w:spacing w:before="240" w:after="60"/>
      <w:outlineLvl w:val="3"/>
    </w:pPr>
    <w:rPr>
      <w:b/>
      <w:bCs/>
      <w:sz w:val="28"/>
      <w:szCs w:val="28"/>
    </w:rPr>
  </w:style>
  <w:style w:type="paragraph" w:styleId="Heading5">
    <w:name w:val="heading 5"/>
    <w:basedOn w:val="Normal"/>
    <w:next w:val="Normal"/>
    <w:qFormat/>
    <w:rsid w:val="00322A8F"/>
    <w:pPr>
      <w:numPr>
        <w:ilvl w:val="4"/>
        <w:numId w:val="9"/>
      </w:numPr>
      <w:spacing w:before="240" w:after="60"/>
      <w:outlineLvl w:val="4"/>
    </w:pPr>
    <w:rPr>
      <w:b/>
      <w:bCs/>
      <w:i/>
      <w:iCs/>
      <w:sz w:val="26"/>
      <w:szCs w:val="26"/>
    </w:rPr>
  </w:style>
  <w:style w:type="paragraph" w:styleId="Heading6">
    <w:name w:val="heading 6"/>
    <w:basedOn w:val="Normal"/>
    <w:next w:val="Normal"/>
    <w:qFormat/>
    <w:rsid w:val="00322A8F"/>
    <w:pPr>
      <w:numPr>
        <w:ilvl w:val="5"/>
        <w:numId w:val="9"/>
      </w:numPr>
      <w:spacing w:before="240" w:after="60"/>
      <w:outlineLvl w:val="5"/>
    </w:pPr>
    <w:rPr>
      <w:b/>
      <w:bCs/>
      <w:sz w:val="22"/>
      <w:szCs w:val="22"/>
    </w:rPr>
  </w:style>
  <w:style w:type="paragraph" w:styleId="Heading7">
    <w:name w:val="heading 7"/>
    <w:basedOn w:val="Normal"/>
    <w:next w:val="Normal"/>
    <w:qFormat/>
    <w:rsid w:val="00322A8F"/>
    <w:pPr>
      <w:numPr>
        <w:ilvl w:val="6"/>
        <w:numId w:val="9"/>
      </w:numPr>
      <w:spacing w:before="240" w:after="60"/>
      <w:outlineLvl w:val="6"/>
    </w:pPr>
    <w:rPr>
      <w:szCs w:val="24"/>
    </w:rPr>
  </w:style>
  <w:style w:type="paragraph" w:styleId="Heading8">
    <w:name w:val="heading 8"/>
    <w:basedOn w:val="Normal"/>
    <w:next w:val="Normal"/>
    <w:qFormat/>
    <w:rsid w:val="00322A8F"/>
    <w:pPr>
      <w:numPr>
        <w:ilvl w:val="7"/>
        <w:numId w:val="9"/>
      </w:numPr>
      <w:spacing w:before="240" w:after="60"/>
      <w:outlineLvl w:val="7"/>
    </w:pPr>
    <w:rPr>
      <w:i/>
      <w:iCs/>
      <w:szCs w:val="24"/>
    </w:rPr>
  </w:style>
  <w:style w:type="paragraph" w:styleId="Heading9">
    <w:name w:val="heading 9"/>
    <w:basedOn w:val="Normal"/>
    <w:next w:val="Normal"/>
    <w:qFormat/>
    <w:rsid w:val="00322A8F"/>
    <w:pPr>
      <w:numPr>
        <w:ilvl w:val="8"/>
        <w:numId w:val="9"/>
      </w:numPr>
      <w:spacing w:before="240" w:after="60"/>
      <w:outlineLvl w:val="8"/>
    </w:pPr>
    <w:rPr>
      <w:rFonts w:ascii="Arial" w:hAnsi="Arial" w:cs="Arial"/>
      <w:sz w:val="22"/>
      <w:szCs w:val="22"/>
    </w:rPr>
  </w:style>
  <w:style w:type="character" w:default="1" w:styleId="DefaultParagraphFont">
    <w:name w:val="Default Paragraph Font"/>
    <w:rsid w:val="00322A8F"/>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322A8F"/>
  </w:style>
  <w:style w:type="paragraph" w:customStyle="1" w:styleId="OpiHA">
    <w:name w:val="Opi_H_A"/>
    <w:basedOn w:val="JuHIRoman"/>
    <w:next w:val="OpiPara"/>
    <w:rsid w:val="00322A8F"/>
    <w:pPr>
      <w:tabs>
        <w:tab w:val="clear" w:pos="357"/>
      </w:tabs>
    </w:pPr>
    <w:rPr>
      <w:b/>
    </w:rPr>
  </w:style>
  <w:style w:type="paragraph" w:customStyle="1" w:styleId="JuHIRoman">
    <w:name w:val="Ju_H_I_Roman"/>
    <w:basedOn w:val="JuHHead"/>
    <w:next w:val="JuPara"/>
    <w:link w:val="JuHIRomanChar"/>
    <w:rsid w:val="00322A8F"/>
    <w:pPr>
      <w:tabs>
        <w:tab w:val="left" w:pos="357"/>
      </w:tabs>
      <w:spacing w:before="360"/>
      <w:ind w:left="357" w:hanging="357"/>
      <w:outlineLvl w:val="1"/>
    </w:pPr>
    <w:rPr>
      <w:sz w:val="24"/>
    </w:rPr>
  </w:style>
  <w:style w:type="paragraph" w:customStyle="1" w:styleId="JuHHead">
    <w:name w:val="Ju_H_Head"/>
    <w:basedOn w:val="NormalTimesNewRoman"/>
    <w:next w:val="JuPara"/>
    <w:rsid w:val="00322A8F"/>
    <w:pPr>
      <w:keepNext/>
      <w:keepLines/>
      <w:spacing w:before="720" w:after="240"/>
      <w:jc w:val="both"/>
      <w:outlineLvl w:val="0"/>
    </w:pPr>
    <w:rPr>
      <w:sz w:val="28"/>
    </w:rPr>
  </w:style>
  <w:style w:type="character" w:customStyle="1" w:styleId="DefaultTimesNewRoman">
    <w:name w:val="Default_TimesNewRoman"/>
    <w:rsid w:val="00322A8F"/>
    <w:rPr>
      <w:rFonts w:ascii="Times New Roman" w:hAnsi="Times New Roman"/>
    </w:rPr>
  </w:style>
  <w:style w:type="paragraph" w:customStyle="1" w:styleId="JuPara">
    <w:name w:val="Ju_Para"/>
    <w:basedOn w:val="NormalTimesNewRoman"/>
    <w:link w:val="JuParaChar"/>
    <w:rsid w:val="00322A8F"/>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322A8F"/>
  </w:style>
  <w:style w:type="paragraph" w:customStyle="1" w:styleId="OpiH1">
    <w:name w:val="Opi_H_1."/>
    <w:basedOn w:val="OpiHA"/>
    <w:next w:val="OpiPara"/>
    <w:rsid w:val="00322A8F"/>
    <w:pPr>
      <w:spacing w:before="240" w:after="120"/>
      <w:ind w:left="635"/>
      <w:outlineLvl w:val="2"/>
    </w:pPr>
    <w:rPr>
      <w:b w:val="0"/>
      <w:i/>
    </w:rPr>
  </w:style>
  <w:style w:type="paragraph" w:customStyle="1" w:styleId="OpiHa0">
    <w:name w:val="Opi_H_a"/>
    <w:basedOn w:val="OpiH1"/>
    <w:next w:val="OpiPara"/>
    <w:rsid w:val="00322A8F"/>
    <w:pPr>
      <w:ind w:left="833"/>
      <w:outlineLvl w:val="3"/>
    </w:pPr>
    <w:rPr>
      <w:b/>
      <w:i w:val="0"/>
      <w:sz w:val="20"/>
    </w:rPr>
  </w:style>
  <w:style w:type="paragraph" w:customStyle="1" w:styleId="OpiHHead">
    <w:name w:val="Opi_H_Head"/>
    <w:basedOn w:val="JuHHead"/>
    <w:next w:val="OpiPara"/>
    <w:rsid w:val="00322A8F"/>
    <w:pPr>
      <w:spacing w:before="0"/>
      <w:jc w:val="center"/>
    </w:pPr>
  </w:style>
  <w:style w:type="paragraph" w:customStyle="1" w:styleId="OpiHi">
    <w:name w:val="Opi_H_i"/>
    <w:basedOn w:val="OpiHa0"/>
    <w:next w:val="OpiPara"/>
    <w:rsid w:val="00322A8F"/>
    <w:pPr>
      <w:ind w:left="1037"/>
      <w:outlineLvl w:val="4"/>
    </w:pPr>
    <w:rPr>
      <w:b w:val="0"/>
      <w:i/>
    </w:rPr>
  </w:style>
  <w:style w:type="paragraph" w:styleId="Footer">
    <w:name w:val="footer"/>
    <w:basedOn w:val="NormalTimesNewRoman"/>
    <w:rsid w:val="00322A8F"/>
    <w:pPr>
      <w:tabs>
        <w:tab w:val="center" w:pos="3686"/>
        <w:tab w:val="right" w:pos="7371"/>
      </w:tabs>
    </w:pPr>
    <w:rPr>
      <w:sz w:val="18"/>
    </w:rPr>
  </w:style>
  <w:style w:type="paragraph" w:customStyle="1" w:styleId="JuJudges">
    <w:name w:val="Ju_Judges"/>
    <w:basedOn w:val="NormalTimesNewRoman"/>
    <w:link w:val="JuJudgesChar"/>
    <w:rsid w:val="00322A8F"/>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rsid w:val="00322A8F"/>
    <w:pPr>
      <w:tabs>
        <w:tab w:val="clear" w:pos="357"/>
        <w:tab w:val="left" w:pos="584"/>
      </w:tabs>
      <w:ind w:left="584" w:hanging="352"/>
      <w:outlineLvl w:val="2"/>
    </w:pPr>
    <w:rPr>
      <w:b/>
    </w:rPr>
  </w:style>
  <w:style w:type="paragraph" w:customStyle="1" w:styleId="JuQuot">
    <w:name w:val="Ju_Quot"/>
    <w:basedOn w:val="JuPara"/>
    <w:rsid w:val="00322A8F"/>
    <w:pPr>
      <w:spacing w:before="120" w:after="120"/>
      <w:ind w:left="425" w:firstLine="142"/>
    </w:pPr>
    <w:rPr>
      <w:sz w:val="20"/>
    </w:rPr>
  </w:style>
  <w:style w:type="paragraph" w:customStyle="1" w:styleId="JuSigned">
    <w:name w:val="Ju_Signed"/>
    <w:basedOn w:val="NormalTimesNewRoman"/>
    <w:next w:val="JuParaLast"/>
    <w:link w:val="JuSignedChar"/>
    <w:rsid w:val="00322A8F"/>
    <w:pPr>
      <w:tabs>
        <w:tab w:val="center" w:pos="851"/>
        <w:tab w:val="center" w:pos="6407"/>
      </w:tabs>
      <w:spacing w:before="720"/>
    </w:pPr>
  </w:style>
  <w:style w:type="paragraph" w:customStyle="1" w:styleId="JuParaLast">
    <w:name w:val="Ju_Para_Last"/>
    <w:basedOn w:val="JuPara"/>
    <w:next w:val="JuPara"/>
    <w:rsid w:val="00322A8F"/>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322A8F"/>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322A8F"/>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322A8F"/>
    <w:pPr>
      <w:ind w:left="0" w:firstLine="0"/>
      <w:jc w:val="center"/>
    </w:pPr>
  </w:style>
  <w:style w:type="paragraph" w:customStyle="1" w:styleId="JuHa0">
    <w:name w:val="Ju_H_a"/>
    <w:basedOn w:val="JuH1"/>
    <w:next w:val="JuPara"/>
    <w:rsid w:val="00322A8F"/>
    <w:pPr>
      <w:tabs>
        <w:tab w:val="clear" w:pos="731"/>
        <w:tab w:val="left" w:pos="975"/>
      </w:tabs>
      <w:ind w:left="975" w:hanging="340"/>
      <w:outlineLvl w:val="4"/>
    </w:pPr>
    <w:rPr>
      <w:b/>
      <w:i w:val="0"/>
      <w:sz w:val="20"/>
    </w:rPr>
  </w:style>
  <w:style w:type="paragraph" w:customStyle="1" w:styleId="JuH1">
    <w:name w:val="Ju_H_1."/>
    <w:basedOn w:val="JuHA"/>
    <w:next w:val="JuPara"/>
    <w:rsid w:val="00322A8F"/>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322A8F"/>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322A8F"/>
  </w:style>
  <w:style w:type="paragraph" w:customStyle="1" w:styleId="OpiTranslation">
    <w:name w:val="Opi_Translation"/>
    <w:basedOn w:val="OpiHHead"/>
    <w:next w:val="OpiPara"/>
    <w:rsid w:val="00322A8F"/>
    <w:rPr>
      <w:i/>
      <w:sz w:val="24"/>
    </w:rPr>
  </w:style>
  <w:style w:type="paragraph" w:styleId="FootnoteText">
    <w:name w:val="footnote text"/>
    <w:basedOn w:val="Normal"/>
    <w:semiHidden/>
    <w:rsid w:val="00322A8F"/>
    <w:pPr>
      <w:jc w:val="both"/>
    </w:pPr>
    <w:rPr>
      <w:sz w:val="20"/>
    </w:rPr>
  </w:style>
  <w:style w:type="character" w:styleId="FootnoteReference">
    <w:name w:val="footnote reference"/>
    <w:semiHidden/>
    <w:rsid w:val="00322A8F"/>
    <w:rPr>
      <w:vertAlign w:val="superscript"/>
    </w:rPr>
  </w:style>
  <w:style w:type="paragraph" w:customStyle="1" w:styleId="JuHi">
    <w:name w:val="Ju_H_i"/>
    <w:basedOn w:val="JuHa0"/>
    <w:next w:val="JuPara"/>
    <w:rsid w:val="00322A8F"/>
    <w:pPr>
      <w:tabs>
        <w:tab w:val="clear" w:pos="975"/>
        <w:tab w:val="left" w:pos="1191"/>
      </w:tabs>
      <w:ind w:left="1190" w:hanging="357"/>
      <w:outlineLvl w:val="5"/>
    </w:pPr>
    <w:rPr>
      <w:b w:val="0"/>
      <w:i/>
    </w:rPr>
  </w:style>
  <w:style w:type="paragraph" w:styleId="Header">
    <w:name w:val="header"/>
    <w:basedOn w:val="NormalTimesNewRoman"/>
    <w:rsid w:val="00322A8F"/>
    <w:pPr>
      <w:tabs>
        <w:tab w:val="center" w:pos="3686"/>
        <w:tab w:val="right" w:pos="7371"/>
      </w:tabs>
    </w:pPr>
    <w:rPr>
      <w:sz w:val="18"/>
    </w:rPr>
  </w:style>
  <w:style w:type="character" w:styleId="PageNumber">
    <w:name w:val="page number"/>
    <w:rsid w:val="00322A8F"/>
    <w:rPr>
      <w:sz w:val="18"/>
    </w:rPr>
  </w:style>
  <w:style w:type="paragraph" w:customStyle="1" w:styleId="JuH">
    <w:name w:val="Ju_H_–"/>
    <w:basedOn w:val="JuHalpha"/>
    <w:next w:val="JuPara"/>
    <w:rsid w:val="00322A8F"/>
    <w:pPr>
      <w:tabs>
        <w:tab w:val="clear" w:pos="1372"/>
      </w:tabs>
      <w:ind w:left="1236" w:firstLine="0"/>
    </w:pPr>
    <w:rPr>
      <w:i/>
    </w:rPr>
  </w:style>
  <w:style w:type="paragraph" w:customStyle="1" w:styleId="JuHalpha">
    <w:name w:val="Ju_H_alpha"/>
    <w:basedOn w:val="JuHi"/>
    <w:next w:val="JuPara"/>
    <w:rsid w:val="00322A8F"/>
    <w:pPr>
      <w:tabs>
        <w:tab w:val="clear" w:pos="1191"/>
        <w:tab w:val="left" w:pos="1372"/>
      </w:tabs>
      <w:ind w:left="1373" w:hanging="335"/>
    </w:pPr>
    <w:rPr>
      <w:i w:val="0"/>
    </w:rPr>
  </w:style>
  <w:style w:type="paragraph" w:customStyle="1" w:styleId="JuLista">
    <w:name w:val="Ju_List_a"/>
    <w:basedOn w:val="JuList"/>
    <w:rsid w:val="00322A8F"/>
    <w:pPr>
      <w:ind w:left="346" w:firstLine="0"/>
    </w:pPr>
  </w:style>
  <w:style w:type="paragraph" w:customStyle="1" w:styleId="JuListi">
    <w:name w:val="Ju_List_i"/>
    <w:basedOn w:val="JuLista"/>
    <w:rsid w:val="00322A8F"/>
    <w:pPr>
      <w:ind w:left="794"/>
    </w:pPr>
  </w:style>
  <w:style w:type="character" w:styleId="CommentReference">
    <w:name w:val="annotation reference"/>
    <w:semiHidden/>
    <w:rsid w:val="00322A8F"/>
    <w:rPr>
      <w:sz w:val="16"/>
      <w:szCs w:val="16"/>
    </w:rPr>
  </w:style>
  <w:style w:type="paragraph" w:styleId="CommentText">
    <w:name w:val="annotation text"/>
    <w:basedOn w:val="Normal"/>
    <w:semiHidden/>
    <w:rsid w:val="00322A8F"/>
    <w:rPr>
      <w:sz w:val="20"/>
    </w:rPr>
  </w:style>
  <w:style w:type="paragraph" w:customStyle="1" w:styleId="JuInitialled">
    <w:name w:val="Ju_Initialled"/>
    <w:basedOn w:val="JuSigned"/>
    <w:rsid w:val="00322A8F"/>
    <w:pPr>
      <w:tabs>
        <w:tab w:val="clear" w:pos="851"/>
      </w:tabs>
      <w:jc w:val="right"/>
    </w:pPr>
  </w:style>
  <w:style w:type="paragraph" w:customStyle="1" w:styleId="JuHeader">
    <w:name w:val="Ju_Header"/>
    <w:basedOn w:val="Header"/>
    <w:rsid w:val="00322A8F"/>
  </w:style>
  <w:style w:type="paragraph" w:customStyle="1" w:styleId="DecHTitle">
    <w:name w:val="Dec_H_Title"/>
    <w:basedOn w:val="NormalTimesNewRoman"/>
    <w:rsid w:val="00322A8F"/>
    <w:pPr>
      <w:spacing w:after="240"/>
      <w:jc w:val="center"/>
      <w:outlineLvl w:val="0"/>
    </w:pPr>
    <w:rPr>
      <w:sz w:val="28"/>
    </w:rPr>
  </w:style>
  <w:style w:type="paragraph" w:customStyle="1" w:styleId="DecHCase">
    <w:name w:val="Dec_H_Case"/>
    <w:basedOn w:val="DecHTitle"/>
    <w:next w:val="JuPara"/>
    <w:rsid w:val="00322A8F"/>
    <w:rPr>
      <w:sz w:val="24"/>
    </w:rPr>
  </w:style>
  <w:style w:type="paragraph" w:customStyle="1" w:styleId="DecList">
    <w:name w:val="Dec_List"/>
    <w:basedOn w:val="NormalTimesNewRoman"/>
    <w:rsid w:val="00322A8F"/>
    <w:pPr>
      <w:spacing w:before="240"/>
      <w:ind w:left="284"/>
      <w:jc w:val="both"/>
    </w:pPr>
  </w:style>
  <w:style w:type="paragraph" w:customStyle="1" w:styleId="JuParaSub">
    <w:name w:val="Ju_Para_Sub"/>
    <w:basedOn w:val="JuPara"/>
    <w:rsid w:val="00322A8F"/>
    <w:pPr>
      <w:ind w:left="284"/>
    </w:pPr>
    <w:rPr>
      <w:szCs w:val="24"/>
    </w:rPr>
  </w:style>
  <w:style w:type="paragraph" w:customStyle="1" w:styleId="JuQuotSub">
    <w:name w:val="Ju_Quot_Sub"/>
    <w:basedOn w:val="JuQuot"/>
    <w:rsid w:val="00322A8F"/>
    <w:pPr>
      <w:ind w:left="567"/>
    </w:pPr>
  </w:style>
  <w:style w:type="paragraph" w:styleId="BalloonText">
    <w:name w:val="Balloon Text"/>
    <w:basedOn w:val="Normal"/>
    <w:semiHidden/>
    <w:rsid w:val="00322A8F"/>
    <w:rPr>
      <w:rFonts w:ascii="Tahoma" w:hAnsi="Tahoma" w:cs="Tahoma"/>
      <w:sz w:val="16"/>
      <w:szCs w:val="16"/>
    </w:rPr>
  </w:style>
  <w:style w:type="paragraph" w:styleId="CommentSubject">
    <w:name w:val="annotation subject"/>
    <w:basedOn w:val="CommentText"/>
    <w:next w:val="CommentText"/>
    <w:semiHidden/>
    <w:rsid w:val="00322A8F"/>
    <w:rPr>
      <w:b/>
      <w:bCs/>
    </w:rPr>
  </w:style>
  <w:style w:type="character" w:styleId="EndnoteReference">
    <w:name w:val="endnote reference"/>
    <w:semiHidden/>
    <w:rsid w:val="00322A8F"/>
    <w:rPr>
      <w:vertAlign w:val="superscript"/>
    </w:rPr>
  </w:style>
  <w:style w:type="paragraph" w:styleId="EndnoteText">
    <w:name w:val="endnote text"/>
    <w:basedOn w:val="Normal"/>
    <w:semiHidden/>
    <w:rsid w:val="00322A8F"/>
    <w:rPr>
      <w:sz w:val="20"/>
    </w:rPr>
  </w:style>
  <w:style w:type="character" w:styleId="FollowedHyperlink">
    <w:name w:val="FollowedHyperlink"/>
    <w:rsid w:val="00322A8F"/>
    <w:rPr>
      <w:color w:val="800080"/>
      <w:u w:val="single"/>
    </w:rPr>
  </w:style>
  <w:style w:type="paragraph" w:customStyle="1" w:styleId="SuCoverTitle1">
    <w:name w:val="Su_Cover_Title1"/>
    <w:basedOn w:val="NormalTimesNewRoman"/>
    <w:next w:val="SuCoverTitle2"/>
    <w:rsid w:val="00322A8F"/>
    <w:pPr>
      <w:spacing w:before="2500"/>
      <w:jc w:val="center"/>
    </w:pPr>
    <w:rPr>
      <w:sz w:val="22"/>
    </w:rPr>
  </w:style>
  <w:style w:type="paragraph" w:customStyle="1" w:styleId="SuCoverTitle2">
    <w:name w:val="Su_Cover_Title2"/>
    <w:basedOn w:val="SuCoverTitle1"/>
    <w:next w:val="Normal"/>
    <w:rsid w:val="00322A8F"/>
    <w:pPr>
      <w:spacing w:before="240"/>
    </w:pPr>
    <w:rPr>
      <w:sz w:val="18"/>
    </w:rPr>
  </w:style>
  <w:style w:type="paragraph" w:customStyle="1" w:styleId="SuPara">
    <w:name w:val="Su_Para"/>
    <w:basedOn w:val="SuKeywords"/>
    <w:rsid w:val="00322A8F"/>
    <w:pPr>
      <w:spacing w:before="0" w:after="0"/>
    </w:pPr>
    <w:rPr>
      <w:i w:val="0"/>
    </w:rPr>
  </w:style>
  <w:style w:type="paragraph" w:customStyle="1" w:styleId="SuKeywords">
    <w:name w:val="Su_Keywords"/>
    <w:basedOn w:val="SuHHead"/>
    <w:rsid w:val="00322A8F"/>
    <w:pPr>
      <w:spacing w:before="120"/>
    </w:pPr>
    <w:rPr>
      <w:b w:val="0"/>
      <w:i/>
    </w:rPr>
  </w:style>
  <w:style w:type="paragraph" w:customStyle="1" w:styleId="SuHHead">
    <w:name w:val="Su_H_Head"/>
    <w:basedOn w:val="SuSubject"/>
    <w:rsid w:val="00322A8F"/>
    <w:pPr>
      <w:spacing w:after="120"/>
    </w:pPr>
  </w:style>
  <w:style w:type="paragraph" w:customStyle="1" w:styleId="SuSubject">
    <w:name w:val="Su_Subject"/>
    <w:basedOn w:val="SuSummary"/>
    <w:rsid w:val="00322A8F"/>
    <w:pPr>
      <w:spacing w:before="360"/>
      <w:jc w:val="both"/>
    </w:pPr>
    <w:rPr>
      <w:b/>
      <w:sz w:val="22"/>
    </w:rPr>
  </w:style>
  <w:style w:type="paragraph" w:customStyle="1" w:styleId="SuSummary">
    <w:name w:val="Su_Summary"/>
    <w:basedOn w:val="NormalTimesNewRoman"/>
    <w:next w:val="SuSubject"/>
    <w:rsid w:val="00322A8F"/>
    <w:pPr>
      <w:spacing w:after="240"/>
      <w:jc w:val="center"/>
    </w:pPr>
  </w:style>
  <w:style w:type="paragraph" w:customStyle="1" w:styleId="OpiParaSub">
    <w:name w:val="Opi_Para_Sub"/>
    <w:basedOn w:val="JuParaSub"/>
    <w:rsid w:val="00322A8F"/>
  </w:style>
  <w:style w:type="paragraph" w:customStyle="1" w:styleId="OpiQuotSub">
    <w:name w:val="Opi_Quot_Sub"/>
    <w:basedOn w:val="JuQuotSub"/>
    <w:rsid w:val="00322A8F"/>
  </w:style>
  <w:style w:type="character" w:styleId="Hyperlink">
    <w:name w:val="Hyperlink"/>
    <w:rsid w:val="00322A8F"/>
    <w:rPr>
      <w:color w:val="0000FF"/>
      <w:u w:val="single"/>
    </w:rPr>
  </w:style>
  <w:style w:type="character" w:styleId="Strong">
    <w:name w:val="Strong"/>
    <w:qFormat/>
    <w:rsid w:val="00322A8F"/>
    <w:rPr>
      <w:b/>
      <w:bCs/>
    </w:rPr>
  </w:style>
  <w:style w:type="paragraph" w:styleId="DocumentMap">
    <w:name w:val="Document Map"/>
    <w:basedOn w:val="Normal"/>
    <w:semiHidden/>
    <w:rsid w:val="00322A8F"/>
    <w:pPr>
      <w:shd w:val="clear" w:color="auto" w:fill="000080"/>
    </w:pPr>
    <w:rPr>
      <w:rFonts w:ascii="Tahoma" w:hAnsi="Tahoma" w:cs="Tahoma"/>
      <w:sz w:val="20"/>
    </w:rPr>
  </w:style>
  <w:style w:type="character" w:customStyle="1" w:styleId="JuNames">
    <w:name w:val="Ju_Names"/>
    <w:rsid w:val="00322A8F"/>
    <w:rPr>
      <w:smallCaps/>
    </w:rPr>
  </w:style>
  <w:style w:type="paragraph" w:customStyle="1" w:styleId="NormalJustified">
    <w:name w:val="Normal_Justified"/>
    <w:basedOn w:val="NormalTimesNewRoman"/>
    <w:rsid w:val="00322A8F"/>
    <w:pPr>
      <w:jc w:val="both"/>
    </w:pPr>
  </w:style>
  <w:style w:type="paragraph" w:customStyle="1" w:styleId="JuAppQuestion">
    <w:name w:val="Ju_App_Question"/>
    <w:basedOn w:val="ListBullet"/>
    <w:rsid w:val="00322A8F"/>
    <w:pPr>
      <w:numPr>
        <w:numId w:val="3"/>
      </w:numPr>
    </w:pPr>
    <w:rPr>
      <w:b/>
      <w:color w:val="333333"/>
    </w:rPr>
  </w:style>
  <w:style w:type="paragraph" w:styleId="ListBullet">
    <w:name w:val="List Bullet"/>
    <w:basedOn w:val="NormalTimesNewRoman"/>
    <w:rsid w:val="00322A8F"/>
    <w:pPr>
      <w:numPr>
        <w:numId w:val="2"/>
      </w:numPr>
    </w:pPr>
  </w:style>
  <w:style w:type="paragraph" w:customStyle="1" w:styleId="NormalTimesNewRoman">
    <w:name w:val="Normal_TimesNewRoman"/>
    <w:rsid w:val="00322A8F"/>
    <w:rPr>
      <w:sz w:val="24"/>
      <w:lang w:val="en-GB" w:eastAsia="fr-FR"/>
    </w:rPr>
  </w:style>
  <w:style w:type="character" w:customStyle="1" w:styleId="JuITMark">
    <w:name w:val="Ju_ITMark"/>
    <w:rsid w:val="00322A8F"/>
    <w:rPr>
      <w:rFonts w:ascii="Times New Roman" w:hAnsi="Times New Roman"/>
      <w:vanish/>
      <w:color w:val="339966"/>
      <w:sz w:val="16"/>
      <w:szCs w:val="16"/>
      <w:lang w:val="en-GB"/>
    </w:rPr>
  </w:style>
  <w:style w:type="paragraph" w:customStyle="1" w:styleId="JuTitle">
    <w:name w:val="Ju_Title"/>
    <w:basedOn w:val="JuHHead"/>
    <w:next w:val="JuPara"/>
    <w:rsid w:val="00D1288A"/>
    <w:pPr>
      <w:jc w:val="center"/>
    </w:pPr>
    <w:rPr>
      <w:b/>
      <w:caps/>
      <w:sz w:val="24"/>
      <w:szCs w:val="24"/>
      <w:u w:val="single"/>
    </w:rPr>
  </w:style>
  <w:style w:type="character" w:customStyle="1" w:styleId="JuParaCar">
    <w:name w:val="Ju_Para Car"/>
    <w:rsid w:val="00A36290"/>
    <w:rPr>
      <w:sz w:val="24"/>
      <w:lang w:val="en-GB" w:eastAsia="fr-FR" w:bidi="ar-SA"/>
    </w:rPr>
  </w:style>
  <w:style w:type="character" w:customStyle="1" w:styleId="JuHIRomanChar">
    <w:name w:val="Ju_H_I_Roman Char"/>
    <w:link w:val="JuHIRoman"/>
    <w:rsid w:val="001E22B7"/>
    <w:rPr>
      <w:sz w:val="24"/>
      <w:lang w:val="en-GB" w:eastAsia="fr-FR" w:bidi="ar-SA"/>
    </w:rPr>
  </w:style>
  <w:style w:type="paragraph" w:customStyle="1" w:styleId="PJuPara">
    <w:name w:val="P_Ju_Para"/>
    <w:basedOn w:val="Normal"/>
    <w:rsid w:val="001E22B7"/>
    <w:pPr>
      <w:ind w:firstLine="284"/>
      <w:jc w:val="both"/>
    </w:pPr>
  </w:style>
  <w:style w:type="paragraph" w:customStyle="1" w:styleId="PJuQuot">
    <w:name w:val="P_Ju_Quot"/>
    <w:basedOn w:val="Normal"/>
    <w:rsid w:val="001E22B7"/>
    <w:pPr>
      <w:spacing w:before="120" w:after="120"/>
      <w:ind w:left="403" w:firstLine="176"/>
      <w:jc w:val="both"/>
    </w:pPr>
    <w:rPr>
      <w:sz w:val="20"/>
    </w:rPr>
  </w:style>
  <w:style w:type="paragraph" w:customStyle="1" w:styleId="PListArticleSubject">
    <w:name w:val="P_List_ArticleSubject"/>
    <w:basedOn w:val="Normal"/>
    <w:rsid w:val="001E22B7"/>
    <w:pPr>
      <w:tabs>
        <w:tab w:val="left" w:pos="2977"/>
      </w:tabs>
      <w:ind w:left="2977" w:hanging="2977"/>
    </w:pPr>
  </w:style>
  <w:style w:type="paragraph" w:customStyle="1" w:styleId="PListCaseNo">
    <w:name w:val="P_List_CaseNo"/>
    <w:basedOn w:val="Normal"/>
    <w:rsid w:val="001E22B7"/>
    <w:pPr>
      <w:tabs>
        <w:tab w:val="left" w:pos="1276"/>
      </w:tabs>
      <w:spacing w:line="288" w:lineRule="auto"/>
      <w:ind w:left="1276" w:hanging="1276"/>
    </w:pPr>
  </w:style>
  <w:style w:type="paragraph" w:customStyle="1" w:styleId="PListCases">
    <w:name w:val="P_List_Cases"/>
    <w:basedOn w:val="Normal"/>
    <w:rsid w:val="001E22B7"/>
    <w:pPr>
      <w:spacing w:line="288" w:lineRule="auto"/>
    </w:pPr>
  </w:style>
  <w:style w:type="paragraph" w:customStyle="1" w:styleId="PTextIntro">
    <w:name w:val="P_Text_Intro"/>
    <w:basedOn w:val="Normal"/>
    <w:rsid w:val="001E22B7"/>
    <w:pPr>
      <w:jc w:val="both"/>
    </w:pPr>
    <w:rPr>
      <w:i/>
      <w:sz w:val="20"/>
    </w:rPr>
  </w:style>
  <w:style w:type="paragraph" w:customStyle="1" w:styleId="PTitleCover">
    <w:name w:val="P_Title_Cover"/>
    <w:basedOn w:val="Normal"/>
    <w:rsid w:val="001E22B7"/>
    <w:pPr>
      <w:spacing w:before="2500"/>
      <w:jc w:val="center"/>
    </w:pPr>
    <w:rPr>
      <w:b/>
      <w:smallCaps/>
      <w:sz w:val="30"/>
    </w:rPr>
  </w:style>
  <w:style w:type="paragraph" w:customStyle="1" w:styleId="PTitle1Alpha">
    <w:name w:val="P_Title1_Alpha"/>
    <w:basedOn w:val="Normal"/>
    <w:next w:val="Normal"/>
    <w:rsid w:val="001E22B7"/>
    <w:pPr>
      <w:spacing w:after="120"/>
      <w:jc w:val="center"/>
    </w:pPr>
    <w:rPr>
      <w:b/>
      <w:smallCaps/>
      <w:sz w:val="30"/>
    </w:rPr>
  </w:style>
  <w:style w:type="paragraph" w:customStyle="1" w:styleId="PTitle1IndexArticle">
    <w:name w:val="P_Title1_IndexArticle"/>
    <w:basedOn w:val="Normal"/>
    <w:rsid w:val="001E22B7"/>
    <w:pPr>
      <w:spacing w:after="120"/>
      <w:jc w:val="center"/>
    </w:pPr>
    <w:rPr>
      <w:b/>
      <w:smallCaps/>
      <w:sz w:val="30"/>
    </w:rPr>
  </w:style>
  <w:style w:type="paragraph" w:customStyle="1" w:styleId="PTitle1IndexKey">
    <w:name w:val="P_Title1_IndexKey"/>
    <w:basedOn w:val="Normal"/>
    <w:rsid w:val="001E22B7"/>
    <w:pPr>
      <w:spacing w:after="600"/>
      <w:jc w:val="center"/>
    </w:pPr>
    <w:rPr>
      <w:b/>
      <w:smallCaps/>
      <w:sz w:val="30"/>
    </w:rPr>
  </w:style>
  <w:style w:type="paragraph" w:customStyle="1" w:styleId="PTitle1Num">
    <w:name w:val="P_Title1_Num"/>
    <w:basedOn w:val="Normal"/>
    <w:next w:val="PListCaseNo"/>
    <w:rsid w:val="001E22B7"/>
    <w:pPr>
      <w:spacing w:after="720"/>
      <w:jc w:val="center"/>
    </w:pPr>
    <w:rPr>
      <w:b/>
      <w:smallCaps/>
      <w:sz w:val="30"/>
    </w:rPr>
  </w:style>
  <w:style w:type="paragraph" w:customStyle="1" w:styleId="PTitle2Country">
    <w:name w:val="P_Title2_Country"/>
    <w:basedOn w:val="Normal"/>
    <w:next w:val="PListCases"/>
    <w:rsid w:val="001E22B7"/>
    <w:pPr>
      <w:keepNext/>
      <w:keepLines/>
      <w:spacing w:before="600" w:after="360"/>
    </w:pPr>
    <w:rPr>
      <w:b/>
    </w:rPr>
  </w:style>
  <w:style w:type="paragraph" w:customStyle="1" w:styleId="PTitle2Letters">
    <w:name w:val="P_Title2_Letters"/>
    <w:basedOn w:val="Normal"/>
    <w:next w:val="PListCases"/>
    <w:rsid w:val="001E22B7"/>
    <w:pPr>
      <w:keepNext/>
      <w:keepLines/>
      <w:spacing w:before="600" w:after="360"/>
    </w:pPr>
    <w:rPr>
      <w:b/>
      <w:sz w:val="28"/>
    </w:rPr>
  </w:style>
  <w:style w:type="paragraph" w:customStyle="1" w:styleId="PTitle2Part">
    <w:name w:val="P_Title2_Part"/>
    <w:basedOn w:val="Normal"/>
    <w:rsid w:val="001E22B7"/>
    <w:pPr>
      <w:keepNext/>
      <w:keepLines/>
      <w:spacing w:before="600" w:after="240"/>
      <w:jc w:val="center"/>
    </w:pPr>
    <w:rPr>
      <w:b/>
      <w:caps/>
    </w:rPr>
  </w:style>
  <w:style w:type="paragraph" w:customStyle="1" w:styleId="PTitle3Article">
    <w:name w:val="P_Title3_Article"/>
    <w:basedOn w:val="Normal"/>
    <w:rsid w:val="001E22B7"/>
    <w:pPr>
      <w:keepNext/>
      <w:keepLines/>
      <w:spacing w:before="360" w:after="120"/>
      <w:jc w:val="center"/>
    </w:pPr>
    <w:rPr>
      <w:b/>
      <w:smallCaps/>
      <w:sz w:val="22"/>
    </w:rPr>
  </w:style>
  <w:style w:type="paragraph" w:customStyle="1" w:styleId="PTitle4ArticleSub">
    <w:name w:val="P_Title4_Article_Sub"/>
    <w:basedOn w:val="PTitle3Article"/>
    <w:rsid w:val="001E22B7"/>
    <w:pPr>
      <w:spacing w:before="240"/>
    </w:pPr>
    <w:rPr>
      <w:smallCaps w:val="0"/>
      <w:sz w:val="20"/>
    </w:rPr>
  </w:style>
  <w:style w:type="paragraph" w:customStyle="1" w:styleId="PTitle5Subject">
    <w:name w:val="P_Title5_Subject"/>
    <w:basedOn w:val="Normal"/>
    <w:rsid w:val="001E22B7"/>
    <w:pPr>
      <w:keepNext/>
      <w:keepLines/>
      <w:spacing w:before="240" w:after="120"/>
      <w:jc w:val="both"/>
    </w:pPr>
    <w:rPr>
      <w:b/>
      <w:i/>
    </w:rPr>
  </w:style>
  <w:style w:type="paragraph" w:customStyle="1" w:styleId="PTitle6SubjectSub">
    <w:name w:val="P_Title6_Subject_Sub"/>
    <w:basedOn w:val="Normal"/>
    <w:rsid w:val="001E22B7"/>
    <w:pPr>
      <w:keepNext/>
      <w:keepLines/>
      <w:spacing w:before="240" w:after="120"/>
      <w:ind w:left="284"/>
      <w:jc w:val="both"/>
    </w:pPr>
    <w:rPr>
      <w:b/>
      <w:sz w:val="20"/>
    </w:rPr>
  </w:style>
  <w:style w:type="paragraph" w:customStyle="1" w:styleId="PTitle7CaseName">
    <w:name w:val="P_Title7_CaseName"/>
    <w:basedOn w:val="Normal"/>
    <w:rsid w:val="001E22B7"/>
    <w:pPr>
      <w:keepLines/>
      <w:spacing w:after="240"/>
      <w:jc w:val="right"/>
    </w:pPr>
    <w:rPr>
      <w:sz w:val="22"/>
    </w:rPr>
  </w:style>
  <w:style w:type="character" w:customStyle="1" w:styleId="ju--005fpara--0020char----char--char">
    <w:name w:val="ju--005fpara--0020char----char--char"/>
    <w:basedOn w:val="DefaultParagraphFont"/>
    <w:rsid w:val="001E22B7"/>
  </w:style>
  <w:style w:type="paragraph" w:styleId="HTMLPreformatted">
    <w:name w:val="HTML Preformatted"/>
    <w:basedOn w:val="Normal"/>
    <w:rsid w:val="00322A8F"/>
    <w:rPr>
      <w:rFonts w:ascii="Courier New" w:hAnsi="Courier New" w:cs="Courier New"/>
      <w:sz w:val="20"/>
    </w:rPr>
  </w:style>
  <w:style w:type="character" w:customStyle="1" w:styleId="ju-005fpara-002cleft-002cfirst-0020line-003a-0020-00200-0020cm--char">
    <w:name w:val="ju-005fpara-002cleft-002cfirst-0020line-003a-0020-00200-0020cm--char"/>
    <w:basedOn w:val="DefaultParagraphFont"/>
    <w:rsid w:val="001E22B7"/>
  </w:style>
  <w:style w:type="character" w:customStyle="1" w:styleId="ju-005fpara--char">
    <w:name w:val="ju-005fpara--char"/>
    <w:basedOn w:val="DefaultParagraphFont"/>
    <w:rsid w:val="001E22B7"/>
  </w:style>
  <w:style w:type="paragraph" w:customStyle="1" w:styleId="ju-005fpara-002cleft-002cfirst-0020line-003a-0020-00200-0020cm">
    <w:name w:val="ju-005fpara-002cleft-002cfirst-0020line-003a-0020-00200-0020cm"/>
    <w:basedOn w:val="Normal"/>
    <w:rsid w:val="001E22B7"/>
    <w:pPr>
      <w:suppressAutoHyphens w:val="0"/>
      <w:spacing w:before="100" w:beforeAutospacing="1" w:after="100" w:afterAutospacing="1"/>
    </w:pPr>
    <w:rPr>
      <w:szCs w:val="24"/>
      <w:lang w:eastAsia="en-GB"/>
    </w:rPr>
  </w:style>
  <w:style w:type="character" w:customStyle="1" w:styleId="ju--005fpara--002cleft--002cfirst--0020line--003a--0020--00200--0020cm----char--char">
    <w:name w:val="ju--005fpara--002cleft--002cfirst--0020line--003a--0020--00200--0020cm----char--char"/>
    <w:basedOn w:val="DefaultParagraphFont"/>
    <w:rsid w:val="001E22B7"/>
  </w:style>
  <w:style w:type="character" w:styleId="Emphasis">
    <w:name w:val="Emphasis"/>
    <w:qFormat/>
    <w:rsid w:val="00322A8F"/>
    <w:rPr>
      <w:i/>
      <w:iCs/>
    </w:rPr>
  </w:style>
  <w:style w:type="paragraph" w:customStyle="1" w:styleId="PubJuPara">
    <w:name w:val="Pub_Ju_Para"/>
    <w:basedOn w:val="NormalTimesNewRoman"/>
    <w:rsid w:val="00322A8F"/>
    <w:pPr>
      <w:ind w:firstLine="284"/>
      <w:jc w:val="both"/>
    </w:pPr>
  </w:style>
  <w:style w:type="paragraph" w:customStyle="1" w:styleId="PubJuQuot">
    <w:name w:val="Pub_Ju_Quot"/>
    <w:basedOn w:val="NormalTimesNewRoman"/>
    <w:rsid w:val="00322A8F"/>
    <w:pPr>
      <w:spacing w:before="120" w:after="120"/>
      <w:ind w:left="403" w:firstLine="176"/>
      <w:jc w:val="both"/>
    </w:pPr>
    <w:rPr>
      <w:sz w:val="20"/>
    </w:rPr>
  </w:style>
  <w:style w:type="paragraph" w:customStyle="1" w:styleId="PubListArticleSubject">
    <w:name w:val="Pub_List_ArticleSubject"/>
    <w:basedOn w:val="NormalTimesNewRoman"/>
    <w:rsid w:val="00322A8F"/>
    <w:pPr>
      <w:tabs>
        <w:tab w:val="left" w:pos="2977"/>
      </w:tabs>
      <w:ind w:left="2977" w:hanging="2977"/>
    </w:pPr>
  </w:style>
  <w:style w:type="paragraph" w:customStyle="1" w:styleId="PubListCaseNo">
    <w:name w:val="Pub_List_CaseNo"/>
    <w:basedOn w:val="NormalTimesNewRoman"/>
    <w:rsid w:val="00322A8F"/>
    <w:pPr>
      <w:tabs>
        <w:tab w:val="left" w:pos="1276"/>
      </w:tabs>
      <w:spacing w:line="288" w:lineRule="auto"/>
      <w:ind w:left="1276" w:hanging="1276"/>
    </w:pPr>
  </w:style>
  <w:style w:type="paragraph" w:customStyle="1" w:styleId="PubListCases">
    <w:name w:val="Pub_List_Cases"/>
    <w:basedOn w:val="NormalTimesNewRoman"/>
    <w:rsid w:val="00322A8F"/>
    <w:pPr>
      <w:spacing w:line="288" w:lineRule="auto"/>
    </w:pPr>
  </w:style>
  <w:style w:type="paragraph" w:customStyle="1" w:styleId="PubTextIntro">
    <w:name w:val="Pub_Text_Intro"/>
    <w:basedOn w:val="NormalTimesNewRoman"/>
    <w:rsid w:val="00322A8F"/>
    <w:pPr>
      <w:jc w:val="both"/>
    </w:pPr>
    <w:rPr>
      <w:i/>
      <w:sz w:val="20"/>
    </w:rPr>
  </w:style>
  <w:style w:type="paragraph" w:customStyle="1" w:styleId="PubTitleCover">
    <w:name w:val="Pub_Title_Cover"/>
    <w:basedOn w:val="NormalTimesNewRoman"/>
    <w:rsid w:val="00322A8F"/>
    <w:pPr>
      <w:spacing w:before="2500"/>
      <w:jc w:val="center"/>
    </w:pPr>
    <w:rPr>
      <w:b/>
      <w:smallCaps/>
      <w:sz w:val="30"/>
    </w:rPr>
  </w:style>
  <w:style w:type="paragraph" w:customStyle="1" w:styleId="PubTitle1Alpha">
    <w:name w:val="Pub_Title1_Alpha"/>
    <w:basedOn w:val="NormalTimesNewRoman"/>
    <w:next w:val="Normal"/>
    <w:rsid w:val="00322A8F"/>
    <w:pPr>
      <w:spacing w:after="120"/>
      <w:jc w:val="center"/>
    </w:pPr>
    <w:rPr>
      <w:b/>
      <w:smallCaps/>
      <w:sz w:val="30"/>
    </w:rPr>
  </w:style>
  <w:style w:type="paragraph" w:customStyle="1" w:styleId="PubTitle1IndexArticle">
    <w:name w:val="Pub_Title1_IndexArticle"/>
    <w:basedOn w:val="NormalTimesNewRoman"/>
    <w:rsid w:val="00322A8F"/>
    <w:pPr>
      <w:spacing w:after="120"/>
      <w:jc w:val="center"/>
    </w:pPr>
    <w:rPr>
      <w:b/>
      <w:smallCaps/>
      <w:sz w:val="30"/>
    </w:rPr>
  </w:style>
  <w:style w:type="paragraph" w:customStyle="1" w:styleId="PubTitle1IndexKey">
    <w:name w:val="Pub_Title1_IndexKey"/>
    <w:basedOn w:val="NormalTimesNewRoman"/>
    <w:rsid w:val="00322A8F"/>
    <w:pPr>
      <w:spacing w:after="600"/>
      <w:jc w:val="center"/>
    </w:pPr>
    <w:rPr>
      <w:b/>
      <w:smallCaps/>
      <w:sz w:val="30"/>
    </w:rPr>
  </w:style>
  <w:style w:type="paragraph" w:customStyle="1" w:styleId="PubTitle1Num">
    <w:name w:val="Pub_Title1_Num"/>
    <w:basedOn w:val="NormalTimesNewRoman"/>
    <w:next w:val="PubListCaseNo"/>
    <w:rsid w:val="00322A8F"/>
    <w:pPr>
      <w:spacing w:after="720"/>
      <w:jc w:val="center"/>
    </w:pPr>
    <w:rPr>
      <w:b/>
      <w:smallCaps/>
      <w:sz w:val="30"/>
    </w:rPr>
  </w:style>
  <w:style w:type="paragraph" w:customStyle="1" w:styleId="PubTitle2Country">
    <w:name w:val="Pub_Title2_Country"/>
    <w:basedOn w:val="NormalTimesNewRoman"/>
    <w:next w:val="PubListCases"/>
    <w:rsid w:val="00322A8F"/>
    <w:pPr>
      <w:keepNext/>
      <w:keepLines/>
      <w:spacing w:before="600" w:after="360"/>
    </w:pPr>
    <w:rPr>
      <w:b/>
    </w:rPr>
  </w:style>
  <w:style w:type="paragraph" w:customStyle="1" w:styleId="PubTitle2Letters">
    <w:name w:val="Pub_Title2_Letters"/>
    <w:basedOn w:val="NormalTimesNewRoman"/>
    <w:next w:val="PubListCases"/>
    <w:rsid w:val="00322A8F"/>
    <w:pPr>
      <w:keepNext/>
      <w:keepLines/>
      <w:spacing w:before="600" w:after="360"/>
    </w:pPr>
    <w:rPr>
      <w:b/>
      <w:sz w:val="28"/>
    </w:rPr>
  </w:style>
  <w:style w:type="paragraph" w:customStyle="1" w:styleId="PubTitle2Part">
    <w:name w:val="Pub_Title2_Part"/>
    <w:basedOn w:val="NormalTimesNewRoman"/>
    <w:rsid w:val="00322A8F"/>
    <w:pPr>
      <w:keepNext/>
      <w:keepLines/>
      <w:spacing w:before="600" w:after="240"/>
      <w:jc w:val="center"/>
    </w:pPr>
    <w:rPr>
      <w:b/>
      <w:caps/>
    </w:rPr>
  </w:style>
  <w:style w:type="paragraph" w:customStyle="1" w:styleId="PubTitle3Article">
    <w:name w:val="Pub_Title3_Article"/>
    <w:basedOn w:val="NormalTimesNewRoman"/>
    <w:rsid w:val="00322A8F"/>
    <w:pPr>
      <w:keepNext/>
      <w:keepLines/>
      <w:spacing w:before="360" w:after="120"/>
      <w:jc w:val="center"/>
    </w:pPr>
    <w:rPr>
      <w:b/>
      <w:smallCaps/>
      <w:sz w:val="22"/>
    </w:rPr>
  </w:style>
  <w:style w:type="paragraph" w:customStyle="1" w:styleId="PubTitle4ArticleSub">
    <w:name w:val="Pub_Title4_Article_Sub"/>
    <w:basedOn w:val="PubTitle3Article"/>
    <w:rsid w:val="00322A8F"/>
    <w:pPr>
      <w:spacing w:before="240"/>
    </w:pPr>
    <w:rPr>
      <w:smallCaps w:val="0"/>
      <w:sz w:val="20"/>
    </w:rPr>
  </w:style>
  <w:style w:type="paragraph" w:customStyle="1" w:styleId="PubTitle5Subject">
    <w:name w:val="Pub_Title5_Subject"/>
    <w:basedOn w:val="NormalTimesNewRoman"/>
    <w:rsid w:val="00322A8F"/>
    <w:pPr>
      <w:keepNext/>
      <w:keepLines/>
      <w:spacing w:before="240" w:after="120"/>
      <w:jc w:val="both"/>
    </w:pPr>
    <w:rPr>
      <w:b/>
      <w:i/>
    </w:rPr>
  </w:style>
  <w:style w:type="paragraph" w:customStyle="1" w:styleId="PubTitle6SubjectSub">
    <w:name w:val="Pub_Title6_Subject_Sub"/>
    <w:basedOn w:val="NormalTimesNewRoman"/>
    <w:rsid w:val="00322A8F"/>
    <w:pPr>
      <w:keepNext/>
      <w:keepLines/>
      <w:spacing w:before="240" w:after="120"/>
      <w:ind w:left="284"/>
      <w:jc w:val="both"/>
    </w:pPr>
    <w:rPr>
      <w:b/>
      <w:sz w:val="20"/>
    </w:rPr>
  </w:style>
  <w:style w:type="paragraph" w:customStyle="1" w:styleId="PubTitle7CaseName">
    <w:name w:val="Pub_Title7_CaseName"/>
    <w:basedOn w:val="NormalTimesNewRoman"/>
    <w:rsid w:val="00322A8F"/>
    <w:pPr>
      <w:keepLines/>
      <w:spacing w:after="240"/>
      <w:jc w:val="right"/>
    </w:pPr>
    <w:rPr>
      <w:sz w:val="22"/>
    </w:rPr>
  </w:style>
  <w:style w:type="numbering" w:styleId="111111">
    <w:name w:val="Outline List 2"/>
    <w:basedOn w:val="NoList"/>
    <w:rsid w:val="00322A8F"/>
    <w:pPr>
      <w:numPr>
        <w:numId w:val="7"/>
      </w:numPr>
    </w:pPr>
  </w:style>
  <w:style w:type="numbering" w:styleId="1ai">
    <w:name w:val="Outline List 1"/>
    <w:basedOn w:val="NoList"/>
    <w:rsid w:val="00322A8F"/>
    <w:pPr>
      <w:numPr>
        <w:numId w:val="8"/>
      </w:numPr>
    </w:pPr>
  </w:style>
  <w:style w:type="numbering" w:styleId="ArticleSection">
    <w:name w:val="Outline List 3"/>
    <w:basedOn w:val="NoList"/>
    <w:rsid w:val="00322A8F"/>
    <w:pPr>
      <w:numPr>
        <w:numId w:val="9"/>
      </w:numPr>
    </w:pPr>
  </w:style>
  <w:style w:type="paragraph" w:styleId="BlockText">
    <w:name w:val="Block Text"/>
    <w:basedOn w:val="Normal"/>
    <w:rsid w:val="00322A8F"/>
    <w:pPr>
      <w:spacing w:after="120"/>
      <w:ind w:left="1440" w:right="1440"/>
    </w:pPr>
  </w:style>
  <w:style w:type="paragraph" w:styleId="BodyText">
    <w:name w:val="Body Text"/>
    <w:basedOn w:val="Normal"/>
    <w:rsid w:val="00322A8F"/>
    <w:pPr>
      <w:spacing w:after="120"/>
    </w:pPr>
  </w:style>
  <w:style w:type="paragraph" w:styleId="BodyText2">
    <w:name w:val="Body Text 2"/>
    <w:basedOn w:val="Normal"/>
    <w:rsid w:val="00322A8F"/>
    <w:pPr>
      <w:spacing w:after="120" w:line="480" w:lineRule="auto"/>
    </w:pPr>
  </w:style>
  <w:style w:type="paragraph" w:styleId="BodyText3">
    <w:name w:val="Body Text 3"/>
    <w:basedOn w:val="Normal"/>
    <w:rsid w:val="00322A8F"/>
    <w:pPr>
      <w:spacing w:after="120"/>
    </w:pPr>
    <w:rPr>
      <w:sz w:val="16"/>
      <w:szCs w:val="16"/>
    </w:rPr>
  </w:style>
  <w:style w:type="paragraph" w:styleId="BodyTextFirstIndent">
    <w:name w:val="Body Text First Indent"/>
    <w:basedOn w:val="BodyText"/>
    <w:rsid w:val="00322A8F"/>
    <w:pPr>
      <w:ind w:firstLine="210"/>
    </w:pPr>
  </w:style>
  <w:style w:type="paragraph" w:styleId="BodyTextIndent">
    <w:name w:val="Body Text Indent"/>
    <w:basedOn w:val="Normal"/>
    <w:rsid w:val="00322A8F"/>
    <w:pPr>
      <w:spacing w:after="120"/>
      <w:ind w:left="283"/>
    </w:pPr>
  </w:style>
  <w:style w:type="paragraph" w:styleId="BodyTextFirstIndent2">
    <w:name w:val="Body Text First Indent 2"/>
    <w:basedOn w:val="BodyTextIndent"/>
    <w:rsid w:val="00322A8F"/>
    <w:pPr>
      <w:ind w:firstLine="210"/>
    </w:pPr>
  </w:style>
  <w:style w:type="paragraph" w:styleId="BodyTextIndent2">
    <w:name w:val="Body Text Indent 2"/>
    <w:basedOn w:val="Normal"/>
    <w:rsid w:val="00322A8F"/>
    <w:pPr>
      <w:spacing w:after="120" w:line="480" w:lineRule="auto"/>
      <w:ind w:left="283"/>
    </w:pPr>
  </w:style>
  <w:style w:type="paragraph" w:styleId="BodyTextIndent3">
    <w:name w:val="Body Text Indent 3"/>
    <w:basedOn w:val="Normal"/>
    <w:rsid w:val="00322A8F"/>
    <w:pPr>
      <w:spacing w:after="120"/>
      <w:ind w:left="283"/>
    </w:pPr>
    <w:rPr>
      <w:sz w:val="16"/>
      <w:szCs w:val="16"/>
    </w:rPr>
  </w:style>
  <w:style w:type="paragraph" w:styleId="Caption">
    <w:name w:val="caption"/>
    <w:basedOn w:val="Normal"/>
    <w:next w:val="Normal"/>
    <w:qFormat/>
    <w:rsid w:val="00322A8F"/>
    <w:rPr>
      <w:b/>
      <w:bCs/>
      <w:sz w:val="20"/>
    </w:rPr>
  </w:style>
  <w:style w:type="paragraph" w:styleId="Closing">
    <w:name w:val="Closing"/>
    <w:basedOn w:val="Normal"/>
    <w:rsid w:val="00322A8F"/>
    <w:pPr>
      <w:ind w:left="4252"/>
    </w:pPr>
  </w:style>
  <w:style w:type="paragraph" w:styleId="Date">
    <w:name w:val="Date"/>
    <w:basedOn w:val="Normal"/>
    <w:next w:val="Normal"/>
    <w:rsid w:val="00322A8F"/>
  </w:style>
  <w:style w:type="paragraph" w:styleId="E-mailSignature">
    <w:name w:val="E-mail Signature"/>
    <w:basedOn w:val="Normal"/>
    <w:rsid w:val="00322A8F"/>
  </w:style>
  <w:style w:type="paragraph" w:styleId="EnvelopeAddress">
    <w:name w:val="envelope address"/>
    <w:basedOn w:val="Normal"/>
    <w:rsid w:val="00322A8F"/>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322A8F"/>
    <w:rPr>
      <w:rFonts w:ascii="Arial" w:hAnsi="Arial" w:cs="Arial"/>
      <w:sz w:val="20"/>
    </w:rPr>
  </w:style>
  <w:style w:type="character" w:styleId="HTMLAcronym">
    <w:name w:val="HTML Acronym"/>
    <w:basedOn w:val="DefaultParagraphFont"/>
    <w:rsid w:val="00322A8F"/>
  </w:style>
  <w:style w:type="paragraph" w:styleId="HTMLAddress">
    <w:name w:val="HTML Address"/>
    <w:basedOn w:val="Normal"/>
    <w:rsid w:val="00322A8F"/>
    <w:rPr>
      <w:i/>
      <w:iCs/>
    </w:rPr>
  </w:style>
  <w:style w:type="character" w:styleId="HTMLCite">
    <w:name w:val="HTML Cite"/>
    <w:rsid w:val="00322A8F"/>
    <w:rPr>
      <w:i/>
      <w:iCs/>
    </w:rPr>
  </w:style>
  <w:style w:type="character" w:styleId="HTMLCode">
    <w:name w:val="HTML Code"/>
    <w:rsid w:val="00322A8F"/>
    <w:rPr>
      <w:rFonts w:ascii="Courier New" w:hAnsi="Courier New" w:cs="Courier New"/>
      <w:sz w:val="20"/>
      <w:szCs w:val="20"/>
    </w:rPr>
  </w:style>
  <w:style w:type="character" w:styleId="HTMLDefinition">
    <w:name w:val="HTML Definition"/>
    <w:rsid w:val="00322A8F"/>
    <w:rPr>
      <w:i/>
      <w:iCs/>
    </w:rPr>
  </w:style>
  <w:style w:type="character" w:styleId="HTMLKeyboard">
    <w:name w:val="HTML Keyboard"/>
    <w:rsid w:val="00322A8F"/>
    <w:rPr>
      <w:rFonts w:ascii="Courier New" w:hAnsi="Courier New" w:cs="Courier New"/>
      <w:sz w:val="20"/>
      <w:szCs w:val="20"/>
    </w:rPr>
  </w:style>
  <w:style w:type="character" w:styleId="HTMLSample">
    <w:name w:val="HTML Sample"/>
    <w:rsid w:val="00322A8F"/>
    <w:rPr>
      <w:rFonts w:ascii="Courier New" w:hAnsi="Courier New" w:cs="Courier New"/>
    </w:rPr>
  </w:style>
  <w:style w:type="character" w:styleId="HTMLTypewriter">
    <w:name w:val="HTML Typewriter"/>
    <w:rsid w:val="00322A8F"/>
    <w:rPr>
      <w:rFonts w:ascii="Courier New" w:hAnsi="Courier New" w:cs="Courier New"/>
      <w:sz w:val="20"/>
      <w:szCs w:val="20"/>
    </w:rPr>
  </w:style>
  <w:style w:type="character" w:styleId="HTMLVariable">
    <w:name w:val="HTML Variable"/>
    <w:rsid w:val="00322A8F"/>
    <w:rPr>
      <w:i/>
      <w:iCs/>
    </w:rPr>
  </w:style>
  <w:style w:type="paragraph" w:styleId="Index1">
    <w:name w:val="index 1"/>
    <w:basedOn w:val="Normal"/>
    <w:next w:val="Normal"/>
    <w:autoRedefine/>
    <w:semiHidden/>
    <w:rsid w:val="00322A8F"/>
    <w:pPr>
      <w:ind w:left="240" w:hanging="240"/>
    </w:pPr>
  </w:style>
  <w:style w:type="paragraph" w:styleId="Index2">
    <w:name w:val="index 2"/>
    <w:basedOn w:val="Normal"/>
    <w:next w:val="Normal"/>
    <w:autoRedefine/>
    <w:semiHidden/>
    <w:rsid w:val="00322A8F"/>
    <w:pPr>
      <w:ind w:left="480" w:hanging="240"/>
    </w:pPr>
  </w:style>
  <w:style w:type="paragraph" w:styleId="Index3">
    <w:name w:val="index 3"/>
    <w:basedOn w:val="Normal"/>
    <w:next w:val="Normal"/>
    <w:autoRedefine/>
    <w:semiHidden/>
    <w:rsid w:val="00322A8F"/>
    <w:pPr>
      <w:ind w:left="720" w:hanging="240"/>
    </w:pPr>
  </w:style>
  <w:style w:type="paragraph" w:styleId="Index4">
    <w:name w:val="index 4"/>
    <w:basedOn w:val="Normal"/>
    <w:next w:val="Normal"/>
    <w:autoRedefine/>
    <w:semiHidden/>
    <w:rsid w:val="00322A8F"/>
    <w:pPr>
      <w:ind w:left="960" w:hanging="240"/>
    </w:pPr>
  </w:style>
  <w:style w:type="paragraph" w:styleId="Index5">
    <w:name w:val="index 5"/>
    <w:basedOn w:val="Normal"/>
    <w:next w:val="Normal"/>
    <w:autoRedefine/>
    <w:semiHidden/>
    <w:rsid w:val="00322A8F"/>
    <w:pPr>
      <w:ind w:left="1200" w:hanging="240"/>
    </w:pPr>
  </w:style>
  <w:style w:type="paragraph" w:styleId="Index6">
    <w:name w:val="index 6"/>
    <w:basedOn w:val="Normal"/>
    <w:next w:val="Normal"/>
    <w:autoRedefine/>
    <w:semiHidden/>
    <w:rsid w:val="00322A8F"/>
    <w:pPr>
      <w:ind w:left="1440" w:hanging="240"/>
    </w:pPr>
  </w:style>
  <w:style w:type="paragraph" w:styleId="Index7">
    <w:name w:val="index 7"/>
    <w:basedOn w:val="Normal"/>
    <w:next w:val="Normal"/>
    <w:autoRedefine/>
    <w:semiHidden/>
    <w:rsid w:val="00322A8F"/>
    <w:pPr>
      <w:ind w:left="1680" w:hanging="240"/>
    </w:pPr>
  </w:style>
  <w:style w:type="paragraph" w:styleId="Index8">
    <w:name w:val="index 8"/>
    <w:basedOn w:val="Normal"/>
    <w:next w:val="Normal"/>
    <w:autoRedefine/>
    <w:semiHidden/>
    <w:rsid w:val="00322A8F"/>
    <w:pPr>
      <w:ind w:left="1920" w:hanging="240"/>
    </w:pPr>
  </w:style>
  <w:style w:type="paragraph" w:styleId="Index9">
    <w:name w:val="index 9"/>
    <w:basedOn w:val="Normal"/>
    <w:next w:val="Normal"/>
    <w:autoRedefine/>
    <w:semiHidden/>
    <w:rsid w:val="00322A8F"/>
    <w:pPr>
      <w:ind w:left="2160" w:hanging="240"/>
    </w:pPr>
  </w:style>
  <w:style w:type="paragraph" w:styleId="IndexHeading">
    <w:name w:val="index heading"/>
    <w:basedOn w:val="Normal"/>
    <w:next w:val="Index1"/>
    <w:semiHidden/>
    <w:rsid w:val="00322A8F"/>
    <w:rPr>
      <w:rFonts w:ascii="Arial" w:hAnsi="Arial" w:cs="Arial"/>
      <w:b/>
      <w:bCs/>
    </w:rPr>
  </w:style>
  <w:style w:type="character" w:styleId="LineNumber">
    <w:name w:val="line number"/>
    <w:basedOn w:val="DefaultParagraphFont"/>
    <w:rsid w:val="00322A8F"/>
  </w:style>
  <w:style w:type="paragraph" w:styleId="List">
    <w:name w:val="List"/>
    <w:basedOn w:val="Normal"/>
    <w:rsid w:val="00322A8F"/>
    <w:pPr>
      <w:ind w:left="283" w:hanging="283"/>
    </w:pPr>
  </w:style>
  <w:style w:type="paragraph" w:styleId="List2">
    <w:name w:val="List 2"/>
    <w:basedOn w:val="Normal"/>
    <w:rsid w:val="00322A8F"/>
    <w:pPr>
      <w:ind w:left="566" w:hanging="283"/>
    </w:pPr>
  </w:style>
  <w:style w:type="paragraph" w:styleId="List3">
    <w:name w:val="List 3"/>
    <w:basedOn w:val="Normal"/>
    <w:rsid w:val="00322A8F"/>
    <w:pPr>
      <w:ind w:left="849" w:hanging="283"/>
    </w:pPr>
  </w:style>
  <w:style w:type="paragraph" w:styleId="List4">
    <w:name w:val="List 4"/>
    <w:basedOn w:val="Normal"/>
    <w:rsid w:val="00322A8F"/>
    <w:pPr>
      <w:ind w:left="1132" w:hanging="283"/>
    </w:pPr>
  </w:style>
  <w:style w:type="paragraph" w:styleId="List5">
    <w:name w:val="List 5"/>
    <w:basedOn w:val="Normal"/>
    <w:rsid w:val="00322A8F"/>
    <w:pPr>
      <w:ind w:left="1415" w:hanging="283"/>
    </w:pPr>
  </w:style>
  <w:style w:type="paragraph" w:styleId="ListBullet2">
    <w:name w:val="List Bullet 2"/>
    <w:basedOn w:val="Normal"/>
    <w:rsid w:val="00322A8F"/>
    <w:pPr>
      <w:numPr>
        <w:numId w:val="10"/>
      </w:numPr>
    </w:pPr>
  </w:style>
  <w:style w:type="paragraph" w:styleId="ListBullet3">
    <w:name w:val="List Bullet 3"/>
    <w:basedOn w:val="Normal"/>
    <w:rsid w:val="00322A8F"/>
    <w:pPr>
      <w:numPr>
        <w:numId w:val="11"/>
      </w:numPr>
    </w:pPr>
  </w:style>
  <w:style w:type="paragraph" w:styleId="ListBullet4">
    <w:name w:val="List Bullet 4"/>
    <w:basedOn w:val="Normal"/>
    <w:rsid w:val="00322A8F"/>
    <w:pPr>
      <w:numPr>
        <w:numId w:val="12"/>
      </w:numPr>
    </w:pPr>
  </w:style>
  <w:style w:type="paragraph" w:styleId="ListBullet5">
    <w:name w:val="List Bullet 5"/>
    <w:basedOn w:val="Normal"/>
    <w:rsid w:val="00322A8F"/>
    <w:pPr>
      <w:numPr>
        <w:numId w:val="13"/>
      </w:numPr>
    </w:pPr>
  </w:style>
  <w:style w:type="paragraph" w:styleId="ListContinue">
    <w:name w:val="List Continue"/>
    <w:basedOn w:val="Normal"/>
    <w:rsid w:val="00322A8F"/>
    <w:pPr>
      <w:spacing w:after="120"/>
      <w:ind w:left="283"/>
    </w:pPr>
  </w:style>
  <w:style w:type="paragraph" w:styleId="ListContinue2">
    <w:name w:val="List Continue 2"/>
    <w:basedOn w:val="Normal"/>
    <w:rsid w:val="00322A8F"/>
    <w:pPr>
      <w:spacing w:after="120"/>
      <w:ind w:left="566"/>
    </w:pPr>
  </w:style>
  <w:style w:type="paragraph" w:styleId="ListContinue3">
    <w:name w:val="List Continue 3"/>
    <w:basedOn w:val="Normal"/>
    <w:rsid w:val="00322A8F"/>
    <w:pPr>
      <w:spacing w:after="120"/>
      <w:ind w:left="849"/>
    </w:pPr>
  </w:style>
  <w:style w:type="paragraph" w:styleId="ListContinue4">
    <w:name w:val="List Continue 4"/>
    <w:basedOn w:val="Normal"/>
    <w:rsid w:val="00322A8F"/>
    <w:pPr>
      <w:spacing w:after="120"/>
      <w:ind w:left="1132"/>
    </w:pPr>
  </w:style>
  <w:style w:type="paragraph" w:styleId="ListContinue5">
    <w:name w:val="List Continue 5"/>
    <w:basedOn w:val="Normal"/>
    <w:rsid w:val="00322A8F"/>
    <w:pPr>
      <w:spacing w:after="120"/>
      <w:ind w:left="1415"/>
    </w:pPr>
  </w:style>
  <w:style w:type="paragraph" w:styleId="ListNumber">
    <w:name w:val="List Number"/>
    <w:basedOn w:val="Normal"/>
    <w:rsid w:val="00322A8F"/>
    <w:pPr>
      <w:numPr>
        <w:numId w:val="14"/>
      </w:numPr>
    </w:pPr>
  </w:style>
  <w:style w:type="paragraph" w:styleId="ListNumber2">
    <w:name w:val="List Number 2"/>
    <w:basedOn w:val="Normal"/>
    <w:rsid w:val="00322A8F"/>
    <w:pPr>
      <w:numPr>
        <w:numId w:val="15"/>
      </w:numPr>
    </w:pPr>
  </w:style>
  <w:style w:type="paragraph" w:styleId="ListNumber3">
    <w:name w:val="List Number 3"/>
    <w:basedOn w:val="Normal"/>
    <w:rsid w:val="00322A8F"/>
    <w:pPr>
      <w:numPr>
        <w:numId w:val="16"/>
      </w:numPr>
    </w:pPr>
  </w:style>
  <w:style w:type="paragraph" w:styleId="ListNumber4">
    <w:name w:val="List Number 4"/>
    <w:basedOn w:val="Normal"/>
    <w:rsid w:val="00322A8F"/>
    <w:pPr>
      <w:numPr>
        <w:numId w:val="17"/>
      </w:numPr>
    </w:pPr>
  </w:style>
  <w:style w:type="paragraph" w:styleId="ListNumber5">
    <w:name w:val="List Number 5"/>
    <w:basedOn w:val="Normal"/>
    <w:rsid w:val="00322A8F"/>
    <w:pPr>
      <w:numPr>
        <w:numId w:val="18"/>
      </w:numPr>
    </w:pPr>
  </w:style>
  <w:style w:type="paragraph" w:styleId="MacroText">
    <w:name w:val="macro"/>
    <w:semiHidden/>
    <w:rsid w:val="00322A8F"/>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n-GB" w:eastAsia="fr-FR"/>
    </w:rPr>
  </w:style>
  <w:style w:type="paragraph" w:styleId="MessageHeader">
    <w:name w:val="Message Header"/>
    <w:basedOn w:val="Normal"/>
    <w:rsid w:val="00322A8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322A8F"/>
    <w:rPr>
      <w:szCs w:val="24"/>
    </w:rPr>
  </w:style>
  <w:style w:type="paragraph" w:styleId="NormalIndent">
    <w:name w:val="Normal Indent"/>
    <w:basedOn w:val="Normal"/>
    <w:rsid w:val="00322A8F"/>
    <w:pPr>
      <w:ind w:left="720"/>
    </w:pPr>
  </w:style>
  <w:style w:type="paragraph" w:styleId="NoteHeading">
    <w:name w:val="Note Heading"/>
    <w:basedOn w:val="Normal"/>
    <w:next w:val="Normal"/>
    <w:rsid w:val="00322A8F"/>
  </w:style>
  <w:style w:type="paragraph" w:styleId="PlainText">
    <w:name w:val="Plain Text"/>
    <w:basedOn w:val="Normal"/>
    <w:rsid w:val="00322A8F"/>
    <w:rPr>
      <w:rFonts w:ascii="Courier New" w:hAnsi="Courier New" w:cs="Courier New"/>
      <w:sz w:val="20"/>
    </w:rPr>
  </w:style>
  <w:style w:type="paragraph" w:styleId="Salutation">
    <w:name w:val="Salutation"/>
    <w:basedOn w:val="Normal"/>
    <w:next w:val="Normal"/>
    <w:rsid w:val="00322A8F"/>
  </w:style>
  <w:style w:type="paragraph" w:styleId="Signature">
    <w:name w:val="Signature"/>
    <w:basedOn w:val="Normal"/>
    <w:rsid w:val="00322A8F"/>
    <w:pPr>
      <w:ind w:left="4252"/>
    </w:pPr>
  </w:style>
  <w:style w:type="paragraph" w:styleId="Subtitle">
    <w:name w:val="Subtitle"/>
    <w:basedOn w:val="Normal"/>
    <w:qFormat/>
    <w:rsid w:val="00322A8F"/>
    <w:pPr>
      <w:spacing w:after="60"/>
      <w:jc w:val="center"/>
      <w:outlineLvl w:val="1"/>
    </w:pPr>
    <w:rPr>
      <w:rFonts w:ascii="Arial" w:hAnsi="Arial" w:cs="Arial"/>
      <w:szCs w:val="24"/>
    </w:rPr>
  </w:style>
  <w:style w:type="table" w:styleId="Table3Deffects1">
    <w:name w:val="Table 3D effects 1"/>
    <w:basedOn w:val="TableNormal"/>
    <w:rsid w:val="00322A8F"/>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22A8F"/>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22A8F"/>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22A8F"/>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22A8F"/>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22A8F"/>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22A8F"/>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22A8F"/>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22A8F"/>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22A8F"/>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22A8F"/>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22A8F"/>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22A8F"/>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22A8F"/>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22A8F"/>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22A8F"/>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22A8F"/>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22A8F"/>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322A8F"/>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22A8F"/>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22A8F"/>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22A8F"/>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22A8F"/>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22A8F"/>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22A8F"/>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22A8F"/>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22A8F"/>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22A8F"/>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22A8F"/>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22A8F"/>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22A8F"/>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22A8F"/>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22A8F"/>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22A8F"/>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22A8F"/>
    <w:pPr>
      <w:ind w:left="240" w:hanging="240"/>
    </w:pPr>
  </w:style>
  <w:style w:type="paragraph" w:styleId="TableofFigures">
    <w:name w:val="table of figures"/>
    <w:basedOn w:val="Normal"/>
    <w:next w:val="Normal"/>
    <w:semiHidden/>
    <w:rsid w:val="00322A8F"/>
  </w:style>
  <w:style w:type="table" w:styleId="TableProfessional">
    <w:name w:val="Table Professional"/>
    <w:basedOn w:val="TableNormal"/>
    <w:rsid w:val="00322A8F"/>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22A8F"/>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22A8F"/>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22A8F"/>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22A8F"/>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22A8F"/>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22A8F"/>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22A8F"/>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22A8F"/>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22A8F"/>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322A8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22A8F"/>
    <w:pPr>
      <w:spacing w:before="120"/>
    </w:pPr>
    <w:rPr>
      <w:rFonts w:ascii="Arial" w:hAnsi="Arial" w:cs="Arial"/>
      <w:b/>
      <w:bCs/>
      <w:szCs w:val="24"/>
    </w:rPr>
  </w:style>
  <w:style w:type="paragraph" w:styleId="TOC1">
    <w:name w:val="toc 1"/>
    <w:basedOn w:val="Normal"/>
    <w:next w:val="Normal"/>
    <w:autoRedefine/>
    <w:semiHidden/>
    <w:rsid w:val="00322A8F"/>
  </w:style>
  <w:style w:type="paragraph" w:styleId="TOC2">
    <w:name w:val="toc 2"/>
    <w:basedOn w:val="Normal"/>
    <w:next w:val="Normal"/>
    <w:autoRedefine/>
    <w:semiHidden/>
    <w:rsid w:val="00322A8F"/>
    <w:pPr>
      <w:ind w:left="240"/>
    </w:pPr>
  </w:style>
  <w:style w:type="paragraph" w:styleId="TOC3">
    <w:name w:val="toc 3"/>
    <w:basedOn w:val="Normal"/>
    <w:next w:val="Normal"/>
    <w:autoRedefine/>
    <w:semiHidden/>
    <w:rsid w:val="00322A8F"/>
    <w:pPr>
      <w:ind w:left="480"/>
    </w:pPr>
  </w:style>
  <w:style w:type="paragraph" w:styleId="TOC4">
    <w:name w:val="toc 4"/>
    <w:basedOn w:val="Normal"/>
    <w:next w:val="Normal"/>
    <w:autoRedefine/>
    <w:semiHidden/>
    <w:rsid w:val="00322A8F"/>
    <w:pPr>
      <w:ind w:left="720"/>
    </w:pPr>
  </w:style>
  <w:style w:type="paragraph" w:styleId="TOC5">
    <w:name w:val="toc 5"/>
    <w:basedOn w:val="Normal"/>
    <w:next w:val="Normal"/>
    <w:autoRedefine/>
    <w:semiHidden/>
    <w:rsid w:val="00322A8F"/>
    <w:pPr>
      <w:ind w:left="960"/>
    </w:pPr>
  </w:style>
  <w:style w:type="paragraph" w:styleId="TOC6">
    <w:name w:val="toc 6"/>
    <w:basedOn w:val="Normal"/>
    <w:next w:val="Normal"/>
    <w:autoRedefine/>
    <w:semiHidden/>
    <w:rsid w:val="00322A8F"/>
    <w:pPr>
      <w:ind w:left="1200"/>
    </w:pPr>
  </w:style>
  <w:style w:type="paragraph" w:styleId="TOC7">
    <w:name w:val="toc 7"/>
    <w:basedOn w:val="Normal"/>
    <w:next w:val="Normal"/>
    <w:autoRedefine/>
    <w:semiHidden/>
    <w:rsid w:val="00322A8F"/>
    <w:pPr>
      <w:ind w:left="1440"/>
    </w:pPr>
  </w:style>
  <w:style w:type="paragraph" w:styleId="TOC8">
    <w:name w:val="toc 8"/>
    <w:basedOn w:val="Normal"/>
    <w:next w:val="Normal"/>
    <w:autoRedefine/>
    <w:semiHidden/>
    <w:rsid w:val="00322A8F"/>
    <w:pPr>
      <w:ind w:left="1680"/>
    </w:pPr>
  </w:style>
  <w:style w:type="paragraph" w:styleId="TOC9">
    <w:name w:val="toc 9"/>
    <w:basedOn w:val="Normal"/>
    <w:next w:val="Normal"/>
    <w:autoRedefine/>
    <w:semiHidden/>
    <w:rsid w:val="00322A8F"/>
    <w:pPr>
      <w:ind w:left="1920"/>
    </w:pPr>
  </w:style>
  <w:style w:type="table" w:customStyle="1" w:styleId="ECHRHeaderTable">
    <w:name w:val="ECHR_Header_Table"/>
    <w:basedOn w:val="TableGrid"/>
    <w:rsid w:val="00322A8F"/>
    <w:pPr>
      <w:suppressAutoHyphens w:val="0"/>
    </w:pPr>
    <w:rPr>
      <w:rFonts w:ascii="Verdana" w:hAnsi="Verdana"/>
    </w:rPr>
    <w:tblPr>
      <w:tblInd w:w="-624" w:type="dxa"/>
      <w:tblBorders>
        <w:top w:val="single" w:sz="8" w:space="0" w:color="FFFFFF"/>
        <w:left w:val="single" w:sz="8" w:space="0" w:color="FFFFFF"/>
        <w:bottom w:val="single" w:sz="8" w:space="0" w:color="808080"/>
        <w:right w:val="single" w:sz="8" w:space="0" w:color="FFFFFF"/>
        <w:insideH w:val="single" w:sz="8" w:space="0" w:color="FFFFFF"/>
        <w:insideV w:val="single" w:sz="8" w:space="0" w:color="FFFFFF"/>
      </w:tblBorders>
      <w:tblCellMar>
        <w:left w:w="0" w:type="dxa"/>
        <w:bottom w:w="28" w:type="dxa"/>
        <w:right w:w="0" w:type="dxa"/>
      </w:tblCellMar>
    </w:tblPr>
    <w:tcPr>
      <w:noWrap/>
      <w:vAlign w:val="bottom"/>
    </w:tcPr>
  </w:style>
  <w:style w:type="character" w:customStyle="1" w:styleId="ju--005fpara----char--char">
    <w:name w:val="ju--005fpara----char--char"/>
    <w:basedOn w:val="DefaultParagraphFont"/>
    <w:rsid w:val="001E22B7"/>
  </w:style>
  <w:style w:type="character" w:customStyle="1" w:styleId="normal--char">
    <w:name w:val="normal--char"/>
    <w:basedOn w:val="DefaultParagraphFont"/>
    <w:rsid w:val="001E2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E75B71-F63B-4AEB-BBDF-B8D8BC2041CA}"/>
</file>

<file path=customXml/itemProps2.xml><?xml version="1.0" encoding="utf-8"?>
<ds:datastoreItem xmlns:ds="http://schemas.openxmlformats.org/officeDocument/2006/customXml" ds:itemID="{79672F17-8691-4E23-8EEA-E153BEF8E8A9}"/>
</file>

<file path=customXml/itemProps3.xml><?xml version="1.0" encoding="utf-8"?>
<ds:datastoreItem xmlns:ds="http://schemas.openxmlformats.org/officeDocument/2006/customXml" ds:itemID="{A9753859-AC00-4E2D-9D52-AFB155338C11}"/>
</file>

<file path=docProps/app.xml><?xml version="1.0" encoding="utf-8"?>
<Properties xmlns="http://schemas.openxmlformats.org/officeDocument/2006/extended-properties" xmlns:vt="http://schemas.openxmlformats.org/officeDocument/2006/docPropsVTypes">
  <Template>Normal.dotm</Template>
  <TotalTime>1209</TotalTime>
  <Pages>1</Pages>
  <Words>3921</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49</cp:revision>
  <cp:lastPrinted>2013-01-16T09:47:00Z</cp:lastPrinted>
  <dcterms:created xsi:type="dcterms:W3CDTF">2021-12-06T14:46:00Z</dcterms:created>
  <dcterms:modified xsi:type="dcterms:W3CDTF">2021-12-06T14:46:00Z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28790/08</vt:lpwstr>
  </property>
  <property fmtid="{D5CDD505-2E9C-101B-9397-08002B2CF9AE}" pid="4" name="CASEID">
    <vt:lpwstr>512990</vt:lpwstr>
  </property>
  <property fmtid="{D5CDD505-2E9C-101B-9397-08002B2CF9AE}" pid="5" name="OrigTemp">
    <vt:lpwstr>English\Documents\DE02 Judgments and Drafts\DE2.1a DJ joint examination.dot</vt:lpwstr>
  </property>
  <property fmtid="{D5CDD505-2E9C-101B-9397-08002B2CF9AE}" pid="6" name="ContentTypeId">
    <vt:lpwstr>0x010100558EB02BDB9E204AB350EDD385B68E10</vt:lpwstr>
  </property>
</Properties>
</file>