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5.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C096B" w:rsidR="00014566" w:rsidP="00EB6FE9" w:rsidRDefault="00014566">
      <w:pPr>
        <w:pStyle w:val="ECHRDecisionBody"/>
        <w:jc w:val="center"/>
        <w:rPr>
          <w:lang w:val="en-GB"/>
        </w:rPr>
      </w:pPr>
    </w:p>
    <w:p w:rsidRPr="003C096B" w:rsidR="007F2B37" w:rsidP="00EB6FE9" w:rsidRDefault="007F2B37">
      <w:pPr>
        <w:pStyle w:val="ECHRDecisionBody"/>
        <w:jc w:val="center"/>
        <w:rPr>
          <w:lang w:val="en-GB"/>
        </w:rPr>
      </w:pPr>
    </w:p>
    <w:p w:rsidRPr="003C096B" w:rsidR="007F2B37" w:rsidP="00EB6FE9" w:rsidRDefault="007F2B37">
      <w:pPr>
        <w:pStyle w:val="ECHRDecisionBody"/>
        <w:jc w:val="center"/>
        <w:rPr>
          <w:lang w:val="en-GB"/>
        </w:rPr>
      </w:pPr>
    </w:p>
    <w:p w:rsidRPr="003C096B" w:rsidR="00014566" w:rsidP="00EB6FE9" w:rsidRDefault="007F2B37">
      <w:pPr>
        <w:jc w:val="center"/>
        <w:rPr>
          <w:lang w:val="en-GB"/>
        </w:rPr>
      </w:pPr>
      <w:r w:rsidRPr="003C096B">
        <w:rPr>
          <w:lang w:val="en-GB"/>
        </w:rPr>
        <w:t>FOURTH SECTION</w:t>
      </w:r>
    </w:p>
    <w:p w:rsidRPr="003C096B" w:rsidR="00014566" w:rsidP="003C096B" w:rsidRDefault="00014566">
      <w:pPr>
        <w:jc w:val="center"/>
        <w:rPr>
          <w:lang w:val="en-GB"/>
        </w:rPr>
      </w:pPr>
    </w:p>
    <w:p w:rsidRPr="003C096B" w:rsidR="007F2B37" w:rsidP="003C096B" w:rsidRDefault="007F2B37">
      <w:pPr>
        <w:jc w:val="center"/>
        <w:rPr>
          <w:lang w:val="en-GB"/>
        </w:rPr>
      </w:pPr>
    </w:p>
    <w:p w:rsidRPr="003C096B" w:rsidR="007F2B37" w:rsidP="003C096B" w:rsidRDefault="007F2B37">
      <w:pPr>
        <w:jc w:val="center"/>
        <w:rPr>
          <w:lang w:val="en-GB"/>
        </w:rPr>
      </w:pPr>
    </w:p>
    <w:p w:rsidRPr="003C096B" w:rsidR="007F2B37" w:rsidP="003C096B" w:rsidRDefault="007F2B37">
      <w:pPr>
        <w:jc w:val="center"/>
        <w:rPr>
          <w:lang w:val="en-GB"/>
        </w:rPr>
      </w:pPr>
    </w:p>
    <w:p w:rsidRPr="003C096B" w:rsidR="007F2B37" w:rsidP="003C096B" w:rsidRDefault="007F2B37">
      <w:pPr>
        <w:jc w:val="center"/>
        <w:rPr>
          <w:lang w:val="en-GB"/>
        </w:rPr>
      </w:pPr>
    </w:p>
    <w:p w:rsidRPr="003C096B" w:rsidR="007F2B37" w:rsidP="003C096B" w:rsidRDefault="007F2B37">
      <w:pPr>
        <w:jc w:val="center"/>
        <w:rPr>
          <w:lang w:val="en-GB"/>
        </w:rPr>
      </w:pPr>
    </w:p>
    <w:p w:rsidRPr="003C096B" w:rsidR="00014566" w:rsidP="003C096B" w:rsidRDefault="00014566">
      <w:pPr>
        <w:jc w:val="center"/>
        <w:rPr>
          <w:b/>
          <w:lang w:val="en-GB"/>
        </w:rPr>
      </w:pPr>
      <w:bookmarkStart w:name="To" w:id="0"/>
      <w:r w:rsidRPr="003C096B">
        <w:rPr>
          <w:b/>
          <w:lang w:val="en-GB"/>
        </w:rPr>
        <w:t xml:space="preserve">CASE OF </w:t>
      </w:r>
      <w:bookmarkEnd w:id="0"/>
      <w:r w:rsidRPr="003C096B" w:rsidR="007F2B37">
        <w:rPr>
          <w:b/>
          <w:lang w:val="en-GB"/>
        </w:rPr>
        <w:t>GALLARDO SANCHEZ v. ITALY</w:t>
      </w:r>
    </w:p>
    <w:p w:rsidRPr="003C096B" w:rsidR="00014566" w:rsidP="003C096B" w:rsidRDefault="00014566">
      <w:pPr>
        <w:jc w:val="center"/>
        <w:rPr>
          <w:lang w:val="en-GB"/>
        </w:rPr>
      </w:pPr>
    </w:p>
    <w:p w:rsidRPr="003C096B" w:rsidR="00014566" w:rsidP="003C096B" w:rsidRDefault="00014566">
      <w:pPr>
        <w:jc w:val="center"/>
        <w:rPr>
          <w:i/>
          <w:lang w:val="en-GB"/>
        </w:rPr>
      </w:pPr>
      <w:r w:rsidRPr="003C096B">
        <w:rPr>
          <w:i/>
          <w:lang w:val="en-GB"/>
        </w:rPr>
        <w:t>(</w:t>
      </w:r>
      <w:r w:rsidRPr="003C096B" w:rsidR="007F2B37">
        <w:rPr>
          <w:i/>
          <w:lang w:val="en-GB"/>
        </w:rPr>
        <w:t>Application no. 11620/07</w:t>
      </w:r>
      <w:r w:rsidRPr="003C096B">
        <w:rPr>
          <w:i/>
          <w:lang w:val="en-GB"/>
        </w:rPr>
        <w:t>)</w:t>
      </w:r>
    </w:p>
    <w:p w:rsidRPr="003C096B" w:rsidR="00014566" w:rsidP="003C096B" w:rsidRDefault="00014566">
      <w:pPr>
        <w:jc w:val="center"/>
        <w:rPr>
          <w:lang w:val="en-GB"/>
        </w:rPr>
      </w:pPr>
    </w:p>
    <w:p w:rsidRPr="003C096B" w:rsidR="00014566" w:rsidP="003C096B" w:rsidRDefault="00014566">
      <w:pPr>
        <w:jc w:val="center"/>
        <w:rPr>
          <w:lang w:val="en-GB"/>
        </w:rPr>
      </w:pPr>
    </w:p>
    <w:p w:rsidRPr="003C096B" w:rsidR="00014566" w:rsidP="003C096B" w:rsidRDefault="00014566">
      <w:pPr>
        <w:jc w:val="center"/>
        <w:rPr>
          <w:lang w:val="en-GB"/>
        </w:rPr>
      </w:pPr>
    </w:p>
    <w:p w:rsidRPr="003C096B" w:rsidR="00014566" w:rsidP="003C096B" w:rsidRDefault="00014566">
      <w:pPr>
        <w:jc w:val="center"/>
        <w:rPr>
          <w:lang w:val="en-GB"/>
        </w:rPr>
      </w:pPr>
    </w:p>
    <w:p w:rsidRPr="003C096B" w:rsidR="00014566" w:rsidP="003C096B" w:rsidRDefault="00014566">
      <w:pPr>
        <w:jc w:val="center"/>
        <w:rPr>
          <w:lang w:val="en-GB"/>
        </w:rPr>
      </w:pPr>
    </w:p>
    <w:p w:rsidRPr="003C096B" w:rsidR="00014566" w:rsidP="003C096B" w:rsidRDefault="00014566">
      <w:pPr>
        <w:jc w:val="center"/>
        <w:rPr>
          <w:lang w:val="en-GB"/>
        </w:rPr>
      </w:pPr>
    </w:p>
    <w:p w:rsidRPr="003C096B" w:rsidR="00014566" w:rsidP="003C096B" w:rsidRDefault="007F2B37">
      <w:pPr>
        <w:jc w:val="center"/>
        <w:rPr>
          <w:szCs w:val="24"/>
          <w:lang w:val="en-GB"/>
        </w:rPr>
      </w:pPr>
      <w:r w:rsidRPr="003C096B">
        <w:rPr>
          <w:szCs w:val="24"/>
          <w:lang w:val="en-GB"/>
        </w:rPr>
        <w:t>JUDGMENT</w:t>
      </w:r>
    </w:p>
    <w:p w:rsidRPr="003C096B" w:rsidR="007F2B37" w:rsidP="003C096B" w:rsidRDefault="007F2B37">
      <w:pPr>
        <w:pStyle w:val="JuCase"/>
        <w:ind w:firstLine="0"/>
        <w:jc w:val="center"/>
        <w:rPr>
          <w:b w:val="0"/>
          <w:lang w:val="en-GB"/>
        </w:rPr>
      </w:pPr>
    </w:p>
    <w:p w:rsidRPr="003C096B" w:rsidR="007F2B37" w:rsidP="003C096B" w:rsidRDefault="007F2B37">
      <w:pPr>
        <w:pStyle w:val="JuCase"/>
        <w:ind w:firstLine="0"/>
        <w:jc w:val="center"/>
        <w:rPr>
          <w:b w:val="0"/>
          <w:lang w:val="en-GB"/>
        </w:rPr>
      </w:pPr>
    </w:p>
    <w:p w:rsidRPr="003C096B" w:rsidR="007F2B37" w:rsidP="003C096B" w:rsidRDefault="007F2B37">
      <w:pPr>
        <w:pStyle w:val="JuCase"/>
        <w:ind w:firstLine="0"/>
        <w:jc w:val="center"/>
        <w:rPr>
          <w:b w:val="0"/>
          <w:lang w:val="en-GB"/>
        </w:rPr>
      </w:pPr>
      <w:r w:rsidRPr="003C096B">
        <w:rPr>
          <w:b w:val="0"/>
          <w:lang w:val="en-GB"/>
        </w:rPr>
        <w:t>STRASBOURG</w:t>
      </w:r>
    </w:p>
    <w:p w:rsidRPr="003C096B" w:rsidR="007F2B37" w:rsidP="003C096B" w:rsidRDefault="007F2B37">
      <w:pPr>
        <w:pStyle w:val="JuCase"/>
        <w:ind w:firstLine="0"/>
        <w:jc w:val="center"/>
        <w:rPr>
          <w:b w:val="0"/>
          <w:lang w:val="en-GB"/>
        </w:rPr>
      </w:pPr>
    </w:p>
    <w:p w:rsidRPr="003C096B" w:rsidR="007F2B37" w:rsidP="003C096B" w:rsidRDefault="00F013AE">
      <w:pPr>
        <w:pStyle w:val="JuCase"/>
        <w:ind w:firstLine="0"/>
        <w:jc w:val="center"/>
        <w:rPr>
          <w:b w:val="0"/>
          <w:lang w:val="en-GB"/>
        </w:rPr>
      </w:pPr>
      <w:r w:rsidRPr="003C096B">
        <w:rPr>
          <w:b w:val="0"/>
          <w:lang w:val="en-GB"/>
        </w:rPr>
        <w:t>24 March 2015</w:t>
      </w:r>
    </w:p>
    <w:p w:rsidRPr="003C096B" w:rsidR="007F2B37" w:rsidP="003C096B" w:rsidRDefault="007F2B37">
      <w:pPr>
        <w:pStyle w:val="JuCase"/>
        <w:ind w:firstLine="0"/>
        <w:jc w:val="center"/>
        <w:rPr>
          <w:b w:val="0"/>
          <w:lang w:val="en-GB"/>
        </w:rPr>
      </w:pPr>
    </w:p>
    <w:p w:rsidRPr="003C096B" w:rsidR="007F2B37" w:rsidP="003C096B" w:rsidRDefault="007F2B37">
      <w:pPr>
        <w:pStyle w:val="JuCase"/>
        <w:ind w:firstLine="0"/>
        <w:jc w:val="center"/>
        <w:rPr>
          <w:b w:val="0"/>
          <w:lang w:val="en-GB"/>
        </w:rPr>
      </w:pPr>
    </w:p>
    <w:p w:rsidRPr="003C096B" w:rsidR="007F2B37" w:rsidP="003C096B" w:rsidRDefault="007F2B37">
      <w:pPr>
        <w:pStyle w:val="JuCase"/>
        <w:ind w:firstLine="0"/>
        <w:jc w:val="left"/>
        <w:rPr>
          <w:b w:val="0"/>
          <w:lang w:val="en-GB"/>
        </w:rPr>
        <w:sectPr w:rsidRPr="003C096B" w:rsidR="007F2B37" w:rsidSect="007F2B37">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1906" w:h="16838" w:code="9"/>
          <w:pgMar w:top="2274" w:right="2274" w:bottom="2274" w:left="2274" w:header="1701" w:footer="720" w:gutter="0"/>
          <w:pgNumType w:start="1"/>
          <w:cols w:space="720"/>
          <w:titlePg/>
          <w:docGrid w:linePitch="326"/>
        </w:sectPr>
      </w:pPr>
      <w:r w:rsidRPr="003C096B">
        <w:rPr>
          <w:b w:val="0"/>
          <w:i/>
          <w:sz w:val="22"/>
          <w:lang w:val="en-GB"/>
        </w:rPr>
        <w:t>This judgment is final.</w:t>
      </w:r>
    </w:p>
    <w:p w:rsidRPr="003C096B" w:rsidR="00014566" w:rsidP="003C096B" w:rsidRDefault="00014566">
      <w:pPr>
        <w:pStyle w:val="JuCase"/>
        <w:rPr>
          <w:bCs/>
          <w:lang w:val="en-GB"/>
        </w:rPr>
      </w:pPr>
      <w:r w:rsidRPr="003C096B">
        <w:rPr>
          <w:lang w:val="en-GB"/>
        </w:rPr>
        <w:t xml:space="preserve">In the case of </w:t>
      </w:r>
      <w:r w:rsidRPr="003C096B" w:rsidR="007F2B37">
        <w:rPr>
          <w:lang w:val="en-GB"/>
        </w:rPr>
        <w:t>Gallardo Sanchez v. Italy</w:t>
      </w:r>
      <w:r w:rsidRPr="003C096B">
        <w:rPr>
          <w:lang w:val="en-GB"/>
        </w:rPr>
        <w:t>,</w:t>
      </w:r>
    </w:p>
    <w:p w:rsidRPr="003C096B" w:rsidR="00014566" w:rsidP="003C096B" w:rsidRDefault="00014566">
      <w:pPr>
        <w:pStyle w:val="ECHRPara"/>
        <w:rPr>
          <w:lang w:val="en-GB"/>
        </w:rPr>
      </w:pPr>
      <w:r w:rsidRPr="003C096B">
        <w:rPr>
          <w:lang w:val="en-GB"/>
        </w:rPr>
        <w:t>The European Court of Human Rights (</w:t>
      </w:r>
      <w:r w:rsidRPr="003C096B" w:rsidR="007F2B37">
        <w:rPr>
          <w:lang w:val="en-GB"/>
        </w:rPr>
        <w:t>Fourth Section</w:t>
      </w:r>
      <w:r w:rsidRPr="003C096B">
        <w:rPr>
          <w:lang w:val="en-GB"/>
        </w:rPr>
        <w:t xml:space="preserve">), sitting as a </w:t>
      </w:r>
      <w:r w:rsidRPr="003C096B" w:rsidR="007F2B37">
        <w:rPr>
          <w:lang w:val="en-GB"/>
        </w:rPr>
        <w:t>Chamber</w:t>
      </w:r>
      <w:r w:rsidRPr="003C096B">
        <w:rPr>
          <w:lang w:val="en-GB"/>
        </w:rPr>
        <w:t xml:space="preserve"> composed of:</w:t>
      </w:r>
    </w:p>
    <w:p w:rsidRPr="003C096B" w:rsidR="00014566" w:rsidP="003C096B" w:rsidRDefault="00F013AE">
      <w:pPr>
        <w:pStyle w:val="ECHRDecisionBody"/>
        <w:rPr>
          <w:lang w:val="en-GB"/>
        </w:rPr>
      </w:pPr>
      <w:r w:rsidRPr="003C096B">
        <w:rPr>
          <w:lang w:val="en-GB"/>
        </w:rPr>
        <w:tab/>
      </w:r>
      <w:proofErr w:type="spellStart"/>
      <w:r w:rsidRPr="003C096B">
        <w:rPr>
          <w:lang w:val="en-GB"/>
        </w:rPr>
        <w:t>Päivi</w:t>
      </w:r>
      <w:proofErr w:type="spellEnd"/>
      <w:r w:rsidRPr="003C096B">
        <w:rPr>
          <w:lang w:val="en-GB"/>
        </w:rPr>
        <w:t xml:space="preserve"> </w:t>
      </w:r>
      <w:proofErr w:type="spellStart"/>
      <w:r w:rsidRPr="003C096B">
        <w:rPr>
          <w:lang w:val="en-GB"/>
        </w:rPr>
        <w:t>Hirvelä</w:t>
      </w:r>
      <w:proofErr w:type="spellEnd"/>
      <w:r w:rsidRPr="003C096B">
        <w:rPr>
          <w:lang w:val="en-GB"/>
        </w:rPr>
        <w:t>,</w:t>
      </w:r>
      <w:r w:rsidRPr="003C096B">
        <w:rPr>
          <w:i/>
          <w:lang w:val="en-GB"/>
        </w:rPr>
        <w:t xml:space="preserve"> President</w:t>
      </w:r>
      <w:r w:rsidRPr="00A52658">
        <w:rPr>
          <w:lang w:val="en-GB"/>
        </w:rPr>
        <w:t>,</w:t>
      </w:r>
      <w:r w:rsidRPr="003C096B">
        <w:rPr>
          <w:i/>
          <w:lang w:val="en-GB"/>
        </w:rPr>
        <w:br/>
      </w:r>
      <w:r w:rsidRPr="003C096B">
        <w:rPr>
          <w:lang w:val="en-GB"/>
        </w:rPr>
        <w:tab/>
        <w:t>Guido Raimondi,</w:t>
      </w:r>
      <w:r w:rsidRPr="003C096B">
        <w:rPr>
          <w:i/>
          <w:lang w:val="en-GB"/>
        </w:rPr>
        <w:br/>
      </w:r>
      <w:r w:rsidRPr="003C096B">
        <w:rPr>
          <w:lang w:val="en-GB"/>
        </w:rPr>
        <w:tab/>
        <w:t xml:space="preserve">George </w:t>
      </w:r>
      <w:proofErr w:type="spellStart"/>
      <w:r w:rsidRPr="003C096B">
        <w:rPr>
          <w:lang w:val="en-GB"/>
        </w:rPr>
        <w:t>Nicolaou</w:t>
      </w:r>
      <w:proofErr w:type="spellEnd"/>
      <w:r w:rsidRPr="003C096B">
        <w:rPr>
          <w:lang w:val="en-GB"/>
        </w:rPr>
        <w:t>,</w:t>
      </w:r>
      <w:r w:rsidRPr="003C096B">
        <w:rPr>
          <w:i/>
          <w:lang w:val="en-GB"/>
        </w:rPr>
        <w:br/>
      </w:r>
      <w:r w:rsidRPr="003C096B">
        <w:rPr>
          <w:lang w:val="en-GB"/>
        </w:rPr>
        <w:tab/>
      </w:r>
      <w:proofErr w:type="spellStart"/>
      <w:r w:rsidRPr="003C096B">
        <w:rPr>
          <w:lang w:val="en-GB"/>
        </w:rPr>
        <w:t>Ledi</w:t>
      </w:r>
      <w:proofErr w:type="spellEnd"/>
      <w:r w:rsidRPr="003C096B">
        <w:rPr>
          <w:lang w:val="en-GB"/>
        </w:rPr>
        <w:t xml:space="preserve"> </w:t>
      </w:r>
      <w:proofErr w:type="spellStart"/>
      <w:r w:rsidRPr="003C096B">
        <w:rPr>
          <w:lang w:val="en-GB"/>
        </w:rPr>
        <w:t>Bianku</w:t>
      </w:r>
      <w:proofErr w:type="spellEnd"/>
      <w:r w:rsidRPr="003C096B">
        <w:rPr>
          <w:lang w:val="en-GB"/>
        </w:rPr>
        <w:t>,</w:t>
      </w:r>
      <w:r w:rsidRPr="003C096B">
        <w:rPr>
          <w:i/>
          <w:lang w:val="en-GB"/>
        </w:rPr>
        <w:br/>
      </w:r>
      <w:r w:rsidRPr="003C096B">
        <w:rPr>
          <w:lang w:val="en-GB"/>
        </w:rPr>
        <w:tab/>
        <w:t xml:space="preserve">Nona </w:t>
      </w:r>
      <w:proofErr w:type="spellStart"/>
      <w:r w:rsidRPr="003C096B">
        <w:rPr>
          <w:lang w:val="en-GB"/>
        </w:rPr>
        <w:t>Tsotsoria</w:t>
      </w:r>
      <w:proofErr w:type="spellEnd"/>
      <w:r w:rsidRPr="003C096B">
        <w:rPr>
          <w:lang w:val="en-GB"/>
        </w:rPr>
        <w:t>,</w:t>
      </w:r>
      <w:r w:rsidRPr="003C096B">
        <w:rPr>
          <w:i/>
          <w:lang w:val="en-GB"/>
        </w:rPr>
        <w:br/>
      </w:r>
      <w:r w:rsidRPr="003C096B">
        <w:rPr>
          <w:lang w:val="en-GB"/>
        </w:rPr>
        <w:tab/>
        <w:t>Paul Mahoney,</w:t>
      </w:r>
      <w:r w:rsidRPr="003C096B">
        <w:rPr>
          <w:i/>
          <w:lang w:val="en-GB"/>
        </w:rPr>
        <w:br/>
      </w:r>
      <w:r w:rsidRPr="003C096B">
        <w:rPr>
          <w:lang w:val="en-GB"/>
        </w:rPr>
        <w:tab/>
        <w:t xml:space="preserve">Krzysztof </w:t>
      </w:r>
      <w:proofErr w:type="spellStart"/>
      <w:r w:rsidRPr="003C096B">
        <w:rPr>
          <w:lang w:val="en-GB"/>
        </w:rPr>
        <w:t>Wojtyczek</w:t>
      </w:r>
      <w:proofErr w:type="spellEnd"/>
      <w:r w:rsidRPr="003C096B">
        <w:rPr>
          <w:lang w:val="en-GB"/>
        </w:rPr>
        <w:t>,</w:t>
      </w:r>
      <w:r w:rsidRPr="003C096B">
        <w:rPr>
          <w:i/>
          <w:lang w:val="en-GB"/>
        </w:rPr>
        <w:t xml:space="preserve"> judges</w:t>
      </w:r>
      <w:r w:rsidRPr="00A52658">
        <w:rPr>
          <w:lang w:val="en-GB"/>
        </w:rPr>
        <w:t>,</w:t>
      </w:r>
      <w:r w:rsidRPr="003C096B">
        <w:rPr>
          <w:i/>
          <w:lang w:val="en-GB"/>
        </w:rPr>
        <w:br/>
      </w:r>
      <w:r w:rsidRPr="003C096B" w:rsidR="00014566">
        <w:rPr>
          <w:lang w:val="en-GB"/>
        </w:rPr>
        <w:t xml:space="preserve">and </w:t>
      </w:r>
      <w:proofErr w:type="spellStart"/>
      <w:r w:rsidRPr="003C096B" w:rsidR="005436D6">
        <w:rPr>
          <w:lang w:val="en-GB"/>
        </w:rPr>
        <w:t>Fatoş</w:t>
      </w:r>
      <w:proofErr w:type="spellEnd"/>
      <w:r w:rsidRPr="003C096B" w:rsidR="005436D6">
        <w:rPr>
          <w:lang w:val="en-GB"/>
        </w:rPr>
        <w:t xml:space="preserve"> </w:t>
      </w:r>
      <w:proofErr w:type="spellStart"/>
      <w:r w:rsidRPr="003C096B" w:rsidR="005436D6">
        <w:rPr>
          <w:lang w:val="en-GB"/>
        </w:rPr>
        <w:t>Aracı</w:t>
      </w:r>
      <w:proofErr w:type="spellEnd"/>
      <w:r w:rsidRPr="003C096B" w:rsidR="00014566">
        <w:rPr>
          <w:lang w:val="en-GB"/>
        </w:rPr>
        <w:t xml:space="preserve">, </w:t>
      </w:r>
      <w:r w:rsidRPr="003C096B" w:rsidR="005436D6">
        <w:rPr>
          <w:i/>
          <w:lang w:val="en-GB"/>
        </w:rPr>
        <w:t>Deputy</w:t>
      </w:r>
      <w:r w:rsidRPr="003C096B" w:rsidR="005436D6">
        <w:rPr>
          <w:lang w:val="en-GB"/>
        </w:rPr>
        <w:t xml:space="preserve"> </w:t>
      </w:r>
      <w:r w:rsidRPr="003C096B" w:rsidR="007F2B37">
        <w:rPr>
          <w:i/>
          <w:lang w:val="en-GB"/>
        </w:rPr>
        <w:t xml:space="preserve">Section </w:t>
      </w:r>
      <w:r w:rsidRPr="003C096B" w:rsidR="007F2B37">
        <w:rPr>
          <w:i/>
          <w:iCs/>
          <w:lang w:val="en-GB"/>
        </w:rPr>
        <w:t>Registrar</w:t>
      </w:r>
      <w:r w:rsidRPr="00A52658" w:rsidR="00014566">
        <w:rPr>
          <w:lang w:val="en-GB"/>
        </w:rPr>
        <w:t>,</w:t>
      </w:r>
    </w:p>
    <w:p w:rsidRPr="003C096B" w:rsidR="00014566" w:rsidP="003C096B" w:rsidRDefault="00014566">
      <w:pPr>
        <w:pStyle w:val="ECHRPara"/>
        <w:rPr>
          <w:lang w:val="en-GB"/>
        </w:rPr>
      </w:pPr>
      <w:r w:rsidRPr="003C096B">
        <w:rPr>
          <w:lang w:val="en-GB"/>
        </w:rPr>
        <w:t xml:space="preserve">Having deliberated in private on </w:t>
      </w:r>
      <w:r w:rsidRPr="003C096B" w:rsidR="00F013AE">
        <w:rPr>
          <w:lang w:val="en-GB"/>
        </w:rPr>
        <w:t>3 March 2015</w:t>
      </w:r>
      <w:r w:rsidRPr="003C096B">
        <w:rPr>
          <w:lang w:val="en-GB"/>
        </w:rPr>
        <w:t>,</w:t>
      </w:r>
    </w:p>
    <w:p w:rsidRPr="003C096B" w:rsidR="00014566" w:rsidP="003C096B" w:rsidRDefault="00014566">
      <w:pPr>
        <w:pStyle w:val="ECHRPara"/>
        <w:rPr>
          <w:lang w:val="en-GB"/>
        </w:rPr>
      </w:pPr>
      <w:r w:rsidRPr="003C096B">
        <w:rPr>
          <w:lang w:val="en-GB"/>
        </w:rPr>
        <w:t>Delivers the following judgment, which was adopted on that date:</w:t>
      </w:r>
    </w:p>
    <w:p w:rsidRPr="003C096B" w:rsidR="00014566" w:rsidP="003C096B" w:rsidRDefault="00014566">
      <w:pPr>
        <w:pStyle w:val="ECHRTitle1"/>
        <w:rPr>
          <w:lang w:val="en-GB"/>
        </w:rPr>
      </w:pPr>
      <w:r w:rsidRPr="003C096B">
        <w:rPr>
          <w:lang w:val="en-GB"/>
        </w:rPr>
        <w:t>PROCEDURE</w:t>
      </w:r>
    </w:p>
    <w:p w:rsidRPr="003C096B" w:rsidR="003C096B" w:rsidP="003C096B" w:rsidRDefault="007F2B37">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w:t>
      </w:r>
      <w:r w:rsidRPr="003C096B">
        <w:rPr>
          <w:lang w:val="en-GB"/>
        </w:rPr>
        <w:fldChar w:fldCharType="end"/>
      </w:r>
      <w:r w:rsidRPr="003C096B" w:rsidR="00014566">
        <w:rPr>
          <w:lang w:val="en-GB"/>
        </w:rPr>
        <w:t xml:space="preserve">.  The case originated in </w:t>
      </w:r>
      <w:r w:rsidRPr="003C096B">
        <w:rPr>
          <w:lang w:val="en-GB"/>
        </w:rPr>
        <w:t>an application (no. 11620/07)</w:t>
      </w:r>
      <w:r w:rsidRPr="003C096B" w:rsidR="00014566">
        <w:rPr>
          <w:lang w:val="en-GB"/>
        </w:rPr>
        <w:t xml:space="preserve"> against </w:t>
      </w:r>
      <w:r w:rsidRPr="003C096B">
        <w:rPr>
          <w:lang w:val="en-GB"/>
        </w:rPr>
        <w:t>the Italian Republic</w:t>
      </w:r>
      <w:r w:rsidRPr="003C096B" w:rsidR="00014566">
        <w:rPr>
          <w:lang w:val="en-GB"/>
        </w:rPr>
        <w:t xml:space="preserve"> lodged with the </w:t>
      </w:r>
      <w:r w:rsidRPr="003C096B">
        <w:rPr>
          <w:lang w:val="en-GB"/>
        </w:rPr>
        <w:t>Court under Article 34</w:t>
      </w:r>
      <w:r w:rsidRPr="003C096B" w:rsidR="00014566">
        <w:rPr>
          <w:lang w:val="en-GB"/>
        </w:rPr>
        <w:t xml:space="preserve"> of the Convention for the Protection of Human Rights and Fundamental Freedoms (“the Convention”) by </w:t>
      </w:r>
      <w:r w:rsidRPr="003C096B">
        <w:rPr>
          <w:lang w:val="en-GB"/>
        </w:rPr>
        <w:t>a Venezuelan national, Mr Manuel Rogelio Gallardo Sanchez (“the applicant”), on 7 March 2007</w:t>
      </w:r>
      <w:r w:rsidRPr="003C096B" w:rsidR="00014566">
        <w:rPr>
          <w:lang w:val="en-GB"/>
        </w:rPr>
        <w:t>.</w:t>
      </w:r>
    </w:p>
    <w:p w:rsidRPr="003C096B" w:rsidR="007F2B37" w:rsidP="003C096B" w:rsidRDefault="007F2B37">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w:t>
      </w:r>
      <w:r w:rsidRPr="003C096B">
        <w:rPr>
          <w:lang w:val="en-GB"/>
        </w:rPr>
        <w:fldChar w:fldCharType="end"/>
      </w:r>
      <w:r w:rsidRPr="003C096B" w:rsidR="00014566">
        <w:rPr>
          <w:lang w:val="en-GB"/>
        </w:rPr>
        <w:t>.  </w:t>
      </w:r>
      <w:r w:rsidRPr="003C096B">
        <w:rPr>
          <w:lang w:val="en-GB"/>
        </w:rPr>
        <w:t xml:space="preserve">The applicant was represented by Mr S. </w:t>
      </w:r>
      <w:proofErr w:type="spellStart"/>
      <w:r w:rsidRPr="003C096B">
        <w:rPr>
          <w:lang w:val="en-GB"/>
        </w:rPr>
        <w:t>Koulouroudis</w:t>
      </w:r>
      <w:proofErr w:type="spellEnd"/>
      <w:r w:rsidRPr="003C096B">
        <w:rPr>
          <w:lang w:val="en-GB"/>
        </w:rPr>
        <w:t>, a lawyer practising in Ath</w:t>
      </w:r>
      <w:r w:rsidRPr="003C096B" w:rsidR="00BA393C">
        <w:rPr>
          <w:lang w:val="en-GB"/>
        </w:rPr>
        <w:t>en</w:t>
      </w:r>
      <w:r w:rsidRPr="003C096B">
        <w:rPr>
          <w:lang w:val="en-GB"/>
        </w:rPr>
        <w:t xml:space="preserve">s. </w:t>
      </w:r>
      <w:r w:rsidRPr="003C096B" w:rsidR="00014566">
        <w:rPr>
          <w:lang w:val="en-GB"/>
        </w:rPr>
        <w:t xml:space="preserve">The </w:t>
      </w:r>
      <w:r w:rsidRPr="003C096B">
        <w:rPr>
          <w:lang w:val="en-GB"/>
        </w:rPr>
        <w:t>Italian</w:t>
      </w:r>
      <w:r w:rsidRPr="003C096B" w:rsidR="00014566">
        <w:rPr>
          <w:lang w:val="en-GB"/>
        </w:rPr>
        <w:t xml:space="preserve"> Government (“the Government”) were represented by their Agent, M</w:t>
      </w:r>
      <w:r w:rsidRPr="003C096B" w:rsidR="00F013AE">
        <w:rPr>
          <w:lang w:val="en-GB"/>
        </w:rPr>
        <w:t>s</w:t>
      </w:r>
      <w:r w:rsidRPr="003C096B" w:rsidR="00014566">
        <w:rPr>
          <w:lang w:val="en-GB"/>
        </w:rPr>
        <w:t xml:space="preserve"> </w:t>
      </w:r>
      <w:r w:rsidRPr="003C096B" w:rsidR="00F013AE">
        <w:rPr>
          <w:lang w:val="en-GB"/>
        </w:rPr>
        <w:t xml:space="preserve">E. </w:t>
      </w:r>
      <w:proofErr w:type="spellStart"/>
      <w:r w:rsidRPr="003C096B" w:rsidR="00F013AE">
        <w:rPr>
          <w:lang w:val="en-GB"/>
        </w:rPr>
        <w:t>Spatafora</w:t>
      </w:r>
      <w:proofErr w:type="spellEnd"/>
      <w:r w:rsidRPr="003C096B" w:rsidR="00014566">
        <w:rPr>
          <w:lang w:val="en-GB"/>
        </w:rPr>
        <w:t>.</w:t>
      </w:r>
    </w:p>
    <w:p w:rsidRPr="003C096B" w:rsidR="00014566" w:rsidP="003C096B" w:rsidRDefault="007F2B37">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3</w:t>
      </w:r>
      <w:r w:rsidRPr="003C096B">
        <w:rPr>
          <w:lang w:val="en-GB"/>
        </w:rPr>
        <w:fldChar w:fldCharType="end"/>
      </w:r>
      <w:r w:rsidRPr="003C096B">
        <w:rPr>
          <w:lang w:val="en-GB"/>
        </w:rPr>
        <w:t xml:space="preserve">.  The applicant alleged </w:t>
      </w:r>
      <w:r w:rsidRPr="003C096B" w:rsidR="00F013AE">
        <w:rPr>
          <w:lang w:val="en-GB"/>
        </w:rPr>
        <w:t>that the length of his detention pending extradition entailed a violation of Article 5 § 3 of the Convention</w:t>
      </w:r>
      <w:r w:rsidRPr="003C096B">
        <w:rPr>
          <w:lang w:val="en-GB"/>
        </w:rPr>
        <w:t>.</w:t>
      </w:r>
    </w:p>
    <w:p w:rsidRPr="003C096B" w:rsidR="004071D4" w:rsidP="003C096B" w:rsidRDefault="004071D4">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4</w:t>
      </w:r>
      <w:r w:rsidRPr="003C096B">
        <w:rPr>
          <w:lang w:val="en-GB"/>
        </w:rPr>
        <w:fldChar w:fldCharType="end"/>
      </w:r>
      <w:r w:rsidRPr="003C096B">
        <w:rPr>
          <w:lang w:val="en-GB"/>
        </w:rPr>
        <w:t>.  </w:t>
      </w:r>
      <w:r w:rsidRPr="003C096B" w:rsidR="006E04EE">
        <w:rPr>
          <w:lang w:val="en-GB"/>
        </w:rPr>
        <w:t>It was decided that t</w:t>
      </w:r>
      <w:r w:rsidRPr="003C096B">
        <w:rPr>
          <w:lang w:val="en-GB"/>
        </w:rPr>
        <w:t xml:space="preserve">his complaint </w:t>
      </w:r>
      <w:r w:rsidRPr="003C096B" w:rsidR="006E04EE">
        <w:rPr>
          <w:lang w:val="en-GB"/>
        </w:rPr>
        <w:t>would</w:t>
      </w:r>
      <w:r w:rsidRPr="003C096B">
        <w:rPr>
          <w:lang w:val="en-GB"/>
        </w:rPr>
        <w:t xml:space="preserve"> </w:t>
      </w:r>
      <w:r w:rsidRPr="003C096B" w:rsidR="008562B9">
        <w:rPr>
          <w:lang w:val="en-GB"/>
        </w:rPr>
        <w:t xml:space="preserve">instead </w:t>
      </w:r>
      <w:r w:rsidRPr="003C096B">
        <w:rPr>
          <w:lang w:val="en-GB"/>
        </w:rPr>
        <w:t>be examined under Article 5 § 1 (f). On 2 May 2013 notice of the application was given to the Government.</w:t>
      </w:r>
    </w:p>
    <w:p w:rsidRPr="003C096B" w:rsidR="00014566" w:rsidP="003C096B" w:rsidRDefault="007F2B37">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5</w:t>
      </w:r>
      <w:r w:rsidRPr="003C096B">
        <w:rPr>
          <w:lang w:val="en-GB"/>
        </w:rPr>
        <w:fldChar w:fldCharType="end"/>
      </w:r>
      <w:r w:rsidRPr="003C096B" w:rsidR="00014566">
        <w:rPr>
          <w:lang w:val="en-GB"/>
        </w:rPr>
        <w:t>.  </w:t>
      </w:r>
      <w:r w:rsidRPr="003C096B">
        <w:rPr>
          <w:lang w:val="en-GB"/>
        </w:rPr>
        <w:t xml:space="preserve">On </w:t>
      </w:r>
      <w:r w:rsidRPr="003C096B" w:rsidR="004071D4">
        <w:rPr>
          <w:szCs w:val="24"/>
          <w:lang w:val="en-GB"/>
        </w:rPr>
        <w:t>16 December 2013 a copy of the Government</w:t>
      </w:r>
      <w:r w:rsidR="00A51F9F">
        <w:rPr>
          <w:szCs w:val="24"/>
          <w:lang w:val="en-GB"/>
        </w:rPr>
        <w:t>’</w:t>
      </w:r>
      <w:r w:rsidRPr="003C096B" w:rsidR="004071D4">
        <w:rPr>
          <w:szCs w:val="24"/>
          <w:lang w:val="en-GB"/>
        </w:rPr>
        <w:t>s observations was sent to the applicant</w:t>
      </w:r>
      <w:r w:rsidR="00A51F9F">
        <w:rPr>
          <w:szCs w:val="24"/>
          <w:lang w:val="en-GB"/>
        </w:rPr>
        <w:t>’</w:t>
      </w:r>
      <w:r w:rsidRPr="003C096B" w:rsidR="004071D4">
        <w:rPr>
          <w:szCs w:val="24"/>
          <w:lang w:val="en-GB"/>
        </w:rPr>
        <w:t>s representative</w:t>
      </w:r>
      <w:r w:rsidRPr="003C096B" w:rsidR="006E04EE">
        <w:rPr>
          <w:szCs w:val="24"/>
          <w:lang w:val="en-GB"/>
        </w:rPr>
        <w:t>,</w:t>
      </w:r>
      <w:r w:rsidRPr="003C096B" w:rsidR="004071D4">
        <w:rPr>
          <w:szCs w:val="24"/>
          <w:lang w:val="en-GB"/>
        </w:rPr>
        <w:t xml:space="preserve"> inviting him to file with the Court his observations in reply and his claims by way of </w:t>
      </w:r>
      <w:r w:rsidRPr="003C096B" w:rsidR="004071D4">
        <w:rPr>
          <w:szCs w:val="24"/>
          <w:lang w:val="en-GB" w:eastAsia="fr-FR"/>
        </w:rPr>
        <w:t>just satisfaction</w:t>
      </w:r>
      <w:r w:rsidRPr="003C096B" w:rsidR="00014566">
        <w:rPr>
          <w:lang w:val="en-GB"/>
        </w:rPr>
        <w:t>.</w:t>
      </w:r>
      <w:r w:rsidRPr="003C096B" w:rsidR="004071D4">
        <w:rPr>
          <w:lang w:val="en-GB"/>
        </w:rPr>
        <w:t xml:space="preserve"> In spite of the interest manifested by the applicant in pursuing the examination of the case, his representative did not file any observations within the </w:t>
      </w:r>
      <w:r w:rsidRPr="003C096B" w:rsidR="007B2A63">
        <w:rPr>
          <w:lang w:val="en-GB"/>
        </w:rPr>
        <w:t>time-limit</w:t>
      </w:r>
      <w:r w:rsidRPr="003C096B" w:rsidR="004071D4">
        <w:rPr>
          <w:lang w:val="en-GB"/>
        </w:rPr>
        <w:t xml:space="preserve"> fixed for such purpose.</w:t>
      </w:r>
    </w:p>
    <w:p w:rsidRPr="003C096B" w:rsidR="00014566" w:rsidP="003C096B" w:rsidRDefault="00014566">
      <w:pPr>
        <w:pStyle w:val="ECHRTitle1"/>
        <w:rPr>
          <w:lang w:val="en-GB"/>
        </w:rPr>
      </w:pPr>
      <w:r w:rsidRPr="003C096B">
        <w:rPr>
          <w:lang w:val="en-GB"/>
        </w:rPr>
        <w:t>THE FACTS</w:t>
      </w:r>
    </w:p>
    <w:p w:rsidRPr="003C096B" w:rsidR="00014566" w:rsidP="003C096B" w:rsidRDefault="00014566">
      <w:pPr>
        <w:pStyle w:val="ECHRHeading1"/>
        <w:rPr>
          <w:lang w:val="en-GB"/>
        </w:rPr>
      </w:pPr>
      <w:r w:rsidRPr="003C096B">
        <w:rPr>
          <w:lang w:val="en-GB"/>
        </w:rPr>
        <w:t>I.  THE CIRCUMSTANCES OF THE CASE</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6</w:t>
      </w:r>
      <w:r w:rsidRPr="003C096B">
        <w:rPr>
          <w:lang w:val="en-GB"/>
        </w:rPr>
        <w:fldChar w:fldCharType="end"/>
      </w:r>
      <w:r w:rsidRPr="003C096B">
        <w:rPr>
          <w:lang w:val="en-GB"/>
        </w:rPr>
        <w:t>.  </w:t>
      </w:r>
      <w:r w:rsidRPr="003C096B" w:rsidR="007B2A63">
        <w:rPr>
          <w:lang w:val="en-GB"/>
        </w:rPr>
        <w:t>The facts of the case, as submitted by the parties, may be summarised as follows</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7</w:t>
      </w:r>
      <w:r w:rsidRPr="003C096B">
        <w:rPr>
          <w:lang w:val="en-GB"/>
        </w:rPr>
        <w:fldChar w:fldCharType="end"/>
      </w:r>
      <w:r w:rsidRPr="003C096B">
        <w:rPr>
          <w:lang w:val="en-GB"/>
        </w:rPr>
        <w:t>.  </w:t>
      </w:r>
      <w:r w:rsidRPr="003C096B" w:rsidR="007B2A63">
        <w:rPr>
          <w:lang w:val="en-GB"/>
        </w:rPr>
        <w:t>The applicant</w:t>
      </w:r>
      <w:r w:rsidRPr="003C096B">
        <w:rPr>
          <w:lang w:val="en-GB"/>
        </w:rPr>
        <w:t>, M</w:t>
      </w:r>
      <w:r w:rsidRPr="003C096B" w:rsidR="007B2A63">
        <w:rPr>
          <w:lang w:val="en-GB"/>
        </w:rPr>
        <w:t>r</w:t>
      </w:r>
      <w:r w:rsidRPr="003C096B">
        <w:rPr>
          <w:lang w:val="en-GB"/>
        </w:rPr>
        <w:t xml:space="preserve"> Manuel Rogelio Gallardo Sanchez, </w:t>
      </w:r>
      <w:r w:rsidRPr="003C096B" w:rsidR="007B2A63">
        <w:rPr>
          <w:lang w:val="en-GB"/>
        </w:rPr>
        <w:t xml:space="preserve">is a </w:t>
      </w:r>
      <w:r w:rsidRPr="003C096B" w:rsidR="005C6710">
        <w:rPr>
          <w:lang w:val="en-GB"/>
        </w:rPr>
        <w:t>Venezuelan</w:t>
      </w:r>
      <w:r w:rsidRPr="003C096B" w:rsidR="007B2A63">
        <w:rPr>
          <w:lang w:val="en-GB"/>
        </w:rPr>
        <w:t xml:space="preserve"> national who was born in</w:t>
      </w:r>
      <w:r w:rsidRPr="003C096B">
        <w:rPr>
          <w:lang w:val="en-GB"/>
        </w:rPr>
        <w:t xml:space="preserve"> 1965 </w:t>
      </w:r>
      <w:r w:rsidRPr="003C096B" w:rsidR="007B2A63">
        <w:rPr>
          <w:lang w:val="en-GB"/>
        </w:rPr>
        <w:t>and lives in Cape Town</w:t>
      </w:r>
      <w:r w:rsidR="008562B9">
        <w:rPr>
          <w:lang w:val="en-GB"/>
        </w:rPr>
        <w:t xml:space="preserve"> (South Africa)</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8</w:t>
      </w:r>
      <w:r w:rsidRPr="003C096B">
        <w:rPr>
          <w:lang w:val="en-GB"/>
        </w:rPr>
        <w:fldChar w:fldCharType="end"/>
      </w:r>
      <w:r w:rsidRPr="003C096B">
        <w:rPr>
          <w:lang w:val="en-GB"/>
        </w:rPr>
        <w:t>.  </w:t>
      </w:r>
      <w:r w:rsidRPr="003C096B" w:rsidR="007B2A63">
        <w:rPr>
          <w:lang w:val="en-GB"/>
        </w:rPr>
        <w:t>On</w:t>
      </w:r>
      <w:r w:rsidRPr="003C096B">
        <w:rPr>
          <w:lang w:val="en-GB"/>
        </w:rPr>
        <w:t xml:space="preserve"> 19 </w:t>
      </w:r>
      <w:r w:rsidRPr="003C096B" w:rsidR="007B2A63">
        <w:rPr>
          <w:lang w:val="en-GB"/>
        </w:rPr>
        <w:t>Ap</w:t>
      </w:r>
      <w:r w:rsidRPr="003C096B">
        <w:rPr>
          <w:lang w:val="en-GB"/>
        </w:rPr>
        <w:t xml:space="preserve">ril 2005 </w:t>
      </w:r>
      <w:r w:rsidRPr="003C096B" w:rsidR="007B2A63">
        <w:rPr>
          <w:lang w:val="en-GB"/>
        </w:rPr>
        <w:t xml:space="preserve">the applicant, who had been accused of arson by the Greek authorities, was </w:t>
      </w:r>
      <w:r w:rsidRPr="003C096B" w:rsidR="00720DAC">
        <w:rPr>
          <w:lang w:val="en-GB"/>
        </w:rPr>
        <w:t>taken into custody</w:t>
      </w:r>
      <w:r w:rsidRPr="003C096B" w:rsidR="007B2A63">
        <w:rPr>
          <w:lang w:val="en-GB"/>
        </w:rPr>
        <w:t xml:space="preserve"> pending extradition by the</w:t>
      </w:r>
      <w:r w:rsidRPr="003C096B">
        <w:rPr>
          <w:lang w:val="en-GB"/>
        </w:rPr>
        <w:t xml:space="preserve"> Rome</w:t>
      </w:r>
      <w:r w:rsidRPr="003C096B" w:rsidR="007B2A63">
        <w:rPr>
          <w:lang w:val="en-GB"/>
        </w:rPr>
        <w:t xml:space="preserve"> police on the basis of an arrest warrant issued by the Athens Court of Appeal on</w:t>
      </w:r>
      <w:r w:rsidRPr="003C096B">
        <w:rPr>
          <w:lang w:val="en-GB"/>
        </w:rPr>
        <w:t xml:space="preserve"> 26 </w:t>
      </w:r>
      <w:r w:rsidRPr="003C096B" w:rsidR="007B2A63">
        <w:rPr>
          <w:lang w:val="en-GB"/>
        </w:rPr>
        <w:t xml:space="preserve">January </w:t>
      </w:r>
      <w:r w:rsidRPr="003C096B">
        <w:rPr>
          <w:lang w:val="en-GB"/>
        </w:rPr>
        <w:t xml:space="preserve">2005 </w:t>
      </w:r>
      <w:r w:rsidRPr="003C096B" w:rsidR="007B2A63">
        <w:rPr>
          <w:lang w:val="en-GB"/>
        </w:rPr>
        <w:t>under the European Convention on E</w:t>
      </w:r>
      <w:r w:rsidRPr="003C096B">
        <w:rPr>
          <w:lang w:val="en-GB"/>
        </w:rPr>
        <w:t xml:space="preserve">xtradition </w:t>
      </w:r>
      <w:r w:rsidRPr="003C096B" w:rsidR="007B2A63">
        <w:rPr>
          <w:lang w:val="en-GB"/>
        </w:rPr>
        <w:t>of</w:t>
      </w:r>
      <w:r w:rsidRPr="003C096B">
        <w:rPr>
          <w:lang w:val="en-GB"/>
        </w:rPr>
        <w:t xml:space="preserve"> 13 </w:t>
      </w:r>
      <w:r w:rsidRPr="003C096B" w:rsidR="007B2A63">
        <w:rPr>
          <w:lang w:val="en-GB"/>
        </w:rPr>
        <w:t>December</w:t>
      </w:r>
      <w:r w:rsidRPr="003C096B">
        <w:rPr>
          <w:lang w:val="en-GB"/>
        </w:rPr>
        <w:t xml:space="preserve"> 1957.</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9</w:t>
      </w:r>
      <w:r w:rsidRPr="003C096B">
        <w:rPr>
          <w:lang w:val="en-GB"/>
        </w:rPr>
        <w:fldChar w:fldCharType="end"/>
      </w:r>
      <w:r w:rsidRPr="003C096B">
        <w:rPr>
          <w:lang w:val="en-GB"/>
        </w:rPr>
        <w:t>.  </w:t>
      </w:r>
      <w:r w:rsidRPr="003C096B" w:rsidR="00F5125C">
        <w:rPr>
          <w:lang w:val="en-GB"/>
        </w:rPr>
        <w:t>On 22 Ap</w:t>
      </w:r>
      <w:r w:rsidRPr="003C096B">
        <w:rPr>
          <w:lang w:val="en-GB"/>
        </w:rPr>
        <w:t>ril 2005</w:t>
      </w:r>
      <w:r w:rsidRPr="003C096B" w:rsidR="00F5125C">
        <w:rPr>
          <w:lang w:val="en-GB"/>
        </w:rPr>
        <w:t xml:space="preserve"> the </w:t>
      </w:r>
      <w:r w:rsidRPr="003C096B">
        <w:rPr>
          <w:lang w:val="en-GB"/>
        </w:rPr>
        <w:t>L</w:t>
      </w:r>
      <w:r w:rsidR="00A51F9F">
        <w:rPr>
          <w:lang w:val="en-GB"/>
        </w:rPr>
        <w:t>’</w:t>
      </w:r>
      <w:r w:rsidRPr="003C096B">
        <w:rPr>
          <w:lang w:val="en-GB"/>
        </w:rPr>
        <w:t>Aquila</w:t>
      </w:r>
      <w:r w:rsidR="005D28A2">
        <w:rPr>
          <w:lang w:val="en-GB"/>
        </w:rPr>
        <w:t xml:space="preserve"> </w:t>
      </w:r>
      <w:r w:rsidRPr="003C096B" w:rsidR="005D28A2">
        <w:rPr>
          <w:lang w:val="en-GB"/>
        </w:rPr>
        <w:t>Court of Appeal</w:t>
      </w:r>
      <w:r w:rsidRPr="003C096B">
        <w:rPr>
          <w:lang w:val="en-GB"/>
        </w:rPr>
        <w:t xml:space="preserve"> valid</w:t>
      </w:r>
      <w:r w:rsidRPr="003C096B" w:rsidR="00F5125C">
        <w:rPr>
          <w:lang w:val="en-GB"/>
        </w:rPr>
        <w:t>ated the applicant</w:t>
      </w:r>
      <w:r w:rsidR="00A51F9F">
        <w:rPr>
          <w:lang w:val="en-GB"/>
        </w:rPr>
        <w:t>’</w:t>
      </w:r>
      <w:r w:rsidRPr="003C096B" w:rsidR="00A220C4">
        <w:rPr>
          <w:lang w:val="en-GB"/>
        </w:rPr>
        <w:t>s arrest and ordered his detention</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10</w:t>
      </w:r>
      <w:r w:rsidRPr="003C096B">
        <w:rPr>
          <w:lang w:val="en-GB"/>
        </w:rPr>
        <w:fldChar w:fldCharType="end"/>
      </w:r>
      <w:r w:rsidRPr="003C096B">
        <w:rPr>
          <w:lang w:val="en-GB"/>
        </w:rPr>
        <w:t>.  </w:t>
      </w:r>
      <w:r w:rsidRPr="003C096B" w:rsidR="00A220C4">
        <w:rPr>
          <w:lang w:val="en-GB"/>
        </w:rPr>
        <w:t>On</w:t>
      </w:r>
      <w:r w:rsidRPr="003C096B">
        <w:rPr>
          <w:lang w:val="en-GB"/>
        </w:rPr>
        <w:t xml:space="preserve"> 26 </w:t>
      </w:r>
      <w:r w:rsidRPr="003C096B" w:rsidR="00A220C4">
        <w:rPr>
          <w:lang w:val="en-GB"/>
        </w:rPr>
        <w:t>Ap</w:t>
      </w:r>
      <w:r w:rsidRPr="003C096B">
        <w:rPr>
          <w:lang w:val="en-GB"/>
        </w:rPr>
        <w:t>ril 2005</w:t>
      </w:r>
      <w:r w:rsidRPr="003C096B" w:rsidR="00A220C4">
        <w:rPr>
          <w:lang w:val="en-GB"/>
        </w:rPr>
        <w:t xml:space="preserve"> the Ministry of Justice asked the Court of Appeal to extend his detention</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11</w:t>
      </w:r>
      <w:r w:rsidRPr="003C096B">
        <w:rPr>
          <w:lang w:val="en-GB"/>
        </w:rPr>
        <w:fldChar w:fldCharType="end"/>
      </w:r>
      <w:r w:rsidRPr="003C096B">
        <w:rPr>
          <w:lang w:val="en-GB"/>
        </w:rPr>
        <w:t>.  </w:t>
      </w:r>
      <w:r w:rsidRPr="003C096B" w:rsidR="00A220C4">
        <w:rPr>
          <w:lang w:val="en-GB"/>
        </w:rPr>
        <w:t>At the hearing of</w:t>
      </w:r>
      <w:r w:rsidRPr="003C096B">
        <w:rPr>
          <w:lang w:val="en-GB"/>
        </w:rPr>
        <w:t xml:space="preserve"> 27 </w:t>
      </w:r>
      <w:r w:rsidRPr="003C096B" w:rsidR="00A220C4">
        <w:rPr>
          <w:lang w:val="en-GB"/>
        </w:rPr>
        <w:t>Ap</w:t>
      </w:r>
      <w:r w:rsidRPr="003C096B">
        <w:rPr>
          <w:lang w:val="en-GB"/>
        </w:rPr>
        <w:t xml:space="preserve">ril 2005, </w:t>
      </w:r>
      <w:r w:rsidRPr="003C096B" w:rsidR="00A220C4">
        <w:rPr>
          <w:lang w:val="en-GB"/>
        </w:rPr>
        <w:t>the President of the Court of Appeal, ruling under A</w:t>
      </w:r>
      <w:r w:rsidRPr="003C096B">
        <w:rPr>
          <w:lang w:val="en-GB"/>
        </w:rPr>
        <w:t xml:space="preserve">rticle 717 </w:t>
      </w:r>
      <w:r w:rsidRPr="003C096B" w:rsidR="00A220C4">
        <w:rPr>
          <w:lang w:val="en-GB"/>
        </w:rPr>
        <w:t>of the Code of Criminal Procedure</w:t>
      </w:r>
      <w:r w:rsidRPr="003C096B">
        <w:rPr>
          <w:lang w:val="en-GB"/>
        </w:rPr>
        <w:t xml:space="preserve"> (</w:t>
      </w:r>
      <w:r w:rsidRPr="003C096B" w:rsidR="00A220C4">
        <w:rPr>
          <w:lang w:val="en-GB"/>
        </w:rPr>
        <w:t>see paragraph</w:t>
      </w:r>
      <w:r w:rsidRPr="003C096B">
        <w:rPr>
          <w:lang w:val="en-GB"/>
        </w:rPr>
        <w:t xml:space="preserve"> 25 </w:t>
      </w:r>
      <w:r w:rsidRPr="003C096B" w:rsidR="00A220C4">
        <w:rPr>
          <w:lang w:val="en-GB"/>
        </w:rPr>
        <w:t>below</w:t>
      </w:r>
      <w:r w:rsidRPr="003C096B">
        <w:rPr>
          <w:lang w:val="en-GB"/>
        </w:rPr>
        <w:t xml:space="preserve">), </w:t>
      </w:r>
      <w:r w:rsidRPr="003C096B" w:rsidR="00A220C4">
        <w:rPr>
          <w:lang w:val="en-GB"/>
        </w:rPr>
        <w:t>established the applicant</w:t>
      </w:r>
      <w:r w:rsidR="00A51F9F">
        <w:rPr>
          <w:lang w:val="en-GB"/>
        </w:rPr>
        <w:t>’</w:t>
      </w:r>
      <w:r w:rsidRPr="003C096B" w:rsidR="00A220C4">
        <w:rPr>
          <w:lang w:val="en-GB"/>
        </w:rPr>
        <w:t>s identity and asked if he gave his consent to his</w:t>
      </w:r>
      <w:r w:rsidRPr="003C096B">
        <w:rPr>
          <w:lang w:val="en-GB"/>
        </w:rPr>
        <w:t xml:space="preserve"> extradition. </w:t>
      </w:r>
      <w:r w:rsidRPr="003C096B" w:rsidR="00A220C4">
        <w:rPr>
          <w:lang w:val="en-GB"/>
        </w:rPr>
        <w:t>He did not consent</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12</w:t>
      </w:r>
      <w:r w:rsidRPr="003C096B">
        <w:rPr>
          <w:lang w:val="en-GB"/>
        </w:rPr>
        <w:fldChar w:fldCharType="end"/>
      </w:r>
      <w:r w:rsidRPr="003C096B">
        <w:rPr>
          <w:lang w:val="en-GB"/>
        </w:rPr>
        <w:t>.  </w:t>
      </w:r>
      <w:r w:rsidRPr="003C096B" w:rsidR="00A220C4">
        <w:rPr>
          <w:lang w:val="en-GB"/>
        </w:rPr>
        <w:t>On</w:t>
      </w:r>
      <w:r w:rsidRPr="003C096B">
        <w:rPr>
          <w:lang w:val="en-GB"/>
        </w:rPr>
        <w:t xml:space="preserve"> 9 </w:t>
      </w:r>
      <w:r w:rsidRPr="003C096B" w:rsidR="00A220C4">
        <w:rPr>
          <w:lang w:val="en-GB"/>
        </w:rPr>
        <w:t>June</w:t>
      </w:r>
      <w:r w:rsidRPr="003C096B">
        <w:rPr>
          <w:lang w:val="en-GB"/>
        </w:rPr>
        <w:t xml:space="preserve"> 2005</w:t>
      </w:r>
      <w:r w:rsidRPr="003C096B" w:rsidR="00A220C4">
        <w:rPr>
          <w:lang w:val="en-GB"/>
        </w:rPr>
        <w:t xml:space="preserve"> the Minist</w:t>
      </w:r>
      <w:r w:rsidR="005D28A2">
        <w:rPr>
          <w:lang w:val="en-GB"/>
        </w:rPr>
        <w:t>ry</w:t>
      </w:r>
      <w:r w:rsidRPr="003C096B" w:rsidR="00A220C4">
        <w:rPr>
          <w:lang w:val="en-GB"/>
        </w:rPr>
        <w:t xml:space="preserve"> of</w:t>
      </w:r>
      <w:r w:rsidRPr="003C096B">
        <w:rPr>
          <w:lang w:val="en-GB"/>
        </w:rPr>
        <w:t xml:space="preserve"> Justice inform</w:t>
      </w:r>
      <w:r w:rsidRPr="003C096B" w:rsidR="00A220C4">
        <w:rPr>
          <w:lang w:val="en-GB"/>
        </w:rPr>
        <w:t>ed the Court of Appeal that</w:t>
      </w:r>
      <w:r w:rsidRPr="003C096B">
        <w:rPr>
          <w:lang w:val="en-GB"/>
        </w:rPr>
        <w:t xml:space="preserve">, </w:t>
      </w:r>
      <w:r w:rsidRPr="003C096B" w:rsidR="00A220C4">
        <w:rPr>
          <w:lang w:val="en-GB"/>
        </w:rPr>
        <w:t>on</w:t>
      </w:r>
      <w:r w:rsidRPr="003C096B">
        <w:rPr>
          <w:lang w:val="en-GB"/>
        </w:rPr>
        <w:t xml:space="preserve"> 25 </w:t>
      </w:r>
      <w:r w:rsidRPr="003C096B" w:rsidR="00A220C4">
        <w:rPr>
          <w:lang w:val="en-GB"/>
        </w:rPr>
        <w:t>May</w:t>
      </w:r>
      <w:r w:rsidRPr="003C096B">
        <w:rPr>
          <w:lang w:val="en-GB"/>
        </w:rPr>
        <w:t xml:space="preserve"> 2005, </w:t>
      </w:r>
      <w:r w:rsidRPr="003C096B" w:rsidR="00A220C4">
        <w:rPr>
          <w:lang w:val="en-GB"/>
        </w:rPr>
        <w:t xml:space="preserve">the Greek authorities had sent a request for </w:t>
      </w:r>
      <w:r w:rsidRPr="003C096B">
        <w:rPr>
          <w:lang w:val="en-GB"/>
        </w:rPr>
        <w:t xml:space="preserve">extradition </w:t>
      </w:r>
      <w:r w:rsidRPr="003C096B" w:rsidR="00A220C4">
        <w:rPr>
          <w:lang w:val="en-GB"/>
        </w:rPr>
        <w:t>together with all the requisite supporting documents</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13</w:t>
      </w:r>
      <w:r w:rsidRPr="003C096B">
        <w:rPr>
          <w:lang w:val="en-GB"/>
        </w:rPr>
        <w:fldChar w:fldCharType="end"/>
      </w:r>
      <w:r w:rsidRPr="003C096B">
        <w:rPr>
          <w:lang w:val="en-GB"/>
        </w:rPr>
        <w:t>.  </w:t>
      </w:r>
      <w:r w:rsidRPr="003C096B" w:rsidR="00A220C4">
        <w:rPr>
          <w:lang w:val="en-GB"/>
        </w:rPr>
        <w:t>On</w:t>
      </w:r>
      <w:r w:rsidRPr="003C096B">
        <w:rPr>
          <w:lang w:val="en-GB"/>
        </w:rPr>
        <w:t xml:space="preserve"> 21 </w:t>
      </w:r>
      <w:r w:rsidRPr="003C096B" w:rsidR="00A220C4">
        <w:rPr>
          <w:lang w:val="en-GB"/>
        </w:rPr>
        <w:t>June</w:t>
      </w:r>
      <w:r w:rsidRPr="003C096B">
        <w:rPr>
          <w:lang w:val="en-GB"/>
        </w:rPr>
        <w:t xml:space="preserve"> 2005</w:t>
      </w:r>
      <w:r w:rsidRPr="003C096B" w:rsidR="00A220C4">
        <w:rPr>
          <w:lang w:val="en-GB"/>
        </w:rPr>
        <w:t xml:space="preserve"> the public prosecutor</w:t>
      </w:r>
      <w:r w:rsidR="00A51F9F">
        <w:rPr>
          <w:lang w:val="en-GB"/>
        </w:rPr>
        <w:t>’</w:t>
      </w:r>
      <w:r w:rsidRPr="003C096B" w:rsidR="00A220C4">
        <w:rPr>
          <w:lang w:val="en-GB"/>
        </w:rPr>
        <w:t>s office asked the Court of Appeal to grant the extradition request</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14</w:t>
      </w:r>
      <w:r w:rsidRPr="003C096B">
        <w:rPr>
          <w:lang w:val="en-GB"/>
        </w:rPr>
        <w:fldChar w:fldCharType="end"/>
      </w:r>
      <w:r w:rsidRPr="003C096B">
        <w:rPr>
          <w:lang w:val="en-GB"/>
        </w:rPr>
        <w:t>.  </w:t>
      </w:r>
      <w:r w:rsidRPr="003C096B" w:rsidR="00A220C4">
        <w:rPr>
          <w:lang w:val="en-GB"/>
        </w:rPr>
        <w:t>The hearing was scheduled for</w:t>
      </w:r>
      <w:r w:rsidRPr="003C096B">
        <w:rPr>
          <w:lang w:val="en-GB"/>
        </w:rPr>
        <w:t xml:space="preserve"> 15 </w:t>
      </w:r>
      <w:r w:rsidRPr="003C096B" w:rsidR="00A220C4">
        <w:rPr>
          <w:lang w:val="en-GB"/>
        </w:rPr>
        <w:t>December</w:t>
      </w:r>
      <w:r w:rsidRPr="003C096B">
        <w:rPr>
          <w:lang w:val="en-GB"/>
        </w:rPr>
        <w:t xml:space="preserve"> 2005. </w:t>
      </w:r>
      <w:r w:rsidRPr="003C096B" w:rsidR="00A220C4">
        <w:rPr>
          <w:rFonts w:cstheme="minorHAnsi"/>
          <w:lang w:val="en-GB"/>
        </w:rPr>
        <w:t>At the request of the applicant</w:t>
      </w:r>
      <w:r w:rsidR="00A51F9F">
        <w:rPr>
          <w:rFonts w:cstheme="minorHAnsi"/>
          <w:lang w:val="en-GB"/>
        </w:rPr>
        <w:t>’</w:t>
      </w:r>
      <w:r w:rsidRPr="003C096B" w:rsidR="00A220C4">
        <w:rPr>
          <w:rFonts w:cstheme="minorHAnsi"/>
          <w:lang w:val="en-GB"/>
        </w:rPr>
        <w:t>s representative</w:t>
      </w:r>
      <w:r w:rsidRPr="003C096B">
        <w:rPr>
          <w:lang w:val="en-GB"/>
        </w:rPr>
        <w:t xml:space="preserve">, </w:t>
      </w:r>
      <w:r w:rsidRPr="003C096B" w:rsidR="00A220C4">
        <w:rPr>
          <w:lang w:val="en-GB"/>
        </w:rPr>
        <w:t>it was postponed until</w:t>
      </w:r>
      <w:r w:rsidRPr="003C096B">
        <w:rPr>
          <w:lang w:val="en-GB"/>
        </w:rPr>
        <w:t xml:space="preserve"> 12 </w:t>
      </w:r>
      <w:r w:rsidRPr="003C096B" w:rsidR="00A220C4">
        <w:rPr>
          <w:lang w:val="en-GB"/>
        </w:rPr>
        <w:t>January</w:t>
      </w:r>
      <w:r w:rsidRPr="003C096B">
        <w:rPr>
          <w:lang w:val="en-GB"/>
        </w:rPr>
        <w:t xml:space="preserve"> 2006.</w:t>
      </w:r>
    </w:p>
    <w:p w:rsidRPr="003C096B" w:rsidR="004F659D" w:rsidP="003C096B" w:rsidRDefault="004F659D">
      <w:pPr>
        <w:ind w:firstLine="284"/>
        <w:rPr>
          <w:rFonts w:ascii="Times New Roman" w:hAnsi="Times New Roman" w:eastAsia="Times New Roman" w:cs="Times New Roman"/>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15</w:t>
      </w:r>
      <w:r w:rsidRPr="003C096B">
        <w:rPr>
          <w:lang w:val="en-GB"/>
        </w:rPr>
        <w:fldChar w:fldCharType="end"/>
      </w:r>
      <w:r w:rsidRPr="003C096B">
        <w:rPr>
          <w:lang w:val="en-GB"/>
        </w:rPr>
        <w:t>.  </w:t>
      </w:r>
      <w:r w:rsidRPr="003C096B" w:rsidR="00A220C4">
        <w:rPr>
          <w:lang w:val="en-GB"/>
        </w:rPr>
        <w:t xml:space="preserve">Without </w:t>
      </w:r>
      <w:r w:rsidRPr="003C096B" w:rsidR="00D635C8">
        <w:rPr>
          <w:lang w:val="en-GB"/>
        </w:rPr>
        <w:t>any prior investigation</w:t>
      </w:r>
      <w:r w:rsidRPr="003C096B" w:rsidR="00A220C4">
        <w:rPr>
          <w:lang w:val="en-GB"/>
        </w:rPr>
        <w:t xml:space="preserve"> the Court of Appeal </w:t>
      </w:r>
      <w:r w:rsidRPr="003C096B" w:rsidR="00D635C8">
        <w:rPr>
          <w:lang w:val="en-GB"/>
        </w:rPr>
        <w:t xml:space="preserve">approved the </w:t>
      </w:r>
      <w:r w:rsidRPr="003C096B">
        <w:rPr>
          <w:lang w:val="en-GB"/>
        </w:rPr>
        <w:t xml:space="preserve">extradition </w:t>
      </w:r>
      <w:r w:rsidRPr="003C096B" w:rsidR="00D635C8">
        <w:rPr>
          <w:lang w:val="en-GB"/>
        </w:rPr>
        <w:t>by a decision of</w:t>
      </w:r>
      <w:r w:rsidRPr="003C096B">
        <w:rPr>
          <w:lang w:val="en-GB"/>
        </w:rPr>
        <w:t xml:space="preserve"> 12 </w:t>
      </w:r>
      <w:r w:rsidRPr="003C096B" w:rsidR="00D635C8">
        <w:rPr>
          <w:lang w:val="en-GB"/>
        </w:rPr>
        <w:t>January</w:t>
      </w:r>
      <w:r w:rsidRPr="003C096B">
        <w:rPr>
          <w:lang w:val="en-GB"/>
        </w:rPr>
        <w:t xml:space="preserve"> 2006, d</w:t>
      </w:r>
      <w:r w:rsidRPr="003C096B" w:rsidR="00D635C8">
        <w:rPr>
          <w:lang w:val="en-GB"/>
        </w:rPr>
        <w:t>eposited on</w:t>
      </w:r>
      <w:r w:rsidRPr="003C096B">
        <w:rPr>
          <w:lang w:val="en-GB"/>
        </w:rPr>
        <w:t xml:space="preserve"> 30 </w:t>
      </w:r>
      <w:r w:rsidRPr="003C096B" w:rsidR="00D635C8">
        <w:rPr>
          <w:lang w:val="en-GB"/>
        </w:rPr>
        <w:t>January</w:t>
      </w:r>
      <w:r w:rsidRPr="003C096B">
        <w:rPr>
          <w:lang w:val="en-GB"/>
        </w:rPr>
        <w:t xml:space="preserve"> 2006. </w:t>
      </w:r>
      <w:r w:rsidRPr="003C096B" w:rsidR="00D635C8">
        <w:rPr>
          <w:lang w:val="en-GB"/>
        </w:rPr>
        <w:t>It verified the conformity of the</w:t>
      </w:r>
      <w:r w:rsidRPr="003C096B">
        <w:rPr>
          <w:rFonts w:ascii="Times New Roman" w:hAnsi="Times New Roman" w:eastAsia="Times New Roman" w:cs="Times New Roman"/>
          <w:lang w:val="en-GB"/>
        </w:rPr>
        <w:t xml:space="preserve"> extradition </w:t>
      </w:r>
      <w:r w:rsidRPr="003C096B" w:rsidR="00D635C8">
        <w:rPr>
          <w:rFonts w:ascii="Times New Roman" w:hAnsi="Times New Roman" w:eastAsia="Times New Roman" w:cs="Times New Roman"/>
          <w:lang w:val="en-GB"/>
        </w:rPr>
        <w:t>request with the European Convention on E</w:t>
      </w:r>
      <w:r w:rsidRPr="003C096B">
        <w:rPr>
          <w:rFonts w:ascii="Times New Roman" w:hAnsi="Times New Roman" w:eastAsia="Times New Roman" w:cs="Times New Roman"/>
          <w:lang w:val="en-GB"/>
        </w:rPr>
        <w:t xml:space="preserve">xtradition </w:t>
      </w:r>
      <w:r w:rsidRPr="003C096B" w:rsidR="00D635C8">
        <w:rPr>
          <w:rFonts w:ascii="Times New Roman" w:hAnsi="Times New Roman" w:eastAsia="Times New Roman" w:cs="Times New Roman"/>
          <w:lang w:val="en-GB"/>
        </w:rPr>
        <w:t xml:space="preserve">and </w:t>
      </w:r>
      <w:r w:rsidR="005D28A2">
        <w:rPr>
          <w:rFonts w:ascii="Times New Roman" w:hAnsi="Times New Roman" w:eastAsia="Times New Roman" w:cs="Times New Roman"/>
          <w:lang w:val="en-GB"/>
        </w:rPr>
        <w:t xml:space="preserve">its </w:t>
      </w:r>
      <w:r w:rsidRPr="003C096B" w:rsidR="00D635C8">
        <w:rPr>
          <w:rFonts w:ascii="Times New Roman" w:hAnsi="Times New Roman" w:eastAsia="Times New Roman" w:cs="Times New Roman"/>
          <w:lang w:val="en-GB"/>
        </w:rPr>
        <w:t>compliance with</w:t>
      </w:r>
      <w:r w:rsidRPr="003C096B" w:rsidR="005C6710">
        <w:rPr>
          <w:rFonts w:ascii="Times New Roman" w:hAnsi="Times New Roman" w:eastAsia="Times New Roman" w:cs="Times New Roman"/>
          <w:lang w:val="en-GB"/>
        </w:rPr>
        <w:t xml:space="preserve"> the</w:t>
      </w:r>
      <w:r w:rsidRPr="003C096B" w:rsidR="00D635C8">
        <w:rPr>
          <w:rFonts w:ascii="Times New Roman" w:hAnsi="Times New Roman" w:eastAsia="Times New Roman" w:cs="Times New Roman"/>
          <w:lang w:val="en-GB"/>
        </w:rPr>
        <w:t xml:space="preserve"> </w:t>
      </w:r>
      <w:r w:rsidRPr="003C096B">
        <w:rPr>
          <w:rFonts w:ascii="Times New Roman" w:hAnsi="Times New Roman" w:eastAsia="Times New Roman" w:cs="Times New Roman"/>
          <w:i/>
          <w:lang w:val="en-GB"/>
        </w:rPr>
        <w:t>n</w:t>
      </w:r>
      <w:r w:rsidRPr="003C096B" w:rsidR="005C6710">
        <w:rPr>
          <w:rFonts w:ascii="Times New Roman" w:hAnsi="Times New Roman" w:eastAsia="Times New Roman" w:cs="Times New Roman"/>
          <w:i/>
          <w:lang w:val="en-GB"/>
        </w:rPr>
        <w:t>e</w:t>
      </w:r>
      <w:r w:rsidRPr="003C096B">
        <w:rPr>
          <w:rFonts w:ascii="Times New Roman" w:hAnsi="Times New Roman" w:eastAsia="Times New Roman" w:cs="Times New Roman"/>
          <w:i/>
          <w:lang w:val="en-GB"/>
        </w:rPr>
        <w:t xml:space="preserve"> </w:t>
      </w:r>
      <w:proofErr w:type="spellStart"/>
      <w:r w:rsidRPr="003C096B">
        <w:rPr>
          <w:rFonts w:ascii="Times New Roman" w:hAnsi="Times New Roman" w:eastAsia="Times New Roman" w:cs="Times New Roman"/>
          <w:i/>
          <w:lang w:val="en-GB"/>
        </w:rPr>
        <w:t>bis</w:t>
      </w:r>
      <w:proofErr w:type="spellEnd"/>
      <w:r w:rsidRPr="003C096B">
        <w:rPr>
          <w:rFonts w:ascii="Times New Roman" w:hAnsi="Times New Roman" w:eastAsia="Times New Roman" w:cs="Times New Roman"/>
          <w:i/>
          <w:lang w:val="en-GB"/>
        </w:rPr>
        <w:t xml:space="preserve"> in idem</w:t>
      </w:r>
      <w:r w:rsidRPr="003C096B">
        <w:rPr>
          <w:rFonts w:ascii="Times New Roman" w:hAnsi="Times New Roman" w:eastAsia="Times New Roman" w:cs="Times New Roman"/>
          <w:lang w:val="en-GB"/>
        </w:rPr>
        <w:t xml:space="preserve"> </w:t>
      </w:r>
      <w:r w:rsidRPr="003C096B" w:rsidR="00D635C8">
        <w:rPr>
          <w:rFonts w:ascii="Times New Roman" w:hAnsi="Times New Roman" w:eastAsia="Times New Roman" w:cs="Times New Roman"/>
          <w:lang w:val="en-GB"/>
        </w:rPr>
        <w:t>and</w:t>
      </w:r>
      <w:r w:rsidRPr="003C096B">
        <w:rPr>
          <w:rFonts w:ascii="Times New Roman" w:hAnsi="Times New Roman" w:eastAsia="Times New Roman" w:cs="Times New Roman"/>
          <w:lang w:val="en-GB"/>
        </w:rPr>
        <w:t xml:space="preserve"> double</w:t>
      </w:r>
      <w:r w:rsidR="00E8723E">
        <w:rPr>
          <w:rFonts w:ascii="Times New Roman" w:hAnsi="Times New Roman" w:eastAsia="Times New Roman" w:cs="Times New Roman"/>
          <w:lang w:val="en-GB"/>
        </w:rPr>
        <w:t>-</w:t>
      </w:r>
      <w:r w:rsidRPr="003C096B" w:rsidR="005C6710">
        <w:rPr>
          <w:rFonts w:ascii="Times New Roman" w:hAnsi="Times New Roman" w:eastAsia="Times New Roman" w:cs="Times New Roman"/>
          <w:lang w:val="en-GB"/>
        </w:rPr>
        <w:t>criminality</w:t>
      </w:r>
      <w:r w:rsidRPr="003C096B" w:rsidR="00D635C8">
        <w:rPr>
          <w:rFonts w:ascii="Times New Roman" w:hAnsi="Times New Roman" w:eastAsia="Times New Roman" w:cs="Times New Roman"/>
          <w:lang w:val="en-GB"/>
        </w:rPr>
        <w:t xml:space="preserve"> principles</w:t>
      </w:r>
      <w:r w:rsidRPr="003C096B">
        <w:rPr>
          <w:rFonts w:ascii="Times New Roman" w:hAnsi="Times New Roman" w:eastAsia="Times New Roman" w:cs="Times New Roman"/>
          <w:lang w:val="en-GB"/>
        </w:rPr>
        <w:t xml:space="preserve">, </w:t>
      </w:r>
      <w:r w:rsidRPr="003C096B" w:rsidR="00D635C8">
        <w:rPr>
          <w:rFonts w:ascii="Times New Roman" w:hAnsi="Times New Roman" w:eastAsia="Times New Roman" w:cs="Times New Roman"/>
          <w:lang w:val="en-GB"/>
        </w:rPr>
        <w:t>and it ruled out the possibility that the proceedings had been brought for any discriminatory or political reasons</w:t>
      </w:r>
      <w:r w:rsidRPr="003C096B">
        <w:rPr>
          <w:rFonts w:ascii="Times New Roman" w:hAnsi="Times New Roman" w:eastAsia="Times New Roman" w:cs="Times New Roman"/>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16</w:t>
      </w:r>
      <w:r w:rsidRPr="003C096B">
        <w:rPr>
          <w:lang w:val="en-GB"/>
        </w:rPr>
        <w:fldChar w:fldCharType="end"/>
      </w:r>
      <w:r w:rsidRPr="003C096B">
        <w:rPr>
          <w:lang w:val="en-GB"/>
        </w:rPr>
        <w:t>.  </w:t>
      </w:r>
      <w:r w:rsidRPr="003C096B" w:rsidR="00D635C8">
        <w:rPr>
          <w:lang w:val="en-GB"/>
        </w:rPr>
        <w:t>On</w:t>
      </w:r>
      <w:r w:rsidRPr="003C096B">
        <w:rPr>
          <w:lang w:val="en-GB"/>
        </w:rPr>
        <w:t xml:space="preserve"> 3 </w:t>
      </w:r>
      <w:r w:rsidRPr="003C096B" w:rsidR="00D635C8">
        <w:rPr>
          <w:lang w:val="en-GB"/>
        </w:rPr>
        <w:t>March</w:t>
      </w:r>
      <w:r w:rsidRPr="003C096B">
        <w:rPr>
          <w:lang w:val="en-GB"/>
        </w:rPr>
        <w:t xml:space="preserve"> 2006</w:t>
      </w:r>
      <w:r w:rsidRPr="003C096B" w:rsidR="00D635C8">
        <w:rPr>
          <w:lang w:val="en-GB"/>
        </w:rPr>
        <w:t xml:space="preserve"> the applicant appealed on points of law, arguing in particular that the </w:t>
      </w:r>
      <w:r w:rsidRPr="003C096B" w:rsidR="006E04EE">
        <w:rPr>
          <w:lang w:val="en-GB"/>
        </w:rPr>
        <w:t xml:space="preserve">request for his </w:t>
      </w:r>
      <w:r w:rsidRPr="003C096B">
        <w:rPr>
          <w:lang w:val="en-GB"/>
        </w:rPr>
        <w:t xml:space="preserve">extradition </w:t>
      </w:r>
      <w:r w:rsidRPr="003C096B" w:rsidR="00D635C8">
        <w:rPr>
          <w:lang w:val="en-GB"/>
        </w:rPr>
        <w:t xml:space="preserve">had been sent by the Greek authorities after the forty-day time-limit provided for </w:t>
      </w:r>
      <w:r w:rsidRPr="003C096B" w:rsidR="00121CE3">
        <w:rPr>
          <w:lang w:val="en-GB"/>
        </w:rPr>
        <w:t>in</w:t>
      </w:r>
      <w:r w:rsidRPr="003C096B" w:rsidR="00D635C8">
        <w:rPr>
          <w:lang w:val="en-GB"/>
        </w:rPr>
        <w:t xml:space="preserve"> A</w:t>
      </w:r>
      <w:r w:rsidRPr="003C096B">
        <w:rPr>
          <w:lang w:val="en-GB"/>
        </w:rPr>
        <w:t>rticle 16</w:t>
      </w:r>
      <w:r w:rsidRPr="003C096B" w:rsidR="00121CE3">
        <w:rPr>
          <w:lang w:val="en-GB"/>
        </w:rPr>
        <w:t> </w:t>
      </w:r>
      <w:r w:rsidRPr="003C096B">
        <w:rPr>
          <w:lang w:val="en-GB"/>
        </w:rPr>
        <w:t>§</w:t>
      </w:r>
      <w:r w:rsidRPr="003C096B" w:rsidR="00121CE3">
        <w:rPr>
          <w:lang w:val="en-GB"/>
        </w:rPr>
        <w:t> </w:t>
      </w:r>
      <w:r w:rsidRPr="003C096B">
        <w:rPr>
          <w:lang w:val="en-GB"/>
        </w:rPr>
        <w:t xml:space="preserve">4 </w:t>
      </w:r>
      <w:r w:rsidRPr="003C096B" w:rsidR="00D635C8">
        <w:rPr>
          <w:lang w:val="en-GB"/>
        </w:rPr>
        <w:t>of the European</w:t>
      </w:r>
      <w:r w:rsidRPr="003C096B">
        <w:rPr>
          <w:lang w:val="en-GB"/>
        </w:rPr>
        <w:t xml:space="preserve"> Convention </w:t>
      </w:r>
      <w:r w:rsidRPr="003C096B" w:rsidR="00D635C8">
        <w:rPr>
          <w:lang w:val="en-GB"/>
        </w:rPr>
        <w:t>on E</w:t>
      </w:r>
      <w:r w:rsidRPr="003C096B">
        <w:rPr>
          <w:lang w:val="en-GB"/>
        </w:rPr>
        <w:t xml:space="preserve">xtradition, </w:t>
      </w:r>
      <w:r w:rsidRPr="003C096B" w:rsidR="00D635C8">
        <w:rPr>
          <w:lang w:val="en-GB"/>
        </w:rPr>
        <w:t xml:space="preserve">which </w:t>
      </w:r>
      <w:r w:rsidRPr="003C096B" w:rsidR="00121CE3">
        <w:rPr>
          <w:lang w:val="en-GB"/>
        </w:rPr>
        <w:t>meant</w:t>
      </w:r>
      <w:r w:rsidRPr="003C096B" w:rsidR="00D635C8">
        <w:rPr>
          <w:lang w:val="en-GB"/>
        </w:rPr>
        <w:t xml:space="preserve"> in his view </w:t>
      </w:r>
      <w:r w:rsidRPr="003C096B" w:rsidR="00121CE3">
        <w:rPr>
          <w:lang w:val="en-GB"/>
        </w:rPr>
        <w:t>that his detention had been unlawful</w:t>
      </w:r>
      <w:r w:rsidRPr="003C096B">
        <w:rPr>
          <w:lang w:val="en-GB"/>
        </w:rPr>
        <w:t xml:space="preserve">. </w:t>
      </w:r>
      <w:r w:rsidRPr="003C096B" w:rsidR="00121CE3">
        <w:rPr>
          <w:lang w:val="en-GB"/>
        </w:rPr>
        <w:t>He further argued that the charges laid against him by the Greek authorities</w:t>
      </w:r>
      <w:r w:rsidRPr="003C096B">
        <w:rPr>
          <w:lang w:val="en-GB"/>
        </w:rPr>
        <w:t xml:space="preserve"> </w:t>
      </w:r>
      <w:r w:rsidRPr="003C096B" w:rsidR="00121CE3">
        <w:rPr>
          <w:lang w:val="en-GB"/>
        </w:rPr>
        <w:t>were not based on serious indications of guilt</w:t>
      </w:r>
      <w:r w:rsidRPr="003C096B">
        <w:rPr>
          <w:lang w:val="en-GB"/>
        </w:rPr>
        <w:t xml:space="preserve">. </w:t>
      </w:r>
      <w:r w:rsidRPr="003C096B" w:rsidR="00121CE3">
        <w:rPr>
          <w:lang w:val="en-GB"/>
        </w:rPr>
        <w:t>He submitted that he should therefore be released</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17</w:t>
      </w:r>
      <w:r w:rsidRPr="003C096B">
        <w:rPr>
          <w:lang w:val="en-GB"/>
        </w:rPr>
        <w:fldChar w:fldCharType="end"/>
      </w:r>
      <w:r w:rsidRPr="003C096B">
        <w:rPr>
          <w:lang w:val="en-GB"/>
        </w:rPr>
        <w:t>.  </w:t>
      </w:r>
      <w:r w:rsidRPr="003C096B" w:rsidR="00121CE3">
        <w:rPr>
          <w:lang w:val="en-GB"/>
        </w:rPr>
        <w:t>In a judgment of</w:t>
      </w:r>
      <w:r w:rsidRPr="003C096B">
        <w:rPr>
          <w:lang w:val="en-GB"/>
        </w:rPr>
        <w:t xml:space="preserve"> 11 </w:t>
      </w:r>
      <w:r w:rsidRPr="003C096B" w:rsidR="00121CE3">
        <w:rPr>
          <w:lang w:val="en-GB"/>
        </w:rPr>
        <w:t>May</w:t>
      </w:r>
      <w:r w:rsidRPr="003C096B">
        <w:rPr>
          <w:lang w:val="en-GB"/>
        </w:rPr>
        <w:t xml:space="preserve"> 2006, </w:t>
      </w:r>
      <w:r w:rsidRPr="003C096B" w:rsidR="00121CE3">
        <w:rPr>
          <w:lang w:val="en-GB"/>
        </w:rPr>
        <w:t xml:space="preserve">deposited </w:t>
      </w:r>
      <w:r w:rsidR="005D28A2">
        <w:rPr>
          <w:lang w:val="en-GB"/>
        </w:rPr>
        <w:t>with</w:t>
      </w:r>
      <w:r w:rsidRPr="003C096B" w:rsidR="005D28A2">
        <w:rPr>
          <w:lang w:val="en-GB"/>
        </w:rPr>
        <w:t xml:space="preserve"> </w:t>
      </w:r>
      <w:r w:rsidRPr="003C096B" w:rsidR="00121CE3">
        <w:rPr>
          <w:lang w:val="en-GB"/>
        </w:rPr>
        <w:t>the registry on</w:t>
      </w:r>
      <w:r w:rsidRPr="003C096B">
        <w:rPr>
          <w:lang w:val="en-GB"/>
        </w:rPr>
        <w:t xml:space="preserve"> 18</w:t>
      </w:r>
      <w:r w:rsidR="005D28A2">
        <w:rPr>
          <w:lang w:val="en-GB"/>
        </w:rPr>
        <w:t> </w:t>
      </w:r>
      <w:r w:rsidRPr="003C096B" w:rsidR="00121CE3">
        <w:rPr>
          <w:lang w:val="en-GB"/>
        </w:rPr>
        <w:t>September</w:t>
      </w:r>
      <w:r w:rsidRPr="003C096B">
        <w:rPr>
          <w:lang w:val="en-GB"/>
        </w:rPr>
        <w:t xml:space="preserve"> 2006, </w:t>
      </w:r>
      <w:r w:rsidRPr="003C096B" w:rsidR="00121CE3">
        <w:rPr>
          <w:lang w:val="en-GB"/>
        </w:rPr>
        <w:t xml:space="preserve">the Court of Cassation dismissed the appeal with only one page of reasoning, in particular because it found that the </w:t>
      </w:r>
      <w:r w:rsidRPr="003C096B">
        <w:rPr>
          <w:lang w:val="en-GB"/>
        </w:rPr>
        <w:t xml:space="preserve">extradition </w:t>
      </w:r>
      <w:r w:rsidRPr="003C096B" w:rsidR="00121CE3">
        <w:rPr>
          <w:lang w:val="en-GB"/>
        </w:rPr>
        <w:t xml:space="preserve">request had been received within the time-limit provided for in the European </w:t>
      </w:r>
      <w:r w:rsidRPr="003C096B">
        <w:rPr>
          <w:lang w:val="en-GB"/>
        </w:rPr>
        <w:t xml:space="preserve">Convention </w:t>
      </w:r>
      <w:r w:rsidRPr="003C096B" w:rsidR="00121CE3">
        <w:rPr>
          <w:lang w:val="en-GB"/>
        </w:rPr>
        <w:t>on E</w:t>
      </w:r>
      <w:r w:rsidRPr="003C096B">
        <w:rPr>
          <w:lang w:val="en-GB"/>
        </w:rPr>
        <w:t xml:space="preserve">xtradition </w:t>
      </w:r>
      <w:r w:rsidRPr="003C096B" w:rsidR="00121CE3">
        <w:rPr>
          <w:lang w:val="en-GB"/>
        </w:rPr>
        <w:t>and that it did not have jurisdiction to examine whether serious indications of guilt had been adduced</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18</w:t>
      </w:r>
      <w:r w:rsidRPr="003C096B">
        <w:rPr>
          <w:lang w:val="en-GB"/>
        </w:rPr>
        <w:fldChar w:fldCharType="end"/>
      </w:r>
      <w:r w:rsidRPr="003C096B">
        <w:rPr>
          <w:lang w:val="en-GB"/>
        </w:rPr>
        <w:t>.  </w:t>
      </w:r>
      <w:r w:rsidRPr="003C096B" w:rsidR="00121CE3">
        <w:rPr>
          <w:lang w:val="en-GB"/>
        </w:rPr>
        <w:t>In the meantime, on three occasions between June and September</w:t>
      </w:r>
      <w:r w:rsidRPr="003C096B">
        <w:rPr>
          <w:lang w:val="en-GB"/>
        </w:rPr>
        <w:t xml:space="preserve"> 2005, </w:t>
      </w:r>
      <w:r w:rsidRPr="003C096B" w:rsidR="00121CE3">
        <w:rPr>
          <w:lang w:val="en-GB"/>
        </w:rPr>
        <w:t xml:space="preserve">the applicant had </w:t>
      </w:r>
      <w:r w:rsidRPr="003C096B" w:rsidR="006E04EE">
        <w:rPr>
          <w:lang w:val="en-GB"/>
        </w:rPr>
        <w:t>applied to</w:t>
      </w:r>
      <w:r w:rsidRPr="003C096B" w:rsidR="00121CE3">
        <w:rPr>
          <w:lang w:val="en-GB"/>
        </w:rPr>
        <w:t xml:space="preserve"> the Rome Court of Appeal, unsuccessfully</w:t>
      </w:r>
      <w:r w:rsidRPr="003C096B">
        <w:rPr>
          <w:lang w:val="en-GB"/>
        </w:rPr>
        <w:t xml:space="preserve">, </w:t>
      </w:r>
      <w:r w:rsidR="00FE5AF2">
        <w:rPr>
          <w:lang w:val="en-GB"/>
        </w:rPr>
        <w:t>requesting</w:t>
      </w:r>
      <w:r w:rsidRPr="003C096B" w:rsidR="00121CE3">
        <w:rPr>
          <w:lang w:val="en-GB"/>
        </w:rPr>
        <w:t xml:space="preserve"> his release</w:t>
      </w:r>
      <w:r w:rsidRPr="003C096B">
        <w:rPr>
          <w:lang w:val="en-GB"/>
        </w:rPr>
        <w:t xml:space="preserve">. </w:t>
      </w:r>
      <w:r w:rsidRPr="003C096B" w:rsidR="00121CE3">
        <w:rPr>
          <w:lang w:val="en-GB"/>
        </w:rPr>
        <w:t>In its last decision of</w:t>
      </w:r>
      <w:r w:rsidRPr="003C096B">
        <w:rPr>
          <w:lang w:val="en-GB"/>
        </w:rPr>
        <w:t xml:space="preserve"> 27 </w:t>
      </w:r>
      <w:r w:rsidRPr="003C096B" w:rsidR="00121CE3">
        <w:rPr>
          <w:lang w:val="en-GB"/>
        </w:rPr>
        <w:t>October</w:t>
      </w:r>
      <w:r w:rsidRPr="003C096B">
        <w:rPr>
          <w:lang w:val="en-GB"/>
        </w:rPr>
        <w:t xml:space="preserve"> 2005, adopt</w:t>
      </w:r>
      <w:r w:rsidRPr="003C096B" w:rsidR="00121CE3">
        <w:rPr>
          <w:lang w:val="en-GB"/>
        </w:rPr>
        <w:t>ed in private in compliance with the adversarial principle</w:t>
      </w:r>
      <w:r w:rsidRPr="003C096B">
        <w:rPr>
          <w:lang w:val="en-GB"/>
        </w:rPr>
        <w:t xml:space="preserve">, </w:t>
      </w:r>
      <w:r w:rsidRPr="003C096B" w:rsidR="00121CE3">
        <w:rPr>
          <w:lang w:val="en-GB"/>
        </w:rPr>
        <w:t>and without any prior investigation</w:t>
      </w:r>
      <w:r w:rsidRPr="003C096B">
        <w:rPr>
          <w:lang w:val="en-GB"/>
        </w:rPr>
        <w:t xml:space="preserve">, </w:t>
      </w:r>
      <w:r w:rsidRPr="003C096B" w:rsidR="00121CE3">
        <w:rPr>
          <w:lang w:val="en-GB"/>
        </w:rPr>
        <w:t xml:space="preserve">the Court of Appeal found that there was no reason to depart from </w:t>
      </w:r>
      <w:r w:rsidR="00174597">
        <w:rPr>
          <w:lang w:val="en-GB"/>
        </w:rPr>
        <w:t>its</w:t>
      </w:r>
      <w:r w:rsidRPr="003C096B" w:rsidR="00174597">
        <w:rPr>
          <w:lang w:val="en-GB"/>
        </w:rPr>
        <w:t xml:space="preserve"> </w:t>
      </w:r>
      <w:r w:rsidRPr="003C096B" w:rsidR="00121CE3">
        <w:rPr>
          <w:lang w:val="en-GB"/>
        </w:rPr>
        <w:t xml:space="preserve">two </w:t>
      </w:r>
      <w:r w:rsidRPr="003C096B" w:rsidR="00796266">
        <w:rPr>
          <w:lang w:val="en-GB"/>
        </w:rPr>
        <w:t xml:space="preserve">previous </w:t>
      </w:r>
      <w:r w:rsidRPr="003C096B" w:rsidR="00121CE3">
        <w:rPr>
          <w:lang w:val="en-GB"/>
        </w:rPr>
        <w:t>decisions, having regard to the ongoing risk that the applicant might abscond, even though the authorities had taken away his passport, and to the State</w:t>
      </w:r>
      <w:r w:rsidR="00A51F9F">
        <w:rPr>
          <w:lang w:val="en-GB"/>
        </w:rPr>
        <w:t>’</w:t>
      </w:r>
      <w:r w:rsidRPr="003C096B" w:rsidR="00121CE3">
        <w:rPr>
          <w:lang w:val="en-GB"/>
        </w:rPr>
        <w:t xml:space="preserve">s obligation to </w:t>
      </w:r>
      <w:r w:rsidRPr="003C096B" w:rsidR="006E04EE">
        <w:rPr>
          <w:lang w:val="en-GB"/>
        </w:rPr>
        <w:t>comply with</w:t>
      </w:r>
      <w:r w:rsidRPr="003C096B" w:rsidR="00121CE3">
        <w:rPr>
          <w:lang w:val="en-GB"/>
        </w:rPr>
        <w:t xml:space="preserve"> its international </w:t>
      </w:r>
      <w:r w:rsidRPr="003C096B" w:rsidR="006E04EE">
        <w:rPr>
          <w:lang w:val="en-GB"/>
        </w:rPr>
        <w:t>commitments</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19</w:t>
      </w:r>
      <w:r w:rsidRPr="003C096B">
        <w:rPr>
          <w:lang w:val="en-GB"/>
        </w:rPr>
        <w:fldChar w:fldCharType="end"/>
      </w:r>
      <w:r w:rsidRPr="003C096B">
        <w:rPr>
          <w:lang w:val="en-GB"/>
        </w:rPr>
        <w:t>.  </w:t>
      </w:r>
      <w:r w:rsidRPr="003C096B" w:rsidR="00121CE3">
        <w:rPr>
          <w:lang w:val="en-GB"/>
        </w:rPr>
        <w:t>On</w:t>
      </w:r>
      <w:r w:rsidRPr="003C096B">
        <w:rPr>
          <w:lang w:val="en-GB"/>
        </w:rPr>
        <w:t xml:space="preserve"> 9 </w:t>
      </w:r>
      <w:r w:rsidRPr="003C096B" w:rsidR="00121CE3">
        <w:rPr>
          <w:lang w:val="en-GB"/>
        </w:rPr>
        <w:t>October</w:t>
      </w:r>
      <w:r w:rsidRPr="003C096B">
        <w:rPr>
          <w:lang w:val="en-GB"/>
        </w:rPr>
        <w:t xml:space="preserve"> 2006</w:t>
      </w:r>
      <w:r w:rsidRPr="003C096B" w:rsidR="00121CE3">
        <w:rPr>
          <w:lang w:val="en-GB"/>
        </w:rPr>
        <w:t xml:space="preserve"> the Minister of</w:t>
      </w:r>
      <w:r w:rsidRPr="003C096B">
        <w:rPr>
          <w:lang w:val="en-GB"/>
        </w:rPr>
        <w:t xml:space="preserve"> Justice sign</w:t>
      </w:r>
      <w:r w:rsidRPr="003C096B" w:rsidR="00121CE3">
        <w:rPr>
          <w:lang w:val="en-GB"/>
        </w:rPr>
        <w:t xml:space="preserve">ed the </w:t>
      </w:r>
      <w:r w:rsidRPr="003C096B">
        <w:rPr>
          <w:lang w:val="en-GB"/>
        </w:rPr>
        <w:t>extradition</w:t>
      </w:r>
      <w:r w:rsidRPr="003C096B" w:rsidR="00121CE3">
        <w:rPr>
          <w:lang w:val="en-GB"/>
        </w:rPr>
        <w:t xml:space="preserve"> order</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20</w:t>
      </w:r>
      <w:r w:rsidRPr="003C096B">
        <w:rPr>
          <w:lang w:val="en-GB"/>
        </w:rPr>
        <w:fldChar w:fldCharType="end"/>
      </w:r>
      <w:r w:rsidRPr="003C096B">
        <w:rPr>
          <w:lang w:val="en-GB"/>
        </w:rPr>
        <w:t>.  </w:t>
      </w:r>
      <w:r w:rsidRPr="003C096B" w:rsidR="00121CE3">
        <w:rPr>
          <w:lang w:val="en-GB"/>
        </w:rPr>
        <w:t>On</w:t>
      </w:r>
      <w:r w:rsidRPr="003C096B">
        <w:rPr>
          <w:lang w:val="en-GB"/>
        </w:rPr>
        <w:t xml:space="preserve"> 26 </w:t>
      </w:r>
      <w:r w:rsidRPr="003C096B" w:rsidR="00121CE3">
        <w:rPr>
          <w:lang w:val="en-GB"/>
        </w:rPr>
        <w:t>October</w:t>
      </w:r>
      <w:r w:rsidRPr="003C096B">
        <w:rPr>
          <w:lang w:val="en-GB"/>
        </w:rPr>
        <w:t xml:space="preserve"> 2006</w:t>
      </w:r>
      <w:r w:rsidRPr="003C096B" w:rsidR="00121CE3">
        <w:rPr>
          <w:lang w:val="en-GB"/>
        </w:rPr>
        <w:t xml:space="preserve"> the applicant was extradited</w:t>
      </w:r>
      <w:r w:rsidR="008562B9">
        <w:rPr>
          <w:lang w:val="en-GB"/>
        </w:rPr>
        <w:t xml:space="preserve"> to Greece</w:t>
      </w:r>
      <w:r w:rsidRPr="003C096B">
        <w:rPr>
          <w:lang w:val="en-GB"/>
        </w:rPr>
        <w:t>.</w:t>
      </w:r>
    </w:p>
    <w:p w:rsidRPr="003C096B" w:rsidR="004F659D" w:rsidP="003C096B" w:rsidRDefault="004F659D">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3C096B">
        <w:rPr>
          <w:rFonts w:asciiTheme="majorHAnsi" w:hAnsiTheme="majorHAnsi" w:eastAsiaTheme="majorEastAsia" w:cstheme="majorBidi"/>
          <w:bCs/>
          <w:szCs w:val="28"/>
          <w:lang w:val="en-GB"/>
        </w:rPr>
        <w:t>II.</w:t>
      </w:r>
      <w:proofErr w:type="gramStart"/>
      <w:r w:rsidRPr="003C096B">
        <w:rPr>
          <w:rFonts w:asciiTheme="majorHAnsi" w:hAnsiTheme="majorHAnsi" w:eastAsiaTheme="majorEastAsia" w:cstheme="majorBidi"/>
          <w:bCs/>
          <w:szCs w:val="28"/>
          <w:lang w:val="en-GB"/>
        </w:rPr>
        <w:t>  </w:t>
      </w:r>
      <w:r w:rsidRPr="003C096B" w:rsidR="00F5125C">
        <w:rPr>
          <w:rFonts w:asciiTheme="majorHAnsi" w:hAnsiTheme="majorHAnsi" w:eastAsiaTheme="majorEastAsia" w:cstheme="majorBidi"/>
          <w:bCs/>
          <w:szCs w:val="28"/>
          <w:lang w:val="en-GB"/>
        </w:rPr>
        <w:t>RELEVANT</w:t>
      </w:r>
      <w:proofErr w:type="gramEnd"/>
      <w:r w:rsidRPr="003C096B">
        <w:rPr>
          <w:rFonts w:asciiTheme="majorHAnsi" w:hAnsiTheme="majorHAnsi" w:eastAsiaTheme="majorEastAsia" w:cstheme="majorBidi"/>
          <w:bCs/>
          <w:szCs w:val="28"/>
          <w:lang w:val="en-GB"/>
        </w:rPr>
        <w:t xml:space="preserve"> INTERNATIONAL </w:t>
      </w:r>
      <w:r w:rsidRPr="003C096B" w:rsidR="00F5125C">
        <w:rPr>
          <w:rFonts w:asciiTheme="majorHAnsi" w:hAnsiTheme="majorHAnsi" w:eastAsiaTheme="majorEastAsia" w:cstheme="majorBidi"/>
          <w:bCs/>
          <w:szCs w:val="28"/>
          <w:lang w:val="en-GB"/>
        </w:rPr>
        <w:t>INSTRUMENT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21</w:t>
      </w:r>
      <w:r w:rsidRPr="003C096B">
        <w:rPr>
          <w:lang w:val="en-GB"/>
        </w:rPr>
        <w:fldChar w:fldCharType="end"/>
      </w:r>
      <w:r w:rsidRPr="003C096B">
        <w:rPr>
          <w:lang w:val="en-GB"/>
        </w:rPr>
        <w:t>.  </w:t>
      </w:r>
      <w:r w:rsidRPr="003C096B" w:rsidR="00F5125C">
        <w:rPr>
          <w:lang w:val="en-GB"/>
        </w:rPr>
        <w:t>The European</w:t>
      </w:r>
      <w:r w:rsidRPr="003C096B">
        <w:rPr>
          <w:lang w:val="en-GB"/>
        </w:rPr>
        <w:t xml:space="preserve"> Convention </w:t>
      </w:r>
      <w:r w:rsidRPr="003C096B" w:rsidR="00F5125C">
        <w:rPr>
          <w:lang w:val="en-GB"/>
        </w:rPr>
        <w:t>on E</w:t>
      </w:r>
      <w:r w:rsidRPr="003C096B">
        <w:rPr>
          <w:lang w:val="en-GB"/>
        </w:rPr>
        <w:t>xtradition, sign</w:t>
      </w:r>
      <w:r w:rsidRPr="003C096B" w:rsidR="00F5125C">
        <w:rPr>
          <w:lang w:val="en-GB"/>
        </w:rPr>
        <w:t>ed in</w:t>
      </w:r>
      <w:r w:rsidRPr="003C096B">
        <w:rPr>
          <w:lang w:val="en-GB"/>
        </w:rPr>
        <w:t xml:space="preserve"> Paris </w:t>
      </w:r>
      <w:r w:rsidRPr="003C096B" w:rsidR="00F5125C">
        <w:rPr>
          <w:lang w:val="en-GB"/>
        </w:rPr>
        <w:t>on</w:t>
      </w:r>
      <w:r w:rsidRPr="003C096B">
        <w:rPr>
          <w:lang w:val="en-GB"/>
        </w:rPr>
        <w:t xml:space="preserve"> 13 </w:t>
      </w:r>
      <w:r w:rsidRPr="003C096B" w:rsidR="00F5125C">
        <w:rPr>
          <w:lang w:val="en-GB"/>
        </w:rPr>
        <w:t xml:space="preserve">December 1957 and </w:t>
      </w:r>
      <w:r w:rsidRPr="003C096B">
        <w:rPr>
          <w:lang w:val="en-GB"/>
        </w:rPr>
        <w:t>ratifi</w:t>
      </w:r>
      <w:r w:rsidRPr="003C096B" w:rsidR="00F5125C">
        <w:rPr>
          <w:lang w:val="en-GB"/>
        </w:rPr>
        <w:t>ed by Italy by Law no.</w:t>
      </w:r>
      <w:r w:rsidRPr="003C096B">
        <w:rPr>
          <w:lang w:val="en-GB"/>
        </w:rPr>
        <w:t xml:space="preserve"> 300 </w:t>
      </w:r>
      <w:r w:rsidRPr="003C096B" w:rsidR="00F5125C">
        <w:rPr>
          <w:lang w:val="en-GB"/>
        </w:rPr>
        <w:t>of</w:t>
      </w:r>
      <w:r w:rsidRPr="003C096B">
        <w:rPr>
          <w:lang w:val="en-GB"/>
        </w:rPr>
        <w:t xml:space="preserve"> 30 </w:t>
      </w:r>
      <w:r w:rsidRPr="003C096B" w:rsidR="00F5125C">
        <w:rPr>
          <w:lang w:val="en-GB"/>
        </w:rPr>
        <w:t>January</w:t>
      </w:r>
      <w:r w:rsidRPr="003C096B">
        <w:rPr>
          <w:lang w:val="en-GB"/>
        </w:rPr>
        <w:t xml:space="preserve"> 1963</w:t>
      </w:r>
      <w:r w:rsidRPr="003C096B" w:rsidR="00F5125C">
        <w:rPr>
          <w:lang w:val="en-GB"/>
        </w:rPr>
        <w:t>,</w:t>
      </w:r>
      <w:r w:rsidRPr="003C096B">
        <w:rPr>
          <w:lang w:val="en-GB"/>
        </w:rPr>
        <w:t xml:space="preserve"> </w:t>
      </w:r>
      <w:r w:rsidR="006C3820">
        <w:rPr>
          <w:lang w:val="en-GB"/>
        </w:rPr>
        <w:t>came</w:t>
      </w:r>
      <w:r w:rsidRPr="003C096B" w:rsidR="006C3820">
        <w:rPr>
          <w:lang w:val="en-GB"/>
        </w:rPr>
        <w:t xml:space="preserve"> </w:t>
      </w:r>
      <w:r w:rsidRPr="003C096B" w:rsidR="00F5125C">
        <w:rPr>
          <w:lang w:val="en-GB"/>
        </w:rPr>
        <w:t>into force in respect of Italy on</w:t>
      </w:r>
      <w:r w:rsidRPr="003C096B">
        <w:rPr>
          <w:lang w:val="en-GB"/>
        </w:rPr>
        <w:t xml:space="preserve"> 4 </w:t>
      </w:r>
      <w:r w:rsidRPr="003C096B" w:rsidR="00F5125C">
        <w:rPr>
          <w:lang w:val="en-GB"/>
        </w:rPr>
        <w:t>November</w:t>
      </w:r>
      <w:r w:rsidRPr="003C096B">
        <w:rPr>
          <w:lang w:val="en-GB"/>
        </w:rPr>
        <w:t xml:space="preserve"> 1963</w:t>
      </w:r>
      <w:r w:rsidRPr="003C096B" w:rsidR="00F5125C">
        <w:rPr>
          <w:lang w:val="en-GB"/>
        </w:rPr>
        <w:t>. It was amended by the Second Additional Protocol</w:t>
      </w:r>
      <w:r w:rsidR="006C3820">
        <w:rPr>
          <w:lang w:val="en-GB"/>
        </w:rPr>
        <w:t xml:space="preserve"> to the European Convention on Extradition,</w:t>
      </w:r>
      <w:r w:rsidRPr="003C096B" w:rsidR="00F5125C">
        <w:rPr>
          <w:lang w:val="en-GB"/>
        </w:rPr>
        <w:t xml:space="preserve"> signed on</w:t>
      </w:r>
      <w:r w:rsidRPr="003C096B">
        <w:rPr>
          <w:lang w:val="en-GB"/>
        </w:rPr>
        <w:t xml:space="preserve"> 17 </w:t>
      </w:r>
      <w:r w:rsidRPr="003C096B" w:rsidR="00F5125C">
        <w:rPr>
          <w:lang w:val="en-GB"/>
        </w:rPr>
        <w:t>March</w:t>
      </w:r>
      <w:r w:rsidRPr="003C096B">
        <w:rPr>
          <w:lang w:val="en-GB"/>
        </w:rPr>
        <w:t xml:space="preserve"> 1978, </w:t>
      </w:r>
      <w:r w:rsidRPr="003C096B" w:rsidR="00F5125C">
        <w:rPr>
          <w:lang w:val="en-GB"/>
        </w:rPr>
        <w:t xml:space="preserve">which </w:t>
      </w:r>
      <w:r w:rsidR="006C3820">
        <w:rPr>
          <w:lang w:val="en-GB"/>
        </w:rPr>
        <w:t>came</w:t>
      </w:r>
      <w:r w:rsidRPr="003C096B" w:rsidR="006C3820">
        <w:rPr>
          <w:lang w:val="en-GB"/>
        </w:rPr>
        <w:t xml:space="preserve"> </w:t>
      </w:r>
      <w:r w:rsidRPr="003C096B" w:rsidR="00F5125C">
        <w:rPr>
          <w:lang w:val="en-GB"/>
        </w:rPr>
        <w:t>into force in respect of Italy on 23</w:t>
      </w:r>
      <w:r w:rsidR="00A44A68">
        <w:rPr>
          <w:lang w:val="en-GB"/>
        </w:rPr>
        <w:t> </w:t>
      </w:r>
      <w:r w:rsidRPr="003C096B" w:rsidR="00F5125C">
        <w:rPr>
          <w:lang w:val="en-GB"/>
        </w:rPr>
        <w:t>Ap</w:t>
      </w:r>
      <w:r w:rsidRPr="003C096B">
        <w:rPr>
          <w:lang w:val="en-GB"/>
        </w:rPr>
        <w:t xml:space="preserve">ril 1985. </w:t>
      </w:r>
      <w:r w:rsidRPr="003C096B" w:rsidR="00F5125C">
        <w:rPr>
          <w:lang w:val="en-GB"/>
        </w:rPr>
        <w:t>The relevant provisions, as amended, read as follows</w:t>
      </w:r>
      <w:r w:rsidR="006C3820">
        <w:rPr>
          <w:lang w:val="en-GB"/>
        </w:rPr>
        <w:t>.</w:t>
      </w:r>
    </w:p>
    <w:p w:rsidRPr="003C096B" w:rsidR="007B2A63" w:rsidP="003C096B" w:rsidRDefault="007B2A63">
      <w:pPr>
        <w:pStyle w:val="ECHRTitleCentre3"/>
        <w:rPr>
          <w:lang w:val="en-GB"/>
        </w:rPr>
      </w:pPr>
      <w:r w:rsidRPr="003C096B">
        <w:rPr>
          <w:lang w:val="en-GB"/>
        </w:rPr>
        <w:t>Article 8 – Pending proceedings for the same offences</w:t>
      </w:r>
    </w:p>
    <w:p w:rsidRPr="003C096B" w:rsidR="007B2A63" w:rsidP="002414DD" w:rsidRDefault="00400BBC">
      <w:pPr>
        <w:pStyle w:val="ECHRParaQuote"/>
        <w:rPr>
          <w:lang w:val="en-GB" w:bidi="en-US"/>
        </w:rPr>
      </w:pPr>
      <w:r w:rsidRPr="003C096B">
        <w:rPr>
          <w:lang w:val="en-GB" w:bidi="en-US"/>
        </w:rPr>
        <w:t>“</w:t>
      </w:r>
      <w:r w:rsidRPr="003C096B" w:rsidR="007B2A63">
        <w:rPr>
          <w:lang w:val="en-GB" w:bidi="en-US"/>
        </w:rPr>
        <w:t>The requested Party may refuse to extradite the person claimed if the competent authorities of such Party are proceeding against him in respect of the offence or offences for which extradition is requested.</w:t>
      </w:r>
      <w:r w:rsidRPr="003C096B">
        <w:rPr>
          <w:lang w:val="en-GB" w:bidi="en-US"/>
        </w:rPr>
        <w:t>”</w:t>
      </w:r>
    </w:p>
    <w:p w:rsidRPr="003C096B" w:rsidR="007B2A63" w:rsidP="003C096B" w:rsidRDefault="007B2A63">
      <w:pPr>
        <w:pStyle w:val="ECHRTitleCentre3"/>
        <w:rPr>
          <w:lang w:val="en-GB"/>
        </w:rPr>
      </w:pPr>
      <w:r w:rsidRPr="003C096B">
        <w:rPr>
          <w:lang w:val="en-GB"/>
        </w:rPr>
        <w:t xml:space="preserve">Article 9 – </w:t>
      </w:r>
      <w:proofErr w:type="gramStart"/>
      <w:r w:rsidRPr="003C096B">
        <w:rPr>
          <w:i/>
          <w:lang w:val="en-GB"/>
        </w:rPr>
        <w:t>Non</w:t>
      </w:r>
      <w:proofErr w:type="gramEnd"/>
      <w:r w:rsidRPr="003C096B">
        <w:rPr>
          <w:i/>
          <w:lang w:val="en-GB"/>
        </w:rPr>
        <w:t xml:space="preserve"> </w:t>
      </w:r>
      <w:proofErr w:type="spellStart"/>
      <w:r w:rsidRPr="003C096B">
        <w:rPr>
          <w:i/>
          <w:lang w:val="en-GB"/>
        </w:rPr>
        <w:t>bis</w:t>
      </w:r>
      <w:proofErr w:type="spellEnd"/>
      <w:r w:rsidRPr="003C096B">
        <w:rPr>
          <w:i/>
          <w:lang w:val="en-GB"/>
        </w:rPr>
        <w:t xml:space="preserve"> in idem</w:t>
      </w:r>
    </w:p>
    <w:p w:rsidRPr="003C096B" w:rsidR="007B2A63" w:rsidP="002414DD" w:rsidRDefault="00400BBC">
      <w:pPr>
        <w:pStyle w:val="ECHRParaQuote"/>
        <w:rPr>
          <w:lang w:val="en-GB" w:bidi="en-US"/>
        </w:rPr>
      </w:pPr>
      <w:r w:rsidRPr="003C096B">
        <w:rPr>
          <w:lang w:val="en-GB" w:bidi="en-US"/>
        </w:rPr>
        <w:t>“</w:t>
      </w:r>
      <w:r w:rsidRPr="003C096B" w:rsidR="007B2A63">
        <w:rPr>
          <w:lang w:val="en-GB" w:bidi="en-US"/>
        </w:rPr>
        <w:t>Extradition shall not be granted if final judgment has been passed by the competent authorities of the requested Party upon the person claimed in respect of the offence or offences for which extradition is requested. Extradition may be refused if the competent authorities of the requested Party have decided either not to institute or to terminate proceedings in respect of the same offence or offences.</w:t>
      </w:r>
      <w:r w:rsidRPr="003C096B">
        <w:rPr>
          <w:lang w:val="en-GB" w:bidi="en-US"/>
        </w:rPr>
        <w:t>”</w:t>
      </w:r>
    </w:p>
    <w:p w:rsidRPr="003C096B" w:rsidR="007B2A63" w:rsidP="003C096B" w:rsidRDefault="007B2A63">
      <w:pPr>
        <w:pStyle w:val="ECHRTitleCentre3"/>
        <w:rPr>
          <w:lang w:val="en-GB"/>
        </w:rPr>
      </w:pPr>
      <w:r w:rsidRPr="003C096B">
        <w:rPr>
          <w:lang w:val="en-GB"/>
        </w:rPr>
        <w:t>Article 12 – The request and supporting documents</w:t>
      </w:r>
    </w:p>
    <w:p w:rsidRPr="003C096B" w:rsidR="007B2A63" w:rsidP="002414DD" w:rsidRDefault="00400BBC">
      <w:pPr>
        <w:pStyle w:val="ECHRParaQuote"/>
        <w:rPr>
          <w:lang w:val="en-GB" w:bidi="en-US"/>
        </w:rPr>
      </w:pPr>
      <w:r w:rsidRPr="003C096B">
        <w:rPr>
          <w:lang w:val="en-GB" w:bidi="en-US"/>
        </w:rPr>
        <w:t>“</w:t>
      </w:r>
      <w:r w:rsidRPr="003C096B" w:rsidR="007B2A63">
        <w:rPr>
          <w:lang w:val="en-GB" w:bidi="en-US"/>
        </w:rPr>
        <w:t>1</w:t>
      </w:r>
      <w:r w:rsidRPr="003C096B">
        <w:rPr>
          <w:lang w:val="en-GB" w:bidi="en-US"/>
        </w:rPr>
        <w:t>.</w:t>
      </w:r>
      <w:proofErr w:type="gramStart"/>
      <w:r w:rsidR="006C3820">
        <w:rPr>
          <w:lang w:val="en-GB" w:bidi="en-US"/>
        </w:rPr>
        <w:t>  </w:t>
      </w:r>
      <w:r w:rsidRPr="003C096B" w:rsidR="00F5125C">
        <w:rPr>
          <w:lang w:val="en-GB" w:bidi="en-US"/>
        </w:rPr>
        <w:t>The</w:t>
      </w:r>
      <w:proofErr w:type="gramEnd"/>
      <w:r w:rsidRPr="003C096B" w:rsidR="00F5125C">
        <w:rPr>
          <w:lang w:val="en-GB" w:bidi="en-US"/>
        </w:rPr>
        <w:t xml:space="preserve"> request [for extradition] shall be in writing and shall be addressed by the Ministry of Justice of the requesting Party to the Ministry of Justice of the requested Party; however, use of the diplomatic channel is not excluded. Other means of communication may be arranged by direct agreement between two or more Parties.</w:t>
      </w:r>
    </w:p>
    <w:p w:rsidRPr="003C096B" w:rsidR="003C096B" w:rsidP="002414DD" w:rsidRDefault="007B2A63">
      <w:pPr>
        <w:pStyle w:val="ECHRParaQuote"/>
        <w:rPr>
          <w:lang w:val="en-GB" w:bidi="en-US"/>
        </w:rPr>
      </w:pPr>
      <w:r w:rsidRPr="003C096B">
        <w:rPr>
          <w:lang w:val="en-GB" w:bidi="en-US"/>
        </w:rPr>
        <w:t>2</w:t>
      </w:r>
      <w:r w:rsidRPr="003C096B" w:rsidR="00400BBC">
        <w:rPr>
          <w:lang w:val="en-GB" w:bidi="en-US"/>
        </w:rPr>
        <w:t>.</w:t>
      </w:r>
      <w:r w:rsidR="006C3820">
        <w:rPr>
          <w:lang w:val="en-GB" w:bidi="en-US"/>
        </w:rPr>
        <w:t>  </w:t>
      </w:r>
      <w:r w:rsidRPr="003C096B">
        <w:rPr>
          <w:lang w:val="en-GB" w:bidi="en-US"/>
        </w:rPr>
        <w:t>The request shall be supported by:</w:t>
      </w:r>
    </w:p>
    <w:p w:rsidRPr="003C096B" w:rsidR="003C096B" w:rsidP="002414DD" w:rsidRDefault="00400BBC">
      <w:pPr>
        <w:pStyle w:val="ECHRParaQuote"/>
        <w:rPr>
          <w:lang w:val="en-GB" w:bidi="en-US"/>
        </w:rPr>
      </w:pPr>
      <w:r w:rsidRPr="003C096B">
        <w:rPr>
          <w:lang w:val="en-GB" w:bidi="en-US"/>
        </w:rPr>
        <w:t>(</w:t>
      </w:r>
      <w:r w:rsidRPr="003C096B" w:rsidR="007B2A63">
        <w:rPr>
          <w:lang w:val="en-GB" w:bidi="en-US"/>
        </w:rPr>
        <w:t>a</w:t>
      </w:r>
      <w:r w:rsidRPr="003C096B">
        <w:rPr>
          <w:lang w:val="en-GB" w:bidi="en-US"/>
        </w:rPr>
        <w:t>)</w:t>
      </w:r>
      <w:r w:rsidR="006C3820">
        <w:rPr>
          <w:lang w:val="en-GB" w:bidi="en-US"/>
        </w:rPr>
        <w:t>  </w:t>
      </w:r>
      <w:r w:rsidRPr="003C096B" w:rsidR="007B2A63">
        <w:rPr>
          <w:lang w:val="en-GB" w:bidi="en-US"/>
        </w:rPr>
        <w:t>the original or an authenticated copy of the conviction and sentence or detention order immediately enforceable or of the warrant of arrest or other order having the same effect and issued in accordance with the procedure laid down in the law of the requesting Party;</w:t>
      </w:r>
    </w:p>
    <w:p w:rsidRPr="003C096B" w:rsidR="003C096B" w:rsidP="002414DD" w:rsidRDefault="00400BBC">
      <w:pPr>
        <w:pStyle w:val="ECHRParaQuote"/>
        <w:rPr>
          <w:lang w:val="en-GB" w:bidi="en-US"/>
        </w:rPr>
      </w:pPr>
      <w:r w:rsidRPr="003C096B">
        <w:rPr>
          <w:lang w:val="en-GB" w:bidi="en-US"/>
        </w:rPr>
        <w:t>(</w:t>
      </w:r>
      <w:r w:rsidRPr="003C096B" w:rsidR="007B2A63">
        <w:rPr>
          <w:lang w:val="en-GB" w:bidi="en-US"/>
        </w:rPr>
        <w:t>b</w:t>
      </w:r>
      <w:r w:rsidRPr="003C096B">
        <w:rPr>
          <w:lang w:val="en-GB" w:bidi="en-US"/>
        </w:rPr>
        <w:t>)</w:t>
      </w:r>
      <w:r w:rsidR="006C3820">
        <w:rPr>
          <w:lang w:val="en-GB" w:bidi="en-US"/>
        </w:rPr>
        <w:t>  </w:t>
      </w:r>
      <w:proofErr w:type="gramStart"/>
      <w:r w:rsidRPr="003C096B" w:rsidR="007B2A63">
        <w:rPr>
          <w:lang w:val="en-GB" w:bidi="en-US"/>
        </w:rPr>
        <w:t>a</w:t>
      </w:r>
      <w:proofErr w:type="gramEnd"/>
      <w:r w:rsidRPr="003C096B" w:rsidR="007B2A63">
        <w:rPr>
          <w:lang w:val="en-GB" w:bidi="en-US"/>
        </w:rPr>
        <w:t xml:space="preserve"> statement of the offences for which extradition is requested. The time and place of their commission, their legal descriptions and a reference to the relevant legal provisions shall be set out as accurately as possible; and</w:t>
      </w:r>
    </w:p>
    <w:p w:rsidRPr="003C096B" w:rsidR="007B2A63" w:rsidP="002414DD" w:rsidRDefault="00400BBC">
      <w:pPr>
        <w:pStyle w:val="ECHRParaQuote"/>
        <w:rPr>
          <w:lang w:val="en-GB" w:bidi="en-US"/>
        </w:rPr>
      </w:pPr>
      <w:r w:rsidRPr="003C096B">
        <w:rPr>
          <w:lang w:val="en-GB" w:bidi="en-US"/>
        </w:rPr>
        <w:t>(</w:t>
      </w:r>
      <w:r w:rsidRPr="003C096B" w:rsidR="007B2A63">
        <w:rPr>
          <w:lang w:val="en-GB" w:bidi="en-US"/>
        </w:rPr>
        <w:t>c</w:t>
      </w:r>
      <w:r w:rsidRPr="003C096B">
        <w:rPr>
          <w:lang w:val="en-GB" w:bidi="en-US"/>
        </w:rPr>
        <w:t>)</w:t>
      </w:r>
      <w:proofErr w:type="gramStart"/>
      <w:r w:rsidR="006C3820">
        <w:rPr>
          <w:lang w:val="en-GB" w:bidi="en-US"/>
        </w:rPr>
        <w:t>  </w:t>
      </w:r>
      <w:r w:rsidRPr="003C096B" w:rsidR="007B2A63">
        <w:rPr>
          <w:lang w:val="en-GB" w:bidi="en-US"/>
        </w:rPr>
        <w:t>a</w:t>
      </w:r>
      <w:proofErr w:type="gramEnd"/>
      <w:r w:rsidRPr="003C096B" w:rsidR="007B2A63">
        <w:rPr>
          <w:lang w:val="en-GB" w:bidi="en-US"/>
        </w:rPr>
        <w:t xml:space="preserve"> copy of the relevant enactments or, where this is not possible, a statement of the relevant law and as accurate a description as possible of the person claimed, together with any other information which will help to establish his identity and nationality</w:t>
      </w:r>
      <w:r w:rsidRPr="003C096B">
        <w:rPr>
          <w:lang w:val="en-GB" w:bidi="en-US"/>
        </w:rPr>
        <w:t>.”</w:t>
      </w:r>
    </w:p>
    <w:p w:rsidRPr="003C096B" w:rsidR="007B2A63" w:rsidP="003C096B" w:rsidRDefault="007B2A63">
      <w:pPr>
        <w:pStyle w:val="ECHRTitleCentre3"/>
        <w:rPr>
          <w:rFonts w:ascii="Times New Roman" w:hAnsi="Times New Roman" w:eastAsia="Times New Roman" w:cs="Times New Roman"/>
          <w:lang w:val="en-GB" w:eastAsia="en-GB"/>
        </w:rPr>
      </w:pPr>
      <w:r w:rsidRPr="003C096B">
        <w:rPr>
          <w:rFonts w:eastAsia="Times New Roman"/>
          <w:lang w:val="en-GB" w:eastAsia="en-GB"/>
        </w:rPr>
        <w:t>Article 16 – Provisional arrest</w:t>
      </w:r>
    </w:p>
    <w:p w:rsidRPr="003C096B" w:rsidR="003C096B" w:rsidP="002414DD" w:rsidRDefault="00F42D23">
      <w:pPr>
        <w:pStyle w:val="ECHRParaQuote"/>
        <w:rPr>
          <w:lang w:val="en-GB"/>
        </w:rPr>
      </w:pPr>
      <w:r>
        <w:rPr>
          <w:lang w:val="en-GB"/>
        </w:rPr>
        <w:t>“</w:t>
      </w:r>
      <w:bookmarkStart w:name="_GoBack" w:id="1"/>
      <w:bookmarkEnd w:id="1"/>
      <w:r w:rsidRPr="003C096B" w:rsidR="00400BBC">
        <w:rPr>
          <w:lang w:val="en-GB"/>
        </w:rPr>
        <w:t>1.</w:t>
      </w:r>
      <w:r w:rsidR="006C3820">
        <w:rPr>
          <w:lang w:val="en-GB"/>
        </w:rPr>
        <w:t>  </w:t>
      </w:r>
      <w:r w:rsidRPr="003C096B" w:rsidR="007B2A63">
        <w:rPr>
          <w:lang w:val="en-GB"/>
        </w:rPr>
        <w:t>In case of urgency the competent authorities of the requesting Party may request the provisional arrest of the person sought. The competent authorities of the requested Party shall decide the matter in accordance with its law.</w:t>
      </w:r>
    </w:p>
    <w:p w:rsidRPr="003C096B" w:rsidR="003C096B" w:rsidP="002414DD" w:rsidRDefault="00400BBC">
      <w:pPr>
        <w:pStyle w:val="ECHRParaQuote"/>
        <w:rPr>
          <w:lang w:val="en-GB"/>
        </w:rPr>
      </w:pPr>
      <w:r w:rsidRPr="003C096B">
        <w:rPr>
          <w:lang w:val="en-GB"/>
        </w:rPr>
        <w:t>2.</w:t>
      </w:r>
      <w:r w:rsidR="006C3820">
        <w:rPr>
          <w:lang w:val="en-GB"/>
        </w:rPr>
        <w:t>  </w:t>
      </w:r>
      <w:r w:rsidRPr="003C096B" w:rsidR="007B2A63">
        <w:rPr>
          <w:lang w:val="en-GB"/>
        </w:rPr>
        <w:t>The request for provisional arrest shall state that one of the documents mentioned in Article 12, paragraph 2.a, exists and that it is intended to send a request for extradition. It shall also state for what offence extradition will be requested and when and where such offence was committed and shall so far as possible give a description of the person sought.</w:t>
      </w:r>
    </w:p>
    <w:p w:rsidRPr="003C096B" w:rsidR="003C096B" w:rsidP="002414DD" w:rsidRDefault="00400BBC">
      <w:pPr>
        <w:pStyle w:val="ECHRParaQuote"/>
        <w:rPr>
          <w:lang w:val="en-GB"/>
        </w:rPr>
      </w:pPr>
      <w:r w:rsidRPr="003C096B">
        <w:rPr>
          <w:lang w:val="en-GB"/>
        </w:rPr>
        <w:t>3.</w:t>
      </w:r>
      <w:r w:rsidR="006C3820">
        <w:rPr>
          <w:lang w:val="en-GB"/>
        </w:rPr>
        <w:t>  </w:t>
      </w:r>
      <w:r w:rsidRPr="003C096B" w:rsidR="007B2A63">
        <w:rPr>
          <w:lang w:val="en-GB"/>
        </w:rPr>
        <w:t>A request for provisional arrest shall be sent to the competent authorities of the requested Party either through the diplomatic channel or direct by post or telegraph or through the International Criminal Police Organisation (Interpol) or by any other means affording evidence in writing or accepted by the requested Party. The requesting authority shall be informed without delay of the result of its request.</w:t>
      </w:r>
    </w:p>
    <w:p w:rsidRPr="003C096B" w:rsidR="003C096B" w:rsidP="002414DD" w:rsidRDefault="00400BBC">
      <w:pPr>
        <w:pStyle w:val="ECHRParaQuote"/>
        <w:rPr>
          <w:lang w:val="en-GB"/>
        </w:rPr>
      </w:pPr>
      <w:r w:rsidRPr="003C096B">
        <w:rPr>
          <w:lang w:val="en-GB"/>
        </w:rPr>
        <w:t>4.</w:t>
      </w:r>
      <w:r w:rsidR="006C3820">
        <w:rPr>
          <w:lang w:val="en-GB"/>
        </w:rPr>
        <w:t>  </w:t>
      </w:r>
      <w:r w:rsidRPr="003C096B" w:rsidR="007B2A63">
        <w:rPr>
          <w:lang w:val="en-GB"/>
        </w:rPr>
        <w:t>Provisional arrest may be terminated if, within a period of 18 days after arrest, the requested Party has not received the request for extradition and the documents mentioned in Article 12. It shall not, in any event, exceed 40 days from the date of such arrest. The possibility of provisional release at any time is not excluded, but the requested Party shall take any measures which it considers necessary to prevent the escape of the person sought.</w:t>
      </w:r>
    </w:p>
    <w:p w:rsidRPr="003C096B" w:rsidR="007B2A63" w:rsidP="002414DD" w:rsidRDefault="00400BBC">
      <w:pPr>
        <w:pStyle w:val="ECHRParaQuote"/>
        <w:rPr>
          <w:lang w:val="en-GB"/>
        </w:rPr>
      </w:pPr>
      <w:r w:rsidRPr="003C096B">
        <w:rPr>
          <w:lang w:val="en-GB"/>
        </w:rPr>
        <w:t>5.</w:t>
      </w:r>
      <w:proofErr w:type="gramStart"/>
      <w:r w:rsidR="006C3820">
        <w:rPr>
          <w:lang w:val="en-GB"/>
        </w:rPr>
        <w:t>  </w:t>
      </w:r>
      <w:r w:rsidRPr="003C096B" w:rsidR="007B2A63">
        <w:rPr>
          <w:lang w:val="en-GB"/>
        </w:rPr>
        <w:t>Release</w:t>
      </w:r>
      <w:proofErr w:type="gramEnd"/>
      <w:r w:rsidRPr="003C096B" w:rsidR="007B2A63">
        <w:rPr>
          <w:lang w:val="en-GB"/>
        </w:rPr>
        <w:t xml:space="preserve"> shall not prejudice re-arrest and extradition if a request for extradition is received subsequently.</w:t>
      </w:r>
      <w:r w:rsidRPr="003C096B">
        <w:rPr>
          <w:lang w:val="en-GB"/>
        </w:rPr>
        <w:t>”</w:t>
      </w:r>
    </w:p>
    <w:p w:rsidRPr="003C096B" w:rsidR="004F659D" w:rsidP="003C096B" w:rsidRDefault="004F659D">
      <w:pPr>
        <w:keepNext/>
        <w:keepLines/>
        <w:tabs>
          <w:tab w:val="left" w:pos="357"/>
        </w:tabs>
        <w:spacing w:before="360" w:after="240"/>
        <w:ind w:left="357" w:hanging="357"/>
        <w:outlineLvl w:val="0"/>
        <w:rPr>
          <w:rFonts w:asciiTheme="majorHAnsi" w:hAnsiTheme="majorHAnsi" w:eastAsiaTheme="majorEastAsia" w:cstheme="majorBidi"/>
          <w:bCs/>
          <w:szCs w:val="28"/>
          <w:lang w:val="en-GB"/>
        </w:rPr>
      </w:pPr>
      <w:r w:rsidRPr="003C096B">
        <w:rPr>
          <w:rFonts w:asciiTheme="majorHAnsi" w:hAnsiTheme="majorHAnsi" w:eastAsiaTheme="majorEastAsia" w:cstheme="majorBidi"/>
          <w:bCs/>
          <w:szCs w:val="28"/>
          <w:lang w:val="en-GB"/>
        </w:rPr>
        <w:t>III.</w:t>
      </w:r>
      <w:proofErr w:type="gramStart"/>
      <w:r w:rsidRPr="003C096B">
        <w:rPr>
          <w:rFonts w:asciiTheme="majorHAnsi" w:hAnsiTheme="majorHAnsi" w:eastAsiaTheme="majorEastAsia" w:cstheme="majorBidi"/>
          <w:bCs/>
          <w:szCs w:val="28"/>
          <w:lang w:val="en-GB"/>
        </w:rPr>
        <w:t>  </w:t>
      </w:r>
      <w:r w:rsidRPr="003C096B" w:rsidR="00F5125C">
        <w:rPr>
          <w:rFonts w:asciiTheme="majorHAnsi" w:hAnsiTheme="majorHAnsi" w:eastAsiaTheme="majorEastAsia" w:cstheme="majorBidi"/>
          <w:bCs/>
          <w:szCs w:val="28"/>
          <w:lang w:val="en-GB"/>
        </w:rPr>
        <w:t>RELEVANT</w:t>
      </w:r>
      <w:proofErr w:type="gramEnd"/>
      <w:r w:rsidRPr="003C096B" w:rsidR="00F5125C">
        <w:rPr>
          <w:rFonts w:asciiTheme="majorHAnsi" w:hAnsiTheme="majorHAnsi" w:eastAsiaTheme="majorEastAsia" w:cstheme="majorBidi"/>
          <w:bCs/>
          <w:szCs w:val="28"/>
          <w:lang w:val="en-GB"/>
        </w:rPr>
        <w:t xml:space="preserve"> DOMESTIC LAW AND PRACTICE</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22</w:t>
      </w:r>
      <w:r w:rsidRPr="003C096B">
        <w:rPr>
          <w:lang w:val="en-GB"/>
        </w:rPr>
        <w:fldChar w:fldCharType="end"/>
      </w:r>
      <w:r w:rsidRPr="003C096B">
        <w:rPr>
          <w:lang w:val="en-GB"/>
        </w:rPr>
        <w:t>.  </w:t>
      </w:r>
      <w:r w:rsidRPr="003C096B" w:rsidR="00796266">
        <w:rPr>
          <w:lang w:val="en-GB"/>
        </w:rPr>
        <w:t>As regards the application of pr</w:t>
      </w:r>
      <w:r w:rsidRPr="003C096B" w:rsidR="00BA393C">
        <w:rPr>
          <w:lang w:val="en-GB"/>
        </w:rPr>
        <w:t>ecautionary</w:t>
      </w:r>
      <w:r w:rsidRPr="003C096B" w:rsidR="00796266">
        <w:rPr>
          <w:lang w:val="en-GB"/>
        </w:rPr>
        <w:t xml:space="preserve"> measures</w:t>
      </w:r>
      <w:r w:rsidRPr="003C096B">
        <w:rPr>
          <w:lang w:val="en-GB"/>
        </w:rPr>
        <w:t xml:space="preserve">, </w:t>
      </w:r>
      <w:r w:rsidRPr="003C096B" w:rsidR="00796266">
        <w:rPr>
          <w:lang w:val="en-GB"/>
        </w:rPr>
        <w:t>A</w:t>
      </w:r>
      <w:r w:rsidRPr="003C096B">
        <w:rPr>
          <w:lang w:val="en-GB"/>
        </w:rPr>
        <w:t xml:space="preserve">rticle 715 </w:t>
      </w:r>
      <w:r w:rsidRPr="003C096B" w:rsidR="00796266">
        <w:rPr>
          <w:lang w:val="en-GB"/>
        </w:rPr>
        <w:t>of the Code of Criminal Procedure</w:t>
      </w:r>
      <w:r w:rsidRPr="003C096B">
        <w:rPr>
          <w:lang w:val="en-GB"/>
        </w:rPr>
        <w:t xml:space="preserve"> (C</w:t>
      </w:r>
      <w:r w:rsidRPr="003C096B" w:rsidR="00796266">
        <w:rPr>
          <w:lang w:val="en-GB"/>
        </w:rPr>
        <w:t>C</w:t>
      </w:r>
      <w:r w:rsidRPr="003C096B">
        <w:rPr>
          <w:lang w:val="en-GB"/>
        </w:rPr>
        <w:t xml:space="preserve">P) </w:t>
      </w:r>
      <w:r w:rsidRPr="003C096B" w:rsidR="00796266">
        <w:rPr>
          <w:lang w:val="en-GB"/>
        </w:rPr>
        <w:t>provides that, at the request of a foreign State</w:t>
      </w:r>
      <w:r w:rsidRPr="003C096B" w:rsidR="007D3796">
        <w:rPr>
          <w:lang w:val="en-GB"/>
        </w:rPr>
        <w:t>,</w:t>
      </w:r>
      <w:r w:rsidRPr="003C096B">
        <w:rPr>
          <w:lang w:val="en-GB"/>
        </w:rPr>
        <w:t xml:space="preserve"> </w:t>
      </w:r>
      <w:r w:rsidRPr="003C096B" w:rsidR="00581BD8">
        <w:rPr>
          <w:lang w:val="en-GB"/>
        </w:rPr>
        <w:t xml:space="preserve">the Court of Appeal may order the provisional arrest of an individual for the purposes of </w:t>
      </w:r>
      <w:r w:rsidRPr="003C096B">
        <w:rPr>
          <w:lang w:val="en-GB"/>
        </w:rPr>
        <w:t>extradition</w:t>
      </w:r>
      <w:r w:rsidRPr="003C096B" w:rsidR="00581BD8">
        <w:rPr>
          <w:lang w:val="en-GB"/>
        </w:rPr>
        <w:t xml:space="preserve"> </w:t>
      </w:r>
      <w:r w:rsidRPr="003C096B" w:rsidR="0074414F">
        <w:rPr>
          <w:lang w:val="en-GB"/>
        </w:rPr>
        <w:t>proceedings</w:t>
      </w:r>
      <w:r w:rsidRPr="003C096B">
        <w:rPr>
          <w:lang w:val="en-GB"/>
        </w:rPr>
        <w:t xml:space="preserve">. </w:t>
      </w:r>
      <w:r w:rsidRPr="003C096B" w:rsidR="00581BD8">
        <w:rPr>
          <w:lang w:val="en-GB"/>
        </w:rPr>
        <w:t>The request may be accepted</w:t>
      </w:r>
      <w:r w:rsidRPr="003C096B">
        <w:rPr>
          <w:lang w:val="en-GB"/>
        </w:rPr>
        <w:t xml:space="preserve"> </w:t>
      </w:r>
      <w:r w:rsidRPr="003C096B" w:rsidR="00581BD8">
        <w:rPr>
          <w:lang w:val="en-GB"/>
        </w:rPr>
        <w:t>(</w:t>
      </w:r>
      <w:r w:rsidRPr="003C096B">
        <w:rPr>
          <w:lang w:val="en-GB"/>
        </w:rPr>
        <w:t>a)</w:t>
      </w:r>
      <w:proofErr w:type="gramStart"/>
      <w:r w:rsidRPr="003C096B">
        <w:rPr>
          <w:lang w:val="en-GB"/>
        </w:rPr>
        <w:t>  </w:t>
      </w:r>
      <w:r w:rsidRPr="003C096B" w:rsidR="00D20C14">
        <w:rPr>
          <w:lang w:val="en-GB"/>
        </w:rPr>
        <w:t>if</w:t>
      </w:r>
      <w:proofErr w:type="gramEnd"/>
      <w:r w:rsidRPr="003C096B" w:rsidR="00D20C14">
        <w:rPr>
          <w:lang w:val="en-GB"/>
        </w:rPr>
        <w:t xml:space="preserve"> the foreign State is acting pursuant to an enforceable judgment of conviction</w:t>
      </w:r>
      <w:r w:rsidRPr="003C096B">
        <w:rPr>
          <w:lang w:val="en-GB"/>
        </w:rPr>
        <w:t xml:space="preserve"> </w:t>
      </w:r>
      <w:r w:rsidRPr="003C096B" w:rsidR="00D20C14">
        <w:rPr>
          <w:lang w:val="en-GB"/>
        </w:rPr>
        <w:t>or an arrest warrant and intends to send an extradition request</w:t>
      </w:r>
      <w:r w:rsidRPr="003C096B">
        <w:rPr>
          <w:lang w:val="en-GB"/>
        </w:rPr>
        <w:t xml:space="preserve">; </w:t>
      </w:r>
      <w:r w:rsidRPr="003C096B" w:rsidR="00D20C14">
        <w:rPr>
          <w:lang w:val="en-GB"/>
        </w:rPr>
        <w:t>(</w:t>
      </w:r>
      <w:r w:rsidRPr="003C096B">
        <w:rPr>
          <w:lang w:val="en-GB"/>
        </w:rPr>
        <w:t>b)  </w:t>
      </w:r>
      <w:r w:rsidRPr="003C096B" w:rsidR="00D20C14">
        <w:rPr>
          <w:lang w:val="en-GB"/>
        </w:rPr>
        <w:t xml:space="preserve">if the foreign State has provided a description of the relevant acts in support of the </w:t>
      </w:r>
      <w:r w:rsidRPr="003C096B">
        <w:rPr>
          <w:lang w:val="en-GB"/>
        </w:rPr>
        <w:t>extradition</w:t>
      </w:r>
      <w:r w:rsidRPr="003C096B" w:rsidR="00D20C14">
        <w:rPr>
          <w:lang w:val="en-GB"/>
        </w:rPr>
        <w:t xml:space="preserve"> request</w:t>
      </w:r>
      <w:r w:rsidRPr="003C096B">
        <w:rPr>
          <w:lang w:val="en-GB"/>
        </w:rPr>
        <w:t xml:space="preserve">, </w:t>
      </w:r>
      <w:r w:rsidRPr="003C096B" w:rsidR="00D20C14">
        <w:rPr>
          <w:lang w:val="en-GB"/>
        </w:rPr>
        <w:t xml:space="preserve">indicated the offence with which the wanted person is charged, and </w:t>
      </w:r>
      <w:r w:rsidR="006C3820">
        <w:rPr>
          <w:lang w:val="en-GB"/>
        </w:rPr>
        <w:t>provided a description of that person</w:t>
      </w:r>
      <w:r w:rsidRPr="003C096B">
        <w:rPr>
          <w:lang w:val="en-GB"/>
        </w:rPr>
        <w:t xml:space="preserve">; </w:t>
      </w:r>
      <w:r w:rsidRPr="003C096B" w:rsidR="006E04EE">
        <w:rPr>
          <w:lang w:val="en-GB"/>
        </w:rPr>
        <w:t>(</w:t>
      </w:r>
      <w:r w:rsidRPr="003C096B">
        <w:rPr>
          <w:lang w:val="en-GB"/>
        </w:rPr>
        <w:t>c)  </w:t>
      </w:r>
      <w:r w:rsidRPr="003C096B" w:rsidR="00D20C14">
        <w:rPr>
          <w:lang w:val="en-GB"/>
        </w:rPr>
        <w:t>if there is a risk that the person might abscond</w:t>
      </w:r>
      <w:r w:rsidRPr="003C096B">
        <w:rPr>
          <w:lang w:val="en-GB"/>
        </w:rPr>
        <w:t xml:space="preserve">. </w:t>
      </w:r>
      <w:r w:rsidR="006C3820">
        <w:rPr>
          <w:lang w:val="en-GB"/>
        </w:rPr>
        <w:t>Notification of t</w:t>
      </w:r>
      <w:r w:rsidRPr="003C096B" w:rsidR="00D20C14">
        <w:rPr>
          <w:lang w:val="en-GB"/>
        </w:rPr>
        <w:t xml:space="preserve">he </w:t>
      </w:r>
      <w:r w:rsidRPr="003C096B">
        <w:rPr>
          <w:lang w:val="en-GB"/>
        </w:rPr>
        <w:t xml:space="preserve">application </w:t>
      </w:r>
      <w:r w:rsidRPr="003C096B" w:rsidR="00D20C14">
        <w:rPr>
          <w:lang w:val="en-GB"/>
        </w:rPr>
        <w:t xml:space="preserve">of the measure </w:t>
      </w:r>
      <w:r w:rsidR="00E8723E">
        <w:rPr>
          <w:lang w:val="en-GB"/>
        </w:rPr>
        <w:t xml:space="preserve">is </w:t>
      </w:r>
      <w:r w:rsidR="006C3820">
        <w:rPr>
          <w:lang w:val="en-GB"/>
        </w:rPr>
        <w:t>given</w:t>
      </w:r>
      <w:r w:rsidRPr="003C096B" w:rsidR="00D20C14">
        <w:rPr>
          <w:lang w:val="en-GB"/>
        </w:rPr>
        <w:t xml:space="preserve"> by the Minister of</w:t>
      </w:r>
      <w:r w:rsidRPr="003C096B">
        <w:rPr>
          <w:lang w:val="en-GB"/>
        </w:rPr>
        <w:t xml:space="preserve"> Justice </w:t>
      </w:r>
      <w:r w:rsidRPr="003C096B" w:rsidR="00D20C14">
        <w:rPr>
          <w:lang w:val="en-GB"/>
        </w:rPr>
        <w:t xml:space="preserve">to the authorities of the foreign State. The precautionary measure will be </w:t>
      </w:r>
      <w:r w:rsidRPr="003C096B" w:rsidR="0050772A">
        <w:rPr>
          <w:lang w:val="en-GB"/>
        </w:rPr>
        <w:t>discontinued</w:t>
      </w:r>
      <w:r w:rsidRPr="003C096B" w:rsidR="00D20C14">
        <w:rPr>
          <w:lang w:val="en-GB"/>
        </w:rPr>
        <w:t xml:space="preserve"> if the foreign State does not send the extradition request and supporting documents, within forty days </w:t>
      </w:r>
      <w:r w:rsidR="008562B9">
        <w:rPr>
          <w:lang w:val="en-GB"/>
        </w:rPr>
        <w:t>following</w:t>
      </w:r>
      <w:r w:rsidRPr="003C096B" w:rsidR="00D20C14">
        <w:rPr>
          <w:lang w:val="en-GB"/>
        </w:rPr>
        <w:t xml:space="preserve"> that notification,</w:t>
      </w:r>
      <w:r w:rsidRPr="003C096B">
        <w:rPr>
          <w:lang w:val="en-GB"/>
        </w:rPr>
        <w:t xml:space="preserve"> </w:t>
      </w:r>
      <w:r w:rsidR="008562B9">
        <w:rPr>
          <w:lang w:val="en-GB"/>
        </w:rPr>
        <w:t>to the Ministry</w:t>
      </w:r>
      <w:r w:rsidRPr="003C096B" w:rsidR="00D20C14">
        <w:rPr>
          <w:lang w:val="en-GB"/>
        </w:rPr>
        <w:t xml:space="preserve"> of Foreign Affairs and </w:t>
      </w:r>
      <w:r w:rsidR="008562B9">
        <w:rPr>
          <w:lang w:val="en-GB"/>
        </w:rPr>
        <w:t xml:space="preserve">the Ministry </w:t>
      </w:r>
      <w:r w:rsidRPr="003C096B" w:rsidR="00D20C14">
        <w:rPr>
          <w:lang w:val="en-GB"/>
        </w:rPr>
        <w:t>of</w:t>
      </w:r>
      <w:r w:rsidRPr="003C096B">
        <w:rPr>
          <w:lang w:val="en-GB"/>
        </w:rPr>
        <w:t xml:space="preserve"> Justice.</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23</w:t>
      </w:r>
      <w:r w:rsidRPr="003C096B">
        <w:rPr>
          <w:lang w:val="en-GB"/>
        </w:rPr>
        <w:fldChar w:fldCharType="end"/>
      </w:r>
      <w:r w:rsidRPr="003C096B" w:rsidR="0050772A">
        <w:rPr>
          <w:lang w:val="en-GB"/>
        </w:rPr>
        <w:t>.  Under A</w:t>
      </w:r>
      <w:r w:rsidRPr="003C096B">
        <w:rPr>
          <w:lang w:val="en-GB"/>
        </w:rPr>
        <w:t xml:space="preserve">rticle 716 § 3 </w:t>
      </w:r>
      <w:r w:rsidRPr="003C096B" w:rsidR="0050772A">
        <w:rPr>
          <w:lang w:val="en-GB"/>
        </w:rPr>
        <w:t xml:space="preserve">of the </w:t>
      </w:r>
      <w:r w:rsidRPr="003C096B">
        <w:rPr>
          <w:lang w:val="en-GB"/>
        </w:rPr>
        <w:t>C</w:t>
      </w:r>
      <w:r w:rsidRPr="003C096B" w:rsidR="0050772A">
        <w:rPr>
          <w:lang w:val="en-GB"/>
        </w:rPr>
        <w:t>C</w:t>
      </w:r>
      <w:r w:rsidRPr="003C096B">
        <w:rPr>
          <w:lang w:val="en-GB"/>
        </w:rPr>
        <w:t xml:space="preserve">P, </w:t>
      </w:r>
      <w:r w:rsidRPr="003C096B" w:rsidR="0050772A">
        <w:rPr>
          <w:lang w:val="en-GB"/>
        </w:rPr>
        <w:t xml:space="preserve">the President of the Court of Appeal must confirm the </w:t>
      </w:r>
      <w:r w:rsidR="00FA7B94">
        <w:rPr>
          <w:lang w:val="en-GB"/>
        </w:rPr>
        <w:t>provisional</w:t>
      </w:r>
      <w:r w:rsidRPr="003C096B" w:rsidR="009B0A68">
        <w:rPr>
          <w:lang w:val="en-GB"/>
        </w:rPr>
        <w:t xml:space="preserve"> </w:t>
      </w:r>
      <w:r w:rsidRPr="003C096B" w:rsidR="0050772A">
        <w:rPr>
          <w:lang w:val="en-GB"/>
        </w:rPr>
        <w:t>arrest within ninety-six hours</w:t>
      </w:r>
      <w:r w:rsidRPr="003C096B">
        <w:rPr>
          <w:lang w:val="en-GB"/>
        </w:rPr>
        <w:t xml:space="preserve"> </w:t>
      </w:r>
      <w:r w:rsidRPr="003C096B" w:rsidR="0050772A">
        <w:rPr>
          <w:lang w:val="en-GB"/>
        </w:rPr>
        <w:t>and order the application of a custodial measure</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24</w:t>
      </w:r>
      <w:r w:rsidRPr="003C096B">
        <w:rPr>
          <w:lang w:val="en-GB"/>
        </w:rPr>
        <w:fldChar w:fldCharType="end"/>
      </w:r>
      <w:r w:rsidRPr="003C096B">
        <w:rPr>
          <w:lang w:val="en-GB"/>
        </w:rPr>
        <w:t>.  </w:t>
      </w:r>
      <w:r w:rsidRPr="003C096B" w:rsidR="0050772A">
        <w:rPr>
          <w:lang w:val="en-GB"/>
        </w:rPr>
        <w:t>Under A</w:t>
      </w:r>
      <w:r w:rsidRPr="003C096B">
        <w:rPr>
          <w:lang w:val="en-GB"/>
        </w:rPr>
        <w:t xml:space="preserve">rticle 716 § 4 </w:t>
      </w:r>
      <w:r w:rsidRPr="003C096B" w:rsidR="0050772A">
        <w:rPr>
          <w:lang w:val="en-GB"/>
        </w:rPr>
        <w:t xml:space="preserve">of the </w:t>
      </w:r>
      <w:r w:rsidRPr="003C096B">
        <w:rPr>
          <w:lang w:val="en-GB"/>
        </w:rPr>
        <w:t>C</w:t>
      </w:r>
      <w:r w:rsidRPr="003C096B" w:rsidR="0050772A">
        <w:rPr>
          <w:lang w:val="en-GB"/>
        </w:rPr>
        <w:t>C</w:t>
      </w:r>
      <w:r w:rsidRPr="003C096B">
        <w:rPr>
          <w:lang w:val="en-GB"/>
        </w:rPr>
        <w:t xml:space="preserve">P, </w:t>
      </w:r>
      <w:r w:rsidRPr="003C096B" w:rsidR="0050772A">
        <w:rPr>
          <w:lang w:val="en-GB"/>
        </w:rPr>
        <w:t>the precautionary measure will be discontinued if the Minist</w:t>
      </w:r>
      <w:r w:rsidR="00FA7B94">
        <w:rPr>
          <w:lang w:val="en-GB"/>
        </w:rPr>
        <w:t>ry</w:t>
      </w:r>
      <w:r w:rsidRPr="003C096B" w:rsidR="0050772A">
        <w:rPr>
          <w:lang w:val="en-GB"/>
        </w:rPr>
        <w:t xml:space="preserve"> of</w:t>
      </w:r>
      <w:r w:rsidRPr="003C096B">
        <w:rPr>
          <w:lang w:val="en-GB"/>
        </w:rPr>
        <w:t xml:space="preserve"> Justice </w:t>
      </w:r>
      <w:r w:rsidRPr="003C096B" w:rsidR="0050772A">
        <w:rPr>
          <w:lang w:val="en-GB"/>
        </w:rPr>
        <w:t>does not ask the Court of Appeal</w:t>
      </w:r>
      <w:r w:rsidRPr="003C096B">
        <w:rPr>
          <w:lang w:val="en-GB"/>
        </w:rPr>
        <w:t xml:space="preserve">, </w:t>
      </w:r>
      <w:r w:rsidRPr="003C096B" w:rsidR="0050772A">
        <w:rPr>
          <w:lang w:val="en-GB"/>
        </w:rPr>
        <w:t xml:space="preserve">within ten days from the </w:t>
      </w:r>
      <w:r w:rsidR="006C3820">
        <w:rPr>
          <w:lang w:val="en-GB"/>
        </w:rPr>
        <w:t xml:space="preserve">date of the </w:t>
      </w:r>
      <w:r w:rsidRPr="003C096B" w:rsidR="009B0A68">
        <w:rPr>
          <w:lang w:val="en-GB"/>
        </w:rPr>
        <w:t>confirmation</w:t>
      </w:r>
      <w:r w:rsidRPr="003C096B" w:rsidR="0050772A">
        <w:rPr>
          <w:lang w:val="en-GB"/>
        </w:rPr>
        <w:t xml:space="preserve"> of the arrest</w:t>
      </w:r>
      <w:r w:rsidRPr="003C096B">
        <w:rPr>
          <w:lang w:val="en-GB"/>
        </w:rPr>
        <w:t xml:space="preserve">, </w:t>
      </w:r>
      <w:r w:rsidRPr="003C096B" w:rsidR="0050772A">
        <w:rPr>
          <w:lang w:val="en-GB"/>
        </w:rPr>
        <w:t xml:space="preserve">to </w:t>
      </w:r>
      <w:r w:rsidRPr="003C096B" w:rsidR="009B0A68">
        <w:rPr>
          <w:lang w:val="en-GB"/>
        </w:rPr>
        <w:t>order the</w:t>
      </w:r>
      <w:r w:rsidRPr="003C096B" w:rsidR="0050772A">
        <w:rPr>
          <w:lang w:val="en-GB"/>
        </w:rPr>
        <w:t xml:space="preserve"> </w:t>
      </w:r>
      <w:r w:rsidRPr="003C096B" w:rsidR="009B0A68">
        <w:rPr>
          <w:lang w:val="en-GB"/>
        </w:rPr>
        <w:t>individual</w:t>
      </w:r>
      <w:r w:rsidR="00A51F9F">
        <w:rPr>
          <w:lang w:val="en-GB"/>
        </w:rPr>
        <w:t>’</w:t>
      </w:r>
      <w:r w:rsidRPr="003C096B" w:rsidR="009B0A68">
        <w:rPr>
          <w:lang w:val="en-GB"/>
        </w:rPr>
        <w:t>s retention in custody</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25</w:t>
      </w:r>
      <w:r w:rsidRPr="003C096B">
        <w:rPr>
          <w:lang w:val="en-GB"/>
        </w:rPr>
        <w:fldChar w:fldCharType="end"/>
      </w:r>
      <w:r w:rsidRPr="003C096B">
        <w:rPr>
          <w:lang w:val="en-GB"/>
        </w:rPr>
        <w:t>.  </w:t>
      </w:r>
      <w:r w:rsidRPr="003C096B" w:rsidR="009B0A68">
        <w:rPr>
          <w:lang w:val="en-GB"/>
        </w:rPr>
        <w:t>Under A</w:t>
      </w:r>
      <w:r w:rsidRPr="003C096B">
        <w:rPr>
          <w:lang w:val="en-GB"/>
        </w:rPr>
        <w:t xml:space="preserve">rticle 717 </w:t>
      </w:r>
      <w:r w:rsidR="006C3820">
        <w:rPr>
          <w:lang w:val="en-GB"/>
        </w:rPr>
        <w:t xml:space="preserve">of the </w:t>
      </w:r>
      <w:r w:rsidRPr="003C096B" w:rsidR="0050772A">
        <w:rPr>
          <w:lang w:val="en-GB"/>
        </w:rPr>
        <w:t>CCP</w:t>
      </w:r>
      <w:r w:rsidRPr="003C096B">
        <w:rPr>
          <w:lang w:val="en-GB"/>
        </w:rPr>
        <w:t xml:space="preserve">, </w:t>
      </w:r>
      <w:r w:rsidRPr="003C096B" w:rsidR="009B0A68">
        <w:rPr>
          <w:lang w:val="en-GB"/>
        </w:rPr>
        <w:t>where the domestic authorities have ordered a custodial measure</w:t>
      </w:r>
      <w:r w:rsidRPr="003C096B">
        <w:rPr>
          <w:lang w:val="en-GB"/>
        </w:rPr>
        <w:t xml:space="preserve">, </w:t>
      </w:r>
      <w:r w:rsidRPr="003C096B" w:rsidR="009B0A68">
        <w:rPr>
          <w:lang w:val="en-GB"/>
        </w:rPr>
        <w:t xml:space="preserve">the President of the Court of Appeal will schedule a hearing in order to identify the individual concerned and </w:t>
      </w:r>
      <w:r w:rsidRPr="003C096B" w:rsidR="006E04EE">
        <w:rPr>
          <w:lang w:val="en-GB"/>
        </w:rPr>
        <w:t>establish</w:t>
      </w:r>
      <w:r w:rsidRPr="003C096B" w:rsidR="009B0A68">
        <w:rPr>
          <w:lang w:val="en-GB"/>
        </w:rPr>
        <w:t xml:space="preserve"> whether the latter gives his or her consent to extradition</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26</w:t>
      </w:r>
      <w:r w:rsidRPr="003C096B">
        <w:rPr>
          <w:lang w:val="en-GB"/>
        </w:rPr>
        <w:fldChar w:fldCharType="end"/>
      </w:r>
      <w:r w:rsidRPr="003C096B">
        <w:rPr>
          <w:lang w:val="en-GB"/>
        </w:rPr>
        <w:t>.  </w:t>
      </w:r>
      <w:r w:rsidRPr="003C096B" w:rsidR="009B0A68">
        <w:rPr>
          <w:lang w:val="en-GB"/>
        </w:rPr>
        <w:t>In accordance with A</w:t>
      </w:r>
      <w:r w:rsidRPr="003C096B">
        <w:rPr>
          <w:lang w:val="en-GB"/>
        </w:rPr>
        <w:t>rticle 714</w:t>
      </w:r>
      <w:r w:rsidR="006C3820">
        <w:rPr>
          <w:lang w:val="en-GB"/>
        </w:rPr>
        <w:t xml:space="preserve"> of the</w:t>
      </w:r>
      <w:r w:rsidRPr="003C096B">
        <w:rPr>
          <w:lang w:val="en-GB"/>
        </w:rPr>
        <w:t xml:space="preserve"> </w:t>
      </w:r>
      <w:r w:rsidRPr="003C096B" w:rsidR="0050772A">
        <w:rPr>
          <w:lang w:val="en-GB"/>
        </w:rPr>
        <w:t>CCP</w:t>
      </w:r>
      <w:r w:rsidRPr="003C096B">
        <w:rPr>
          <w:lang w:val="en-GB"/>
        </w:rPr>
        <w:t xml:space="preserve">, </w:t>
      </w:r>
      <w:r w:rsidRPr="003C096B" w:rsidR="009B0A68">
        <w:rPr>
          <w:lang w:val="en-GB"/>
        </w:rPr>
        <w:t>the length of the custodial measure may not exceed one year and six months</w:t>
      </w:r>
      <w:r w:rsidRPr="003C096B">
        <w:rPr>
          <w:lang w:val="en-GB"/>
        </w:rPr>
        <w:t xml:space="preserve">. </w:t>
      </w:r>
      <w:r w:rsidRPr="003C096B" w:rsidR="009B0A68">
        <w:rPr>
          <w:lang w:val="en-GB"/>
        </w:rPr>
        <w:t xml:space="preserve">It may, however, be extended for a </w:t>
      </w:r>
      <w:r w:rsidRPr="003C096B" w:rsidR="00E95F85">
        <w:rPr>
          <w:lang w:val="en-GB"/>
        </w:rPr>
        <w:t>total period not exceeding three months</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27</w:t>
      </w:r>
      <w:r w:rsidRPr="003C096B">
        <w:rPr>
          <w:lang w:val="en-GB"/>
        </w:rPr>
        <w:fldChar w:fldCharType="end"/>
      </w:r>
      <w:r w:rsidRPr="003C096B">
        <w:rPr>
          <w:lang w:val="en-GB"/>
        </w:rPr>
        <w:t>.  </w:t>
      </w:r>
      <w:r w:rsidRPr="003C096B" w:rsidR="00E95F85">
        <w:rPr>
          <w:lang w:val="en-GB"/>
        </w:rPr>
        <w:t>Under A</w:t>
      </w:r>
      <w:r w:rsidRPr="003C096B">
        <w:rPr>
          <w:lang w:val="en-GB"/>
        </w:rPr>
        <w:t xml:space="preserve">rticle 718 </w:t>
      </w:r>
      <w:r w:rsidR="00E8723E">
        <w:rPr>
          <w:lang w:val="en-GB"/>
        </w:rPr>
        <w:t xml:space="preserve">of the </w:t>
      </w:r>
      <w:r w:rsidRPr="003C096B" w:rsidR="0050772A">
        <w:rPr>
          <w:lang w:val="en-GB"/>
        </w:rPr>
        <w:t>CCP</w:t>
      </w:r>
      <w:r w:rsidRPr="003C096B">
        <w:rPr>
          <w:lang w:val="en-GB"/>
        </w:rPr>
        <w:t xml:space="preserve">, </w:t>
      </w:r>
      <w:r w:rsidRPr="003C096B" w:rsidR="00E95F85">
        <w:rPr>
          <w:lang w:val="en-GB"/>
        </w:rPr>
        <w:t>the custodial measure may, at the request of one of the parties or spontaneously</w:t>
      </w:r>
      <w:r w:rsidRPr="003C096B">
        <w:rPr>
          <w:lang w:val="en-GB"/>
        </w:rPr>
        <w:t xml:space="preserve">, </w:t>
      </w:r>
      <w:r w:rsidRPr="003C096B" w:rsidR="00E95F85">
        <w:rPr>
          <w:lang w:val="en-GB"/>
        </w:rPr>
        <w:t>be discontinued by the Court of Appeal or the Court of Cassation, sitting as a court of first instance</w:t>
      </w:r>
      <w:r w:rsidRPr="003C096B">
        <w:rPr>
          <w:lang w:val="en-GB"/>
        </w:rPr>
        <w:t xml:space="preserve">. </w:t>
      </w:r>
      <w:r w:rsidRPr="003C096B" w:rsidR="00E95F85">
        <w:rPr>
          <w:lang w:val="en-GB"/>
        </w:rPr>
        <w:t>The Court of Appeal deliberates in private after hearing the parties</w:t>
      </w:r>
      <w:r w:rsidRPr="003C096B">
        <w:rPr>
          <w:lang w:val="en-GB"/>
        </w:rPr>
        <w:t xml:space="preserve">. </w:t>
      </w:r>
      <w:r w:rsidRPr="003C096B" w:rsidR="00E95F85">
        <w:rPr>
          <w:lang w:val="en-GB"/>
        </w:rPr>
        <w:t xml:space="preserve">The decision of the Court of Appeal may be appealed against before the Court of Cassation </w:t>
      </w:r>
      <w:r w:rsidR="00164EAF">
        <w:rPr>
          <w:lang w:val="en-GB"/>
        </w:rPr>
        <w:t>in so far as</w:t>
      </w:r>
      <w:r w:rsidRPr="003C096B" w:rsidR="00E95F85">
        <w:rPr>
          <w:lang w:val="en-GB"/>
        </w:rPr>
        <w:t xml:space="preserve"> the grounds of appeal are based on a violation of statute law</w:t>
      </w:r>
      <w:r w:rsidRPr="003C096B">
        <w:rPr>
          <w:lang w:val="en-GB"/>
        </w:rPr>
        <w:t xml:space="preserve">. </w:t>
      </w:r>
      <w:r w:rsidRPr="003C096B" w:rsidR="00E95F85">
        <w:rPr>
          <w:rFonts w:cstheme="minorHAnsi"/>
          <w:lang w:val="en-GB"/>
        </w:rPr>
        <w:t>In that connection the Court of Cassation has, on several occasions, established that it does not have jurisdiction to examine appeals on points of law</w:t>
      </w:r>
      <w:r w:rsidRPr="003C096B">
        <w:rPr>
          <w:lang w:val="en-GB"/>
        </w:rPr>
        <w:t xml:space="preserve"> </w:t>
      </w:r>
      <w:r w:rsidRPr="003C096B" w:rsidR="00E95F85">
        <w:rPr>
          <w:lang w:val="en-GB"/>
        </w:rPr>
        <w:t>in which the appellant is seeking release on the ground that the risk of hi</w:t>
      </w:r>
      <w:r w:rsidRPr="003C096B" w:rsidR="006E04EE">
        <w:rPr>
          <w:lang w:val="en-GB"/>
        </w:rPr>
        <w:t>s</w:t>
      </w:r>
      <w:r w:rsidRPr="003C096B" w:rsidR="00E95F85">
        <w:rPr>
          <w:lang w:val="en-GB"/>
        </w:rPr>
        <w:t xml:space="preserve"> or her absconding, which was</w:t>
      </w:r>
      <w:r w:rsidR="006C3820">
        <w:rPr>
          <w:lang w:val="en-GB"/>
        </w:rPr>
        <w:t xml:space="preserve"> initially</w:t>
      </w:r>
      <w:r w:rsidRPr="003C096B" w:rsidR="00E95F85">
        <w:rPr>
          <w:lang w:val="en-GB"/>
        </w:rPr>
        <w:t xml:space="preserve"> the justification for the custodial measure,</w:t>
      </w:r>
      <w:r w:rsidRPr="003C096B">
        <w:rPr>
          <w:lang w:val="en-GB"/>
        </w:rPr>
        <w:t xml:space="preserve"> </w:t>
      </w:r>
      <w:r w:rsidRPr="003C096B" w:rsidR="00E95F85">
        <w:rPr>
          <w:lang w:val="en-GB"/>
        </w:rPr>
        <w:t>has ceased to exist</w:t>
      </w:r>
      <w:r w:rsidRPr="003C096B">
        <w:rPr>
          <w:lang w:val="en-GB"/>
        </w:rPr>
        <w:t xml:space="preserve"> (</w:t>
      </w:r>
      <w:r w:rsidRPr="003C096B" w:rsidR="00E95F85">
        <w:rPr>
          <w:lang w:val="en-GB"/>
        </w:rPr>
        <w:t>see, for example, Court of Cassation, judgment no.</w:t>
      </w:r>
      <w:r w:rsidR="00A44A68">
        <w:rPr>
          <w:lang w:val="en-GB"/>
        </w:rPr>
        <w:t xml:space="preserve"> </w:t>
      </w:r>
      <w:bookmarkStart w:name="OLE_LINK1" w:id="2"/>
      <w:bookmarkStart w:name="OLE_LINK4" w:id="3"/>
      <w:r w:rsidRPr="003C096B">
        <w:rPr>
          <w:lang w:val="en-GB"/>
        </w:rPr>
        <w:t>33545</w:t>
      </w:r>
      <w:bookmarkEnd w:id="2"/>
      <w:bookmarkEnd w:id="3"/>
      <w:r w:rsidRPr="003C096B">
        <w:rPr>
          <w:lang w:val="en-GB"/>
        </w:rPr>
        <w:t xml:space="preserve"> </w:t>
      </w:r>
      <w:r w:rsidRPr="003C096B" w:rsidR="00E95F85">
        <w:rPr>
          <w:lang w:val="en-GB"/>
        </w:rPr>
        <w:t>of</w:t>
      </w:r>
      <w:r w:rsidRPr="003C096B">
        <w:rPr>
          <w:lang w:val="en-GB"/>
        </w:rPr>
        <w:t xml:space="preserve"> 7 </w:t>
      </w:r>
      <w:r w:rsidRPr="003C096B" w:rsidR="00E95F85">
        <w:rPr>
          <w:lang w:val="en-GB"/>
        </w:rPr>
        <w:t>September</w:t>
      </w:r>
      <w:r w:rsidRPr="003C096B">
        <w:rPr>
          <w:lang w:val="en-GB"/>
        </w:rPr>
        <w:t xml:space="preserve"> 2010, </w:t>
      </w:r>
      <w:r w:rsidRPr="003C096B" w:rsidR="00E95F85">
        <w:rPr>
          <w:lang w:val="en-GB"/>
        </w:rPr>
        <w:t>d</w:t>
      </w:r>
      <w:r w:rsidRPr="003C096B" w:rsidR="006B26DF">
        <w:rPr>
          <w:lang w:val="en-GB"/>
        </w:rPr>
        <w:t xml:space="preserve">eposited </w:t>
      </w:r>
      <w:r w:rsidR="00164EAF">
        <w:rPr>
          <w:lang w:val="en-GB"/>
        </w:rPr>
        <w:t>with</w:t>
      </w:r>
      <w:r w:rsidRPr="003C096B" w:rsidR="00164EAF">
        <w:rPr>
          <w:lang w:val="en-GB"/>
        </w:rPr>
        <w:t xml:space="preserve"> </w:t>
      </w:r>
      <w:r w:rsidRPr="003C096B" w:rsidR="006B26DF">
        <w:rPr>
          <w:lang w:val="en-GB"/>
        </w:rPr>
        <w:t>the r</w:t>
      </w:r>
      <w:r w:rsidRPr="003C096B" w:rsidR="00E95F85">
        <w:rPr>
          <w:lang w:val="en-GB"/>
        </w:rPr>
        <w:t>egistry on</w:t>
      </w:r>
      <w:r w:rsidRPr="003C096B">
        <w:rPr>
          <w:lang w:val="en-GB"/>
        </w:rPr>
        <w:t xml:space="preserve"> 13 </w:t>
      </w:r>
      <w:r w:rsidRPr="003C096B" w:rsidR="00E95F85">
        <w:rPr>
          <w:lang w:val="en-GB"/>
        </w:rPr>
        <w:t>September 2010</w:t>
      </w:r>
      <w:r w:rsidRPr="003C096B">
        <w:rPr>
          <w:lang w:val="en-GB"/>
        </w:rPr>
        <w:t xml:space="preserve">; </w:t>
      </w:r>
      <w:r w:rsidRPr="003C096B" w:rsidR="00E95F85">
        <w:rPr>
          <w:lang w:val="en-GB"/>
        </w:rPr>
        <w:t>more generally, on the lack of jurisdiction to examine grounds based on arbitrar</w:t>
      </w:r>
      <w:r w:rsidRPr="003C096B" w:rsidR="006B26DF">
        <w:rPr>
          <w:lang w:val="en-GB"/>
        </w:rPr>
        <w:t>iness in</w:t>
      </w:r>
      <w:r w:rsidRPr="003C096B" w:rsidR="00E95F85">
        <w:rPr>
          <w:lang w:val="en-GB"/>
        </w:rPr>
        <w:t xml:space="preserve"> the reasoning of the Court of Appeal</w:t>
      </w:r>
      <w:r w:rsidR="00A51F9F">
        <w:rPr>
          <w:lang w:val="en-GB"/>
        </w:rPr>
        <w:t>’</w:t>
      </w:r>
      <w:r w:rsidRPr="003C096B" w:rsidR="00E95F85">
        <w:rPr>
          <w:lang w:val="en-GB"/>
        </w:rPr>
        <w:t>s decisions, see Court of Cassation</w:t>
      </w:r>
      <w:r w:rsidRPr="003C096B">
        <w:rPr>
          <w:lang w:val="en-GB"/>
        </w:rPr>
        <w:t xml:space="preserve">, </w:t>
      </w:r>
      <w:r w:rsidRPr="003C096B" w:rsidR="00E95F85">
        <w:rPr>
          <w:lang w:val="en-GB"/>
        </w:rPr>
        <w:t xml:space="preserve">judgment no. </w:t>
      </w:r>
      <w:r w:rsidRPr="003C096B">
        <w:rPr>
          <w:lang w:val="en-GB"/>
        </w:rPr>
        <w:t xml:space="preserve">37123 </w:t>
      </w:r>
      <w:r w:rsidRPr="003C096B" w:rsidR="00E95F85">
        <w:rPr>
          <w:lang w:val="en-GB"/>
        </w:rPr>
        <w:t>of</w:t>
      </w:r>
      <w:r w:rsidRPr="003C096B">
        <w:rPr>
          <w:lang w:val="en-GB"/>
        </w:rPr>
        <w:t xml:space="preserve"> 24</w:t>
      </w:r>
      <w:r w:rsidR="00A44A68">
        <w:rPr>
          <w:lang w:val="en-GB"/>
        </w:rPr>
        <w:t xml:space="preserve"> </w:t>
      </w:r>
      <w:r w:rsidRPr="003C096B" w:rsidR="00E95F85">
        <w:rPr>
          <w:lang w:val="en-GB"/>
        </w:rPr>
        <w:t>September</w:t>
      </w:r>
      <w:r w:rsidRPr="003C096B">
        <w:rPr>
          <w:lang w:val="en-GB"/>
        </w:rPr>
        <w:t xml:space="preserve"> 2012, d</w:t>
      </w:r>
      <w:r w:rsidRPr="003C096B" w:rsidR="00E95F85">
        <w:rPr>
          <w:lang w:val="en-GB"/>
        </w:rPr>
        <w:t>e</w:t>
      </w:r>
      <w:r w:rsidRPr="003C096B" w:rsidR="006B26DF">
        <w:rPr>
          <w:lang w:val="en-GB"/>
        </w:rPr>
        <w:t xml:space="preserve">posited </w:t>
      </w:r>
      <w:r w:rsidR="00164EAF">
        <w:rPr>
          <w:lang w:val="en-GB"/>
        </w:rPr>
        <w:t>with</w:t>
      </w:r>
      <w:r w:rsidRPr="003C096B" w:rsidR="00164EAF">
        <w:rPr>
          <w:lang w:val="en-GB"/>
        </w:rPr>
        <w:t xml:space="preserve"> </w:t>
      </w:r>
      <w:r w:rsidRPr="003C096B" w:rsidR="006B26DF">
        <w:rPr>
          <w:lang w:val="en-GB"/>
        </w:rPr>
        <w:t>the r</w:t>
      </w:r>
      <w:r w:rsidRPr="003C096B" w:rsidR="00E95F85">
        <w:rPr>
          <w:lang w:val="en-GB"/>
        </w:rPr>
        <w:t>egistry on</w:t>
      </w:r>
      <w:r w:rsidRPr="003C096B">
        <w:rPr>
          <w:lang w:val="en-GB"/>
        </w:rPr>
        <w:t xml:space="preserve"> 26 </w:t>
      </w:r>
      <w:r w:rsidRPr="003C096B" w:rsidR="00E95F85">
        <w:rPr>
          <w:lang w:val="en-GB"/>
        </w:rPr>
        <w:t>September</w:t>
      </w:r>
      <w:r w:rsidRPr="003C096B">
        <w:rPr>
          <w:lang w:val="en-GB"/>
        </w:rPr>
        <w:t xml:space="preserve"> 2012).</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28</w:t>
      </w:r>
      <w:r w:rsidRPr="003C096B">
        <w:rPr>
          <w:lang w:val="en-GB"/>
        </w:rPr>
        <w:fldChar w:fldCharType="end"/>
      </w:r>
      <w:r w:rsidRPr="003C096B">
        <w:rPr>
          <w:lang w:val="en-GB"/>
        </w:rPr>
        <w:t>.  </w:t>
      </w:r>
      <w:r w:rsidRPr="003C096B" w:rsidR="006B26DF">
        <w:rPr>
          <w:lang w:val="en-GB"/>
        </w:rPr>
        <w:t>As regards the judicial phase of the</w:t>
      </w:r>
      <w:r w:rsidRPr="003C096B">
        <w:rPr>
          <w:lang w:val="en-GB"/>
        </w:rPr>
        <w:t xml:space="preserve"> extradition, </w:t>
      </w:r>
      <w:r w:rsidRPr="003C096B" w:rsidR="006B26DF">
        <w:rPr>
          <w:lang w:val="en-GB"/>
        </w:rPr>
        <w:t>as provided for in A</w:t>
      </w:r>
      <w:r w:rsidRPr="003C096B">
        <w:rPr>
          <w:lang w:val="en-GB"/>
        </w:rPr>
        <w:t xml:space="preserve">rticle 704 </w:t>
      </w:r>
      <w:r w:rsidR="00164EAF">
        <w:rPr>
          <w:lang w:val="en-GB"/>
        </w:rPr>
        <w:t xml:space="preserve">of the </w:t>
      </w:r>
      <w:r w:rsidRPr="003C096B" w:rsidR="0050772A">
        <w:rPr>
          <w:lang w:val="en-GB"/>
        </w:rPr>
        <w:t>CCP</w:t>
      </w:r>
      <w:r w:rsidRPr="003C096B">
        <w:rPr>
          <w:lang w:val="en-GB"/>
        </w:rPr>
        <w:t xml:space="preserve">, </w:t>
      </w:r>
      <w:r w:rsidRPr="003C096B" w:rsidR="006B26DF">
        <w:rPr>
          <w:lang w:val="en-GB"/>
        </w:rPr>
        <w:t xml:space="preserve">the Court of Appeal rules in private </w:t>
      </w:r>
      <w:r w:rsidR="00164EAF">
        <w:rPr>
          <w:lang w:val="en-GB"/>
        </w:rPr>
        <w:t>having heard</w:t>
      </w:r>
      <w:r w:rsidRPr="003C096B" w:rsidR="006B26DF">
        <w:rPr>
          <w:lang w:val="en-GB"/>
        </w:rPr>
        <w:t xml:space="preserve"> the parties</w:t>
      </w:r>
      <w:r w:rsidR="00164EAF">
        <w:rPr>
          <w:lang w:val="en-GB"/>
        </w:rPr>
        <w:t>,</w:t>
      </w:r>
      <w:r w:rsidRPr="003C096B">
        <w:rPr>
          <w:lang w:val="en-GB"/>
        </w:rPr>
        <w:t xml:space="preserve"> </w:t>
      </w:r>
      <w:r w:rsidRPr="003C096B" w:rsidR="006B26DF">
        <w:rPr>
          <w:lang w:val="en-GB"/>
        </w:rPr>
        <w:t xml:space="preserve">gathered the relevant information and </w:t>
      </w:r>
      <w:r w:rsidRPr="003C096B" w:rsidR="006E04EE">
        <w:rPr>
          <w:lang w:val="en-GB"/>
        </w:rPr>
        <w:t>carried out</w:t>
      </w:r>
      <w:r w:rsidRPr="003C096B" w:rsidR="006B26DF">
        <w:rPr>
          <w:lang w:val="en-GB"/>
        </w:rPr>
        <w:t xml:space="preserve"> the necessary verifications. It must establish whether the</w:t>
      </w:r>
      <w:r w:rsidRPr="003C096B">
        <w:rPr>
          <w:lang w:val="en-GB"/>
        </w:rPr>
        <w:t xml:space="preserve"> conditions </w:t>
      </w:r>
      <w:r w:rsidRPr="003C096B" w:rsidR="006B26DF">
        <w:rPr>
          <w:lang w:val="en-GB"/>
        </w:rPr>
        <w:t xml:space="preserve">laid down by domestic and international law </w:t>
      </w:r>
      <w:r w:rsidR="00164EAF">
        <w:rPr>
          <w:lang w:val="en-GB"/>
        </w:rPr>
        <w:t>have been</w:t>
      </w:r>
      <w:r w:rsidRPr="003C096B" w:rsidR="006B26DF">
        <w:rPr>
          <w:lang w:val="en-GB"/>
        </w:rPr>
        <w:t xml:space="preserve"> satisfied</w:t>
      </w:r>
      <w:r w:rsidRPr="003C096B">
        <w:rPr>
          <w:lang w:val="en-GB"/>
        </w:rPr>
        <w:t xml:space="preserve">: </w:t>
      </w:r>
      <w:r w:rsidRPr="003C096B" w:rsidR="006B26DF">
        <w:rPr>
          <w:lang w:val="en-GB"/>
        </w:rPr>
        <w:t>in addition to the rules of the European</w:t>
      </w:r>
      <w:r w:rsidRPr="003C096B">
        <w:rPr>
          <w:lang w:val="en-GB"/>
        </w:rPr>
        <w:t xml:space="preserve"> Convention </w:t>
      </w:r>
      <w:r w:rsidRPr="003C096B" w:rsidR="006B26DF">
        <w:rPr>
          <w:lang w:val="en-GB"/>
        </w:rPr>
        <w:t>on Extradition, A</w:t>
      </w:r>
      <w:r w:rsidRPr="003C096B">
        <w:rPr>
          <w:lang w:val="en-GB"/>
        </w:rPr>
        <w:t xml:space="preserve">rticle 705 </w:t>
      </w:r>
      <w:r w:rsidR="00164EAF">
        <w:rPr>
          <w:lang w:val="en-GB"/>
        </w:rPr>
        <w:t xml:space="preserve">of the </w:t>
      </w:r>
      <w:r w:rsidRPr="003C096B" w:rsidR="0050772A">
        <w:rPr>
          <w:lang w:val="en-GB"/>
        </w:rPr>
        <w:t>CCP</w:t>
      </w:r>
      <w:r w:rsidRPr="003C096B">
        <w:rPr>
          <w:lang w:val="en-GB"/>
        </w:rPr>
        <w:t xml:space="preserve"> </w:t>
      </w:r>
      <w:r w:rsidRPr="003C096B" w:rsidR="006B26DF">
        <w:rPr>
          <w:lang w:val="en-GB"/>
        </w:rPr>
        <w:t xml:space="preserve">requires the courts to verify whether the person concerned has been charged with </w:t>
      </w:r>
      <w:r w:rsidRPr="003C096B" w:rsidR="00381B05">
        <w:rPr>
          <w:lang w:val="en-GB"/>
        </w:rPr>
        <w:t>a political offence</w:t>
      </w:r>
      <w:r w:rsidRPr="003C096B" w:rsidR="006B26DF">
        <w:rPr>
          <w:lang w:val="en-GB"/>
        </w:rPr>
        <w:t xml:space="preserve">, whether he or she risks being tried according to procedures which do not guarantee the protection of fundamental rights, or whether, once extradited, </w:t>
      </w:r>
      <w:r w:rsidRPr="003C096B" w:rsidR="00381B05">
        <w:rPr>
          <w:lang w:val="en-GB"/>
        </w:rPr>
        <w:t xml:space="preserve">he or she risks being subjected to treatment that is inhuman, degrading or </w:t>
      </w:r>
      <w:r w:rsidRPr="003C096B">
        <w:rPr>
          <w:lang w:val="en-GB"/>
        </w:rPr>
        <w:t>discriminato</w:t>
      </w:r>
      <w:r w:rsidRPr="003C096B" w:rsidR="00381B05">
        <w:rPr>
          <w:lang w:val="en-GB"/>
        </w:rPr>
        <w:t>ry, or to any action that may breach one of the person</w:t>
      </w:r>
      <w:r w:rsidR="00A51F9F">
        <w:rPr>
          <w:lang w:val="en-GB"/>
        </w:rPr>
        <w:t>’</w:t>
      </w:r>
      <w:r w:rsidRPr="003C096B" w:rsidR="00381B05">
        <w:rPr>
          <w:lang w:val="en-GB"/>
        </w:rPr>
        <w:t>s fundamental rights</w:t>
      </w:r>
      <w:r w:rsidRPr="003C096B">
        <w:rPr>
          <w:lang w:val="en-GB"/>
        </w:rPr>
        <w:t xml:space="preserve">. </w:t>
      </w:r>
      <w:r w:rsidRPr="003C096B" w:rsidR="00381B05">
        <w:rPr>
          <w:lang w:val="en-GB"/>
        </w:rPr>
        <w:t>Under the same A</w:t>
      </w:r>
      <w:r w:rsidRPr="003C096B">
        <w:rPr>
          <w:lang w:val="en-GB"/>
        </w:rPr>
        <w:t xml:space="preserve">rticle, </w:t>
      </w:r>
      <w:r w:rsidRPr="003C096B" w:rsidR="00381B05">
        <w:rPr>
          <w:lang w:val="en-GB"/>
        </w:rPr>
        <w:t xml:space="preserve">where the European </w:t>
      </w:r>
      <w:r w:rsidRPr="003C096B">
        <w:rPr>
          <w:lang w:val="en-GB"/>
        </w:rPr>
        <w:t xml:space="preserve">Convention </w:t>
      </w:r>
      <w:r w:rsidRPr="003C096B" w:rsidR="00381B05">
        <w:rPr>
          <w:lang w:val="en-GB"/>
        </w:rPr>
        <w:t>on E</w:t>
      </w:r>
      <w:r w:rsidRPr="003C096B">
        <w:rPr>
          <w:lang w:val="en-GB"/>
        </w:rPr>
        <w:t xml:space="preserve">xtradition </w:t>
      </w:r>
      <w:r w:rsidRPr="003C096B" w:rsidR="00381B05">
        <w:rPr>
          <w:lang w:val="en-GB"/>
        </w:rPr>
        <w:t>applies</w:t>
      </w:r>
      <w:r w:rsidRPr="003C096B">
        <w:rPr>
          <w:lang w:val="en-GB"/>
        </w:rPr>
        <w:t xml:space="preserve">, </w:t>
      </w:r>
      <w:r w:rsidRPr="003C096B" w:rsidR="00381B05">
        <w:rPr>
          <w:lang w:val="en-GB"/>
        </w:rPr>
        <w:t>the courts are not entitled to examine whether or not there are serious indications of guilt</w:t>
      </w:r>
      <w:r w:rsidRPr="003C096B">
        <w:rPr>
          <w:lang w:val="en-GB"/>
        </w:rPr>
        <w:t xml:space="preserve"> (</w:t>
      </w:r>
      <w:proofErr w:type="spellStart"/>
      <w:r w:rsidRPr="003C096B">
        <w:rPr>
          <w:i/>
          <w:lang w:val="en-GB"/>
        </w:rPr>
        <w:t>gravi</w:t>
      </w:r>
      <w:proofErr w:type="spellEnd"/>
      <w:r w:rsidRPr="003C096B">
        <w:rPr>
          <w:i/>
          <w:lang w:val="en-GB"/>
        </w:rPr>
        <w:t xml:space="preserve"> </w:t>
      </w:r>
      <w:proofErr w:type="spellStart"/>
      <w:r w:rsidRPr="003C096B">
        <w:rPr>
          <w:i/>
          <w:lang w:val="en-GB"/>
        </w:rPr>
        <w:t>indizi</w:t>
      </w:r>
      <w:proofErr w:type="spellEnd"/>
      <w:r w:rsidRPr="003C096B">
        <w:rPr>
          <w:i/>
          <w:lang w:val="en-GB"/>
        </w:rPr>
        <w:t xml:space="preserve"> di </w:t>
      </w:r>
      <w:proofErr w:type="spellStart"/>
      <w:r w:rsidRPr="003C096B">
        <w:rPr>
          <w:i/>
          <w:lang w:val="en-GB"/>
        </w:rPr>
        <w:t>colpevolezza</w:t>
      </w:r>
      <w:proofErr w:type="spellEnd"/>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29</w:t>
      </w:r>
      <w:r w:rsidRPr="003C096B">
        <w:rPr>
          <w:lang w:val="en-GB"/>
        </w:rPr>
        <w:fldChar w:fldCharType="end"/>
      </w:r>
      <w:r w:rsidRPr="003C096B">
        <w:rPr>
          <w:lang w:val="en-GB"/>
        </w:rPr>
        <w:t>.  </w:t>
      </w:r>
      <w:r w:rsidRPr="003C096B" w:rsidR="00381B05">
        <w:rPr>
          <w:lang w:val="en-GB"/>
        </w:rPr>
        <w:t>Under A</w:t>
      </w:r>
      <w:r w:rsidRPr="003C096B">
        <w:rPr>
          <w:lang w:val="en-GB"/>
        </w:rPr>
        <w:t xml:space="preserve">rticle 706 </w:t>
      </w:r>
      <w:r w:rsidR="00164EAF">
        <w:rPr>
          <w:lang w:val="en-GB"/>
        </w:rPr>
        <w:t xml:space="preserve">of the </w:t>
      </w:r>
      <w:r w:rsidRPr="003C096B" w:rsidR="0050772A">
        <w:rPr>
          <w:lang w:val="en-GB"/>
        </w:rPr>
        <w:t>CCP</w:t>
      </w:r>
      <w:r w:rsidR="00164EAF">
        <w:rPr>
          <w:lang w:val="en-GB"/>
        </w:rPr>
        <w:t>,</w:t>
      </w:r>
      <w:r w:rsidRPr="003C096B">
        <w:rPr>
          <w:lang w:val="en-GB"/>
        </w:rPr>
        <w:t xml:space="preserve"> </w:t>
      </w:r>
      <w:r w:rsidRPr="003C096B" w:rsidR="00381B05">
        <w:rPr>
          <w:lang w:val="en-GB"/>
        </w:rPr>
        <w:t>that decision may be challenged</w:t>
      </w:r>
      <w:r w:rsidRPr="003C096B">
        <w:rPr>
          <w:lang w:val="en-GB"/>
        </w:rPr>
        <w:t xml:space="preserve">, </w:t>
      </w:r>
      <w:r w:rsidRPr="003C096B" w:rsidR="00381B05">
        <w:rPr>
          <w:lang w:val="en-GB"/>
        </w:rPr>
        <w:t>on the facts and on points of law</w:t>
      </w:r>
      <w:r w:rsidRPr="003C096B">
        <w:rPr>
          <w:lang w:val="en-GB"/>
        </w:rPr>
        <w:t xml:space="preserve">, </w:t>
      </w:r>
      <w:r w:rsidRPr="003C096B" w:rsidR="00381B05">
        <w:rPr>
          <w:lang w:val="en-GB"/>
        </w:rPr>
        <w:t>before the Court of Cassation</w:t>
      </w:r>
      <w:r w:rsidRPr="003C096B">
        <w:rPr>
          <w:lang w:val="en-GB"/>
        </w:rPr>
        <w:t xml:space="preserve">, </w:t>
      </w:r>
      <w:r w:rsidRPr="003C096B" w:rsidR="00381B05">
        <w:rPr>
          <w:lang w:val="en-GB"/>
        </w:rPr>
        <w:t>which will rule in accordance with the procedure laid down in A</w:t>
      </w:r>
      <w:r w:rsidRPr="003C096B">
        <w:rPr>
          <w:lang w:val="en-GB"/>
        </w:rPr>
        <w:t xml:space="preserve">rticle 704 </w:t>
      </w:r>
      <w:r w:rsidR="00164EAF">
        <w:rPr>
          <w:lang w:val="en-GB"/>
        </w:rPr>
        <w:t xml:space="preserve">of the </w:t>
      </w:r>
      <w:r w:rsidRPr="003C096B" w:rsidR="0050772A">
        <w:rPr>
          <w:lang w:val="en-GB"/>
        </w:rPr>
        <w:t>CCP</w:t>
      </w:r>
      <w:r w:rsidRPr="003C096B">
        <w:rPr>
          <w:lang w:val="en-GB"/>
        </w:rPr>
        <w:t>.</w:t>
      </w:r>
    </w:p>
    <w:p w:rsidRPr="003C096B" w:rsidR="004F659D" w:rsidP="003C096B" w:rsidRDefault="004F659D">
      <w:pPr>
        <w:ind w:firstLine="284"/>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30</w:t>
      </w:r>
      <w:r w:rsidRPr="003C096B">
        <w:rPr>
          <w:lang w:val="en-GB"/>
        </w:rPr>
        <w:fldChar w:fldCharType="end"/>
      </w:r>
      <w:r w:rsidRPr="003C096B">
        <w:rPr>
          <w:lang w:val="en-GB"/>
        </w:rPr>
        <w:t>.  </w:t>
      </w:r>
      <w:r w:rsidRPr="003C096B" w:rsidR="00381B05">
        <w:rPr>
          <w:lang w:val="en-GB"/>
        </w:rPr>
        <w:t>A</w:t>
      </w:r>
      <w:r w:rsidRPr="003C096B">
        <w:rPr>
          <w:lang w:val="en-GB"/>
        </w:rPr>
        <w:t xml:space="preserve">rticle 708 </w:t>
      </w:r>
      <w:r w:rsidR="00164EAF">
        <w:rPr>
          <w:lang w:val="en-GB"/>
        </w:rPr>
        <w:t xml:space="preserve">of the </w:t>
      </w:r>
      <w:r w:rsidRPr="003C096B" w:rsidR="0050772A">
        <w:rPr>
          <w:lang w:val="en-GB"/>
        </w:rPr>
        <w:t>CCP</w:t>
      </w:r>
      <w:r w:rsidRPr="003C096B">
        <w:rPr>
          <w:lang w:val="en-GB"/>
        </w:rPr>
        <w:t xml:space="preserve"> </w:t>
      </w:r>
      <w:r w:rsidRPr="003C096B" w:rsidR="00381B05">
        <w:rPr>
          <w:lang w:val="en-GB"/>
        </w:rPr>
        <w:t>provides that the Minister of Justice must decide</w:t>
      </w:r>
      <w:r w:rsidRPr="003C096B">
        <w:rPr>
          <w:lang w:val="en-GB"/>
        </w:rPr>
        <w:t xml:space="preserve">, </w:t>
      </w:r>
      <w:r w:rsidRPr="003C096B" w:rsidR="00381B05">
        <w:rPr>
          <w:lang w:val="en-GB"/>
        </w:rPr>
        <w:t>within a period of forty-five days following the</w:t>
      </w:r>
      <w:r w:rsidRPr="003C096B">
        <w:rPr>
          <w:lang w:val="en-GB"/>
        </w:rPr>
        <w:t xml:space="preserve"> </w:t>
      </w:r>
      <w:r w:rsidRPr="003C096B" w:rsidR="00381B05">
        <w:rPr>
          <w:lang w:val="en-GB"/>
        </w:rPr>
        <w:t>depositing of the Court of Cassation</w:t>
      </w:r>
      <w:r w:rsidR="00A51F9F">
        <w:rPr>
          <w:lang w:val="en-GB"/>
        </w:rPr>
        <w:t>’</w:t>
      </w:r>
      <w:r w:rsidRPr="003C096B" w:rsidR="00381B05">
        <w:rPr>
          <w:lang w:val="en-GB"/>
        </w:rPr>
        <w:t xml:space="preserve">s decision approving the </w:t>
      </w:r>
      <w:r w:rsidRPr="003C096B">
        <w:rPr>
          <w:lang w:val="en-GB"/>
        </w:rPr>
        <w:t xml:space="preserve">extradition, </w:t>
      </w:r>
      <w:r w:rsidRPr="003C096B" w:rsidR="00381B05">
        <w:rPr>
          <w:lang w:val="en-GB"/>
        </w:rPr>
        <w:t>whether the individual is to be extradited</w:t>
      </w:r>
      <w:r w:rsidRPr="003C096B">
        <w:rPr>
          <w:lang w:val="en-GB"/>
        </w:rPr>
        <w:t xml:space="preserve">. </w:t>
      </w:r>
      <w:r w:rsidRPr="003C096B" w:rsidR="00381B05">
        <w:rPr>
          <w:rFonts w:cstheme="minorHAnsi"/>
          <w:lang w:val="en-GB"/>
        </w:rPr>
        <w:t>I</w:t>
      </w:r>
      <w:r w:rsidRPr="003C096B" w:rsidR="00C5754E">
        <w:rPr>
          <w:rFonts w:cstheme="minorHAnsi"/>
          <w:lang w:val="en-GB"/>
        </w:rPr>
        <w:t>f the Minister fails to issue a</w:t>
      </w:r>
      <w:r w:rsidRPr="003C096B" w:rsidR="00381B05">
        <w:rPr>
          <w:rFonts w:cstheme="minorHAnsi"/>
          <w:lang w:val="en-GB"/>
        </w:rPr>
        <w:t xml:space="preserve"> de</w:t>
      </w:r>
      <w:r w:rsidRPr="003C096B">
        <w:rPr>
          <w:lang w:val="en-GB"/>
        </w:rPr>
        <w:t>cision</w:t>
      </w:r>
      <w:r w:rsidRPr="003C096B" w:rsidR="00381B05">
        <w:rPr>
          <w:lang w:val="en-GB"/>
        </w:rPr>
        <w:t>, or</w:t>
      </w:r>
      <w:r w:rsidRPr="003C096B" w:rsidR="00C5754E">
        <w:rPr>
          <w:lang w:val="en-GB"/>
        </w:rPr>
        <w:t xml:space="preserve"> decides to reject the extradition</w:t>
      </w:r>
      <w:r w:rsidRPr="003C096B">
        <w:rPr>
          <w:lang w:val="en-GB"/>
        </w:rPr>
        <w:t xml:space="preserve">, </w:t>
      </w:r>
      <w:r w:rsidRPr="003C096B" w:rsidR="00381B05">
        <w:rPr>
          <w:lang w:val="en-GB"/>
        </w:rPr>
        <w:t>the custodial measure must be discontinued</w:t>
      </w:r>
      <w:r w:rsidRPr="003C096B">
        <w:rPr>
          <w:lang w:val="en-GB"/>
        </w:rPr>
        <w:t>.</w:t>
      </w:r>
    </w:p>
    <w:p w:rsidRPr="003C096B" w:rsidR="00C5754E" w:rsidP="003C096B" w:rsidRDefault="00C5754E">
      <w:pPr>
        <w:pStyle w:val="ECHRTitle1"/>
        <w:rPr>
          <w:lang w:val="en-GB"/>
        </w:rPr>
      </w:pPr>
      <w:r w:rsidRPr="003C096B">
        <w:rPr>
          <w:lang w:val="en-GB"/>
        </w:rPr>
        <w:t>THE LAW</w:t>
      </w:r>
    </w:p>
    <w:p w:rsidRPr="003C096B" w:rsidR="00C5754E" w:rsidP="003C096B" w:rsidRDefault="00C5754E">
      <w:pPr>
        <w:pStyle w:val="ECHRHeading1"/>
        <w:rPr>
          <w:lang w:val="en-GB"/>
        </w:rPr>
      </w:pPr>
      <w:r w:rsidRPr="003C096B">
        <w:rPr>
          <w:lang w:val="en-GB"/>
        </w:rPr>
        <w:t>I.  ALLEGED VIOLATION OF ARTICLE 5 § 1 (f) OF THE CONVENTION</w:t>
      </w:r>
    </w:p>
    <w:p w:rsidRPr="003C096B" w:rsidR="004F659D" w:rsidP="003C096B" w:rsidRDefault="00C5754E">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31</w:t>
      </w:r>
      <w:r w:rsidRPr="003C096B">
        <w:rPr>
          <w:lang w:val="en-GB"/>
        </w:rPr>
        <w:fldChar w:fldCharType="end"/>
      </w:r>
      <w:r w:rsidRPr="003C096B">
        <w:rPr>
          <w:lang w:val="en-GB"/>
        </w:rPr>
        <w:t xml:space="preserve">.  The applicant complained </w:t>
      </w:r>
      <w:r w:rsidR="00164EAF">
        <w:rPr>
          <w:lang w:val="en-GB"/>
        </w:rPr>
        <w:t>of</w:t>
      </w:r>
      <w:r w:rsidRPr="003C096B" w:rsidR="00164EAF">
        <w:rPr>
          <w:lang w:val="en-GB"/>
        </w:rPr>
        <w:t xml:space="preserve"> </w:t>
      </w:r>
      <w:r w:rsidRPr="003C096B">
        <w:rPr>
          <w:lang w:val="en-GB"/>
        </w:rPr>
        <w:t xml:space="preserve">the length of </w:t>
      </w:r>
      <w:r w:rsidR="00884FA3">
        <w:rPr>
          <w:lang w:val="en-GB"/>
        </w:rPr>
        <w:t>his detention</w:t>
      </w:r>
      <w:r w:rsidRPr="003C096B">
        <w:rPr>
          <w:lang w:val="en-GB"/>
        </w:rPr>
        <w:t xml:space="preserve"> pending extradition. He submitted that there had been a</w:t>
      </w:r>
      <w:r w:rsidRPr="003C096B" w:rsidR="004F659D">
        <w:rPr>
          <w:lang w:val="en-GB"/>
        </w:rPr>
        <w:t xml:space="preserve"> violation </w:t>
      </w:r>
      <w:r w:rsidRPr="003C096B">
        <w:rPr>
          <w:lang w:val="en-GB"/>
        </w:rPr>
        <w:t>of A</w:t>
      </w:r>
      <w:r w:rsidRPr="003C096B" w:rsidR="004F659D">
        <w:rPr>
          <w:lang w:val="en-GB"/>
        </w:rPr>
        <w:t>rticle 5</w:t>
      </w:r>
      <w:r w:rsidR="00884FA3">
        <w:rPr>
          <w:lang w:val="en-GB"/>
        </w:rPr>
        <w:t xml:space="preserve"> </w:t>
      </w:r>
      <w:r w:rsidRPr="003C096B" w:rsidR="004F659D">
        <w:rPr>
          <w:lang w:val="en-GB"/>
        </w:rPr>
        <w:t xml:space="preserve">§ 3 </w:t>
      </w:r>
      <w:r w:rsidRPr="003C096B">
        <w:rPr>
          <w:lang w:val="en-GB"/>
        </w:rPr>
        <w:t>of the</w:t>
      </w:r>
      <w:r w:rsidRPr="003C096B" w:rsidR="004F659D">
        <w:rPr>
          <w:lang w:val="en-GB"/>
        </w:rPr>
        <w:t xml:space="preserve"> Convention.</w:t>
      </w:r>
    </w:p>
    <w:p w:rsidRPr="003C096B" w:rsidR="00C5754E" w:rsidP="003C096B" w:rsidRDefault="00C5754E">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32</w:t>
      </w:r>
      <w:r w:rsidRPr="003C096B">
        <w:rPr>
          <w:lang w:val="en-GB"/>
        </w:rPr>
        <w:fldChar w:fldCharType="end"/>
      </w:r>
      <w:r w:rsidRPr="003C096B">
        <w:rPr>
          <w:lang w:val="en-GB"/>
        </w:rPr>
        <w:t xml:space="preserve">.  The Court, </w:t>
      </w:r>
      <w:r w:rsidRPr="003C096B" w:rsidR="006E04EE">
        <w:rPr>
          <w:lang w:val="en-GB"/>
        </w:rPr>
        <w:t>being</w:t>
      </w:r>
      <w:r w:rsidRPr="003C096B">
        <w:rPr>
          <w:lang w:val="en-GB"/>
        </w:rPr>
        <w:t xml:space="preserve"> master of the characterisation to be given in law to the facts of the case (see, among other authorities,</w:t>
      </w:r>
      <w:r w:rsidRPr="003C096B" w:rsidR="004F659D">
        <w:rPr>
          <w:lang w:val="en-GB"/>
        </w:rPr>
        <w:t xml:space="preserve"> </w:t>
      </w:r>
      <w:r w:rsidRPr="003C096B" w:rsidR="004F659D">
        <w:rPr>
          <w:i/>
          <w:lang w:val="en-GB"/>
        </w:rPr>
        <w:t xml:space="preserve">Guerra </w:t>
      </w:r>
      <w:r w:rsidRPr="003C096B">
        <w:rPr>
          <w:i/>
          <w:lang w:val="en-GB"/>
        </w:rPr>
        <w:t>and Others v. Italy</w:t>
      </w:r>
      <w:r w:rsidRPr="003C096B" w:rsidR="004F659D">
        <w:rPr>
          <w:lang w:val="en-GB"/>
        </w:rPr>
        <w:t xml:space="preserve">, 19 </w:t>
      </w:r>
      <w:r w:rsidRPr="003C096B">
        <w:rPr>
          <w:lang w:val="en-GB"/>
        </w:rPr>
        <w:t>February</w:t>
      </w:r>
      <w:r w:rsidRPr="003C096B" w:rsidR="004F659D">
        <w:rPr>
          <w:lang w:val="en-GB"/>
        </w:rPr>
        <w:t xml:space="preserve"> 1998, § 44, </w:t>
      </w:r>
      <w:r w:rsidRPr="003C096B">
        <w:rPr>
          <w:rStyle w:val="JuParaCar"/>
          <w:rFonts w:ascii="Times New Roman" w:hAnsi="Times New Roman" w:eastAsia="Times New Roman" w:cs="Times New Roman"/>
          <w:i/>
          <w:szCs w:val="20"/>
          <w:lang w:val="en-GB"/>
        </w:rPr>
        <w:t>Reports of Judgments and Decisions</w:t>
      </w:r>
      <w:r w:rsidRPr="003C096B" w:rsidR="004F659D">
        <w:rPr>
          <w:i/>
          <w:lang w:val="en-GB"/>
        </w:rPr>
        <w:t xml:space="preserve"> </w:t>
      </w:r>
      <w:r w:rsidRPr="003C096B" w:rsidR="004F659D">
        <w:rPr>
          <w:lang w:val="en-GB"/>
        </w:rPr>
        <w:t>1998</w:t>
      </w:r>
      <w:r w:rsidRPr="003C096B" w:rsidR="004F659D">
        <w:rPr>
          <w:rFonts w:ascii="MS Mincho" w:hAnsi="MS Mincho" w:eastAsia="MS Mincho" w:cs="MS Mincho"/>
          <w:lang w:val="en-GB"/>
        </w:rPr>
        <w:t>‑</w:t>
      </w:r>
      <w:r w:rsidRPr="003C096B" w:rsidR="004F659D">
        <w:rPr>
          <w:lang w:val="en-GB"/>
        </w:rPr>
        <w:t xml:space="preserve">I), </w:t>
      </w:r>
      <w:r w:rsidRPr="003C096B">
        <w:rPr>
          <w:lang w:val="en-GB"/>
        </w:rPr>
        <w:t>finds that the application should be examined under A</w:t>
      </w:r>
      <w:r w:rsidRPr="003C096B" w:rsidR="004F659D">
        <w:rPr>
          <w:lang w:val="en-GB"/>
        </w:rPr>
        <w:t xml:space="preserve">rticle 5 § 1 </w:t>
      </w:r>
      <w:r w:rsidRPr="003C096B">
        <w:rPr>
          <w:lang w:val="en-GB"/>
        </w:rPr>
        <w:t>(</w:t>
      </w:r>
      <w:r w:rsidRPr="003C096B" w:rsidR="004F659D">
        <w:rPr>
          <w:lang w:val="en-GB"/>
        </w:rPr>
        <w:t xml:space="preserve">f) </w:t>
      </w:r>
      <w:r w:rsidRPr="003C096B">
        <w:rPr>
          <w:lang w:val="en-GB"/>
        </w:rPr>
        <w:t>of the</w:t>
      </w:r>
      <w:r w:rsidRPr="003C096B" w:rsidR="004F659D">
        <w:rPr>
          <w:lang w:val="en-GB"/>
        </w:rPr>
        <w:t xml:space="preserve"> Convention (</w:t>
      </w:r>
      <w:r w:rsidRPr="003C096B">
        <w:rPr>
          <w:lang w:val="en-GB"/>
        </w:rPr>
        <w:t>see</w:t>
      </w:r>
      <w:r w:rsidRPr="003C096B" w:rsidR="004F659D">
        <w:rPr>
          <w:lang w:val="en-GB"/>
        </w:rPr>
        <w:t xml:space="preserve"> </w:t>
      </w:r>
      <w:r w:rsidRPr="003C096B" w:rsidR="004F659D">
        <w:rPr>
          <w:i/>
          <w:lang w:val="en-GB"/>
        </w:rPr>
        <w:t>Quinn</w:t>
      </w:r>
      <w:r w:rsidR="00884FA3">
        <w:rPr>
          <w:i/>
          <w:lang w:val="en-GB"/>
        </w:rPr>
        <w:t xml:space="preserve"> </w:t>
      </w:r>
      <w:r w:rsidRPr="003C096B">
        <w:rPr>
          <w:i/>
          <w:lang w:val="en-GB"/>
        </w:rPr>
        <w:t>v</w:t>
      </w:r>
      <w:r w:rsidRPr="003C096B" w:rsidR="004F659D">
        <w:rPr>
          <w:i/>
          <w:lang w:val="en-GB"/>
        </w:rPr>
        <w:t>.</w:t>
      </w:r>
      <w:r w:rsidR="00884FA3">
        <w:rPr>
          <w:i/>
          <w:lang w:val="en-GB"/>
        </w:rPr>
        <w:t xml:space="preserve"> </w:t>
      </w:r>
      <w:r w:rsidRPr="003C096B" w:rsidR="004F659D">
        <w:rPr>
          <w:i/>
          <w:lang w:val="en-GB"/>
        </w:rPr>
        <w:t>France</w:t>
      </w:r>
      <w:r w:rsidRPr="003C096B" w:rsidR="004F659D">
        <w:rPr>
          <w:lang w:val="en-GB"/>
        </w:rPr>
        <w:t xml:space="preserve">, 22 </w:t>
      </w:r>
      <w:r w:rsidRPr="003C096B">
        <w:rPr>
          <w:lang w:val="en-GB"/>
        </w:rPr>
        <w:t>March</w:t>
      </w:r>
      <w:r w:rsidRPr="003C096B" w:rsidR="004F659D">
        <w:rPr>
          <w:lang w:val="en-GB"/>
        </w:rPr>
        <w:t xml:space="preserve"> 1995, </w:t>
      </w:r>
      <w:r w:rsidRPr="003C096B">
        <w:rPr>
          <w:lang w:val="en-GB"/>
        </w:rPr>
        <w:t>Series</w:t>
      </w:r>
      <w:r w:rsidRPr="003C096B" w:rsidR="004F659D">
        <w:rPr>
          <w:lang w:val="en-GB"/>
        </w:rPr>
        <w:t xml:space="preserve"> A </w:t>
      </w:r>
      <w:r w:rsidRPr="003C096B">
        <w:rPr>
          <w:lang w:val="en-GB"/>
        </w:rPr>
        <w:t>no.</w:t>
      </w:r>
      <w:r w:rsidRPr="003C096B" w:rsidR="004F659D">
        <w:rPr>
          <w:lang w:val="en-GB"/>
        </w:rPr>
        <w:t xml:space="preserve"> 311</w:t>
      </w:r>
      <w:r w:rsidRPr="003C096B">
        <w:rPr>
          <w:lang w:val="en-GB"/>
        </w:rPr>
        <w:t>;</w:t>
      </w:r>
      <w:r w:rsidRPr="003C096B" w:rsidR="004F659D">
        <w:rPr>
          <w:lang w:val="en-GB"/>
        </w:rPr>
        <w:t xml:space="preserve"> </w:t>
      </w:r>
      <w:proofErr w:type="spellStart"/>
      <w:r w:rsidRPr="003C096B" w:rsidR="004F659D">
        <w:rPr>
          <w:rFonts w:ascii="Times New Roman" w:hAnsi="Times New Roman" w:eastAsia="Times New Roman" w:cs="Times New Roman"/>
          <w:i/>
          <w:lang w:val="en-GB"/>
        </w:rPr>
        <w:t>Chahal</w:t>
      </w:r>
      <w:proofErr w:type="spellEnd"/>
      <w:r w:rsidRPr="003C096B" w:rsidR="004F659D">
        <w:rPr>
          <w:rFonts w:ascii="Times New Roman" w:hAnsi="Times New Roman" w:eastAsia="Times New Roman" w:cs="Times New Roman"/>
          <w:i/>
          <w:lang w:val="en-GB"/>
        </w:rPr>
        <w:t xml:space="preserve"> </w:t>
      </w:r>
      <w:r w:rsidRPr="003C096B">
        <w:rPr>
          <w:rFonts w:ascii="Times New Roman" w:hAnsi="Times New Roman" w:eastAsia="Times New Roman" w:cs="Times New Roman"/>
          <w:i/>
          <w:lang w:val="en-GB"/>
        </w:rPr>
        <w:t>v</w:t>
      </w:r>
      <w:r w:rsidRPr="003C096B" w:rsidR="004F659D">
        <w:rPr>
          <w:rFonts w:ascii="Times New Roman" w:hAnsi="Times New Roman" w:eastAsia="Times New Roman" w:cs="Times New Roman"/>
          <w:i/>
          <w:lang w:val="en-GB"/>
        </w:rPr>
        <w:t xml:space="preserve">. </w:t>
      </w:r>
      <w:r w:rsidRPr="003C096B">
        <w:rPr>
          <w:rFonts w:ascii="Times New Roman" w:hAnsi="Times New Roman" w:eastAsia="Times New Roman" w:cs="Times New Roman"/>
          <w:i/>
          <w:lang w:val="en-GB"/>
        </w:rPr>
        <w:t>the United Kingdom</w:t>
      </w:r>
      <w:r w:rsidRPr="003C096B" w:rsidR="004F659D">
        <w:rPr>
          <w:rFonts w:ascii="Times New Roman" w:hAnsi="Times New Roman" w:eastAsia="Times New Roman" w:cs="Times New Roman"/>
          <w:lang w:val="en-GB"/>
        </w:rPr>
        <w:t>, 15</w:t>
      </w:r>
      <w:r w:rsidR="00884FA3">
        <w:rPr>
          <w:rFonts w:ascii="Times New Roman" w:hAnsi="Times New Roman" w:eastAsia="Times New Roman" w:cs="Times New Roman"/>
          <w:lang w:val="en-GB"/>
        </w:rPr>
        <w:t xml:space="preserve"> </w:t>
      </w:r>
      <w:r w:rsidRPr="003C096B">
        <w:rPr>
          <w:rFonts w:ascii="Times New Roman" w:hAnsi="Times New Roman" w:eastAsia="Times New Roman" w:cs="Times New Roman"/>
          <w:lang w:val="en-GB"/>
        </w:rPr>
        <w:t>November</w:t>
      </w:r>
      <w:r w:rsidRPr="003C096B" w:rsidR="004F659D">
        <w:rPr>
          <w:rFonts w:ascii="Times New Roman" w:hAnsi="Times New Roman" w:eastAsia="Times New Roman" w:cs="Times New Roman"/>
          <w:lang w:val="en-GB"/>
        </w:rPr>
        <w:t xml:space="preserve"> 1996, </w:t>
      </w:r>
      <w:r w:rsidRPr="003C096B" w:rsidR="004F659D">
        <w:rPr>
          <w:rFonts w:ascii="Times New Roman" w:hAnsi="Times New Roman" w:eastAsia="Times New Roman" w:cs="Times New Roman"/>
          <w:i/>
          <w:lang w:val="en-GB"/>
        </w:rPr>
        <w:t>Re</w:t>
      </w:r>
      <w:r w:rsidRPr="003C096B">
        <w:rPr>
          <w:rFonts w:ascii="Times New Roman" w:hAnsi="Times New Roman" w:eastAsia="Times New Roman" w:cs="Times New Roman"/>
          <w:i/>
          <w:lang w:val="en-GB"/>
        </w:rPr>
        <w:t>ports</w:t>
      </w:r>
      <w:r w:rsidRPr="003C096B" w:rsidR="004F659D">
        <w:rPr>
          <w:rFonts w:ascii="Times New Roman" w:hAnsi="Times New Roman" w:eastAsia="Times New Roman" w:cs="Times New Roman"/>
          <w:lang w:val="en-GB"/>
        </w:rPr>
        <w:t xml:space="preserve"> 1996</w:t>
      </w:r>
      <w:r w:rsidRPr="003C096B" w:rsidR="004F659D">
        <w:rPr>
          <w:rFonts w:ascii="Times New Roman" w:hAnsi="Times New Roman" w:eastAsia="Times New Roman" w:cs="Times New Roman"/>
          <w:lang w:val="en-GB"/>
        </w:rPr>
        <w:noBreakHyphen/>
        <w:t>V</w:t>
      </w:r>
      <w:r w:rsidRPr="003C096B">
        <w:rPr>
          <w:rFonts w:ascii="Times New Roman" w:hAnsi="Times New Roman" w:eastAsia="Times New Roman" w:cs="Times New Roman"/>
          <w:lang w:val="en-GB"/>
        </w:rPr>
        <w:t>; and</w:t>
      </w:r>
      <w:r w:rsidRPr="003C096B" w:rsidR="004F659D">
        <w:rPr>
          <w:rFonts w:ascii="Times New Roman" w:hAnsi="Times New Roman" w:eastAsia="Times New Roman" w:cs="Times New Roman"/>
          <w:lang w:val="en-GB"/>
        </w:rPr>
        <w:t xml:space="preserve"> </w:t>
      </w:r>
      <w:proofErr w:type="spellStart"/>
      <w:r w:rsidRPr="003C096B" w:rsidR="004F659D">
        <w:rPr>
          <w:rFonts w:ascii="Times New Roman" w:hAnsi="Times New Roman" w:eastAsia="Times New Roman" w:cs="Times New Roman"/>
          <w:i/>
          <w:lang w:val="en-GB"/>
        </w:rPr>
        <w:t>Bogdanovski</w:t>
      </w:r>
      <w:proofErr w:type="spellEnd"/>
      <w:r w:rsidRPr="003C096B" w:rsidR="004F659D">
        <w:rPr>
          <w:rFonts w:ascii="Times New Roman" w:hAnsi="Times New Roman" w:eastAsia="Times New Roman" w:cs="Times New Roman"/>
          <w:i/>
          <w:lang w:val="en-GB"/>
        </w:rPr>
        <w:t xml:space="preserve"> </w:t>
      </w:r>
      <w:r w:rsidRPr="003C096B">
        <w:rPr>
          <w:rFonts w:ascii="Times New Roman" w:hAnsi="Times New Roman" w:eastAsia="Times New Roman" w:cs="Times New Roman"/>
          <w:i/>
          <w:lang w:val="en-GB"/>
        </w:rPr>
        <w:t>v</w:t>
      </w:r>
      <w:r w:rsidRPr="003C096B" w:rsidR="004F659D">
        <w:rPr>
          <w:rFonts w:ascii="Times New Roman" w:hAnsi="Times New Roman" w:eastAsia="Times New Roman" w:cs="Times New Roman"/>
          <w:i/>
          <w:lang w:val="en-GB"/>
        </w:rPr>
        <w:t>. Ital</w:t>
      </w:r>
      <w:r w:rsidRPr="003C096B">
        <w:rPr>
          <w:rFonts w:ascii="Times New Roman" w:hAnsi="Times New Roman" w:eastAsia="Times New Roman" w:cs="Times New Roman"/>
          <w:i/>
          <w:lang w:val="en-GB"/>
        </w:rPr>
        <w:t>y</w:t>
      </w:r>
      <w:r w:rsidRPr="003C096B" w:rsidR="004F659D">
        <w:rPr>
          <w:rFonts w:ascii="Times New Roman" w:hAnsi="Times New Roman" w:eastAsia="Times New Roman" w:cs="Times New Roman"/>
          <w:lang w:val="en-GB"/>
        </w:rPr>
        <w:t xml:space="preserve">, </w:t>
      </w:r>
      <w:r w:rsidRPr="003C096B">
        <w:rPr>
          <w:rFonts w:ascii="Times New Roman" w:hAnsi="Times New Roman" w:eastAsia="Times New Roman" w:cs="Times New Roman"/>
          <w:lang w:val="en-GB"/>
        </w:rPr>
        <w:t>no.</w:t>
      </w:r>
      <w:r w:rsidRPr="003C096B" w:rsidR="004F659D">
        <w:rPr>
          <w:rFonts w:ascii="Times New Roman" w:hAnsi="Times New Roman" w:eastAsia="Times New Roman" w:cs="Times New Roman"/>
          <w:lang w:val="en-GB"/>
        </w:rPr>
        <w:t xml:space="preserve"> 72177/01, 14 </w:t>
      </w:r>
      <w:r w:rsidRPr="003C096B">
        <w:rPr>
          <w:rFonts w:ascii="Times New Roman" w:hAnsi="Times New Roman" w:eastAsia="Times New Roman" w:cs="Times New Roman"/>
          <w:lang w:val="en-GB"/>
        </w:rPr>
        <w:t>December</w:t>
      </w:r>
      <w:r w:rsidRPr="003C096B" w:rsidR="004F659D">
        <w:rPr>
          <w:rFonts w:ascii="Times New Roman" w:hAnsi="Times New Roman" w:eastAsia="Times New Roman" w:cs="Times New Roman"/>
          <w:lang w:val="en-GB"/>
        </w:rPr>
        <w:t xml:space="preserve"> 2006)</w:t>
      </w:r>
      <w:r w:rsidRPr="003C096B" w:rsidR="004F659D">
        <w:rPr>
          <w:lang w:val="en-GB"/>
        </w:rPr>
        <w:t xml:space="preserve">, </w:t>
      </w:r>
      <w:r w:rsidRPr="003C096B">
        <w:rPr>
          <w:lang w:val="en-GB"/>
        </w:rPr>
        <w:t>which reads as follows</w:t>
      </w:r>
      <w:r w:rsidR="00E8723E">
        <w:rPr>
          <w:lang w:val="en-GB"/>
        </w:rPr>
        <w:t>:</w:t>
      </w:r>
    </w:p>
    <w:p w:rsidRPr="003C096B" w:rsidR="00C5754E" w:rsidP="003C096B" w:rsidRDefault="00C5754E">
      <w:pPr>
        <w:pStyle w:val="ECHRParaQuote"/>
        <w:rPr>
          <w:lang w:val="en-GB"/>
        </w:rPr>
      </w:pPr>
      <w:r w:rsidRPr="003C096B">
        <w:rPr>
          <w:lang w:val="en-GB"/>
        </w:rPr>
        <w:t>“1.</w:t>
      </w:r>
      <w:proofErr w:type="gramStart"/>
      <w:r w:rsidRPr="003C096B">
        <w:rPr>
          <w:lang w:val="en-GB"/>
        </w:rPr>
        <w:t>  Everyone</w:t>
      </w:r>
      <w:proofErr w:type="gramEnd"/>
      <w:r w:rsidRPr="003C096B">
        <w:rPr>
          <w:lang w:val="en-GB"/>
        </w:rPr>
        <w:t xml:space="preserve"> has the right to liberty and security of person. No one shall be deprived of his liberty save in the following cases and in accordance with a procedure prescribed by law:</w:t>
      </w:r>
    </w:p>
    <w:p w:rsidRPr="003C096B" w:rsidR="00C5754E" w:rsidP="003C096B" w:rsidRDefault="00C5754E">
      <w:pPr>
        <w:pStyle w:val="ECHRParaQuote"/>
        <w:rPr>
          <w:lang w:val="en-GB"/>
        </w:rPr>
      </w:pPr>
      <w:r w:rsidRPr="003C096B">
        <w:rPr>
          <w:lang w:val="en-GB"/>
        </w:rPr>
        <w:t>...</w:t>
      </w:r>
    </w:p>
    <w:p w:rsidRPr="003C096B" w:rsidR="00C5754E" w:rsidP="003C096B" w:rsidRDefault="00C5754E">
      <w:pPr>
        <w:pStyle w:val="ECHRParaQuote"/>
        <w:rPr>
          <w:lang w:val="en-GB"/>
        </w:rPr>
      </w:pPr>
      <w:r w:rsidRPr="003C096B">
        <w:rPr>
          <w:lang w:val="en-GB"/>
        </w:rPr>
        <w:t>(f)</w:t>
      </w:r>
      <w:proofErr w:type="gramStart"/>
      <w:r w:rsidRPr="003C096B">
        <w:rPr>
          <w:lang w:val="en-GB"/>
        </w:rPr>
        <w:t>  the</w:t>
      </w:r>
      <w:proofErr w:type="gramEnd"/>
      <w:r w:rsidRPr="003C096B">
        <w:rPr>
          <w:lang w:val="en-GB"/>
        </w:rPr>
        <w:t xml:space="preserve"> lawful arrest or detention of a person to prevent his effecting an unauthorised entry into the country or of a person against whom action is being taken with a view to deportation or extradition.”</w:t>
      </w:r>
    </w:p>
    <w:p w:rsidRPr="003C096B" w:rsidR="00C5754E" w:rsidP="003C096B" w:rsidRDefault="00C5754E">
      <w:pPr>
        <w:pStyle w:val="ECHRHeading2"/>
        <w:outlineLvl w:val="0"/>
        <w:rPr>
          <w:lang w:val="en-GB"/>
        </w:rPr>
      </w:pPr>
      <w:r w:rsidRPr="003C096B">
        <w:rPr>
          <w:lang w:val="en-GB"/>
        </w:rPr>
        <w:t>A.  Admissibility</w:t>
      </w:r>
    </w:p>
    <w:p w:rsidRPr="003C096B" w:rsidR="00C5754E" w:rsidP="003C096B" w:rsidRDefault="00C5754E">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33</w:t>
      </w:r>
      <w:r w:rsidRPr="003C096B">
        <w:rPr>
          <w:lang w:val="en-GB"/>
        </w:rPr>
        <w:fldChar w:fldCharType="end"/>
      </w:r>
      <w:r w:rsidRPr="003C096B">
        <w:rPr>
          <w:lang w:val="en-GB"/>
        </w:rPr>
        <w:t>.  The Court notes that the application is not manifestly ill-founded within the meaning of Article 35 § 3 (a) of the Convention. It further notes that it is not inadmissible on any other ground. It must therefore be declared admissible.</w:t>
      </w:r>
    </w:p>
    <w:p w:rsidRPr="003C096B" w:rsidR="00C5754E" w:rsidP="003C096B" w:rsidRDefault="00C5754E">
      <w:pPr>
        <w:pStyle w:val="ECHRHeading2"/>
        <w:outlineLvl w:val="0"/>
        <w:rPr>
          <w:lang w:val="en-GB"/>
        </w:rPr>
      </w:pPr>
      <w:r w:rsidRPr="003C096B">
        <w:rPr>
          <w:lang w:val="en-GB"/>
        </w:rPr>
        <w:t>B.  Merits</w:t>
      </w:r>
    </w:p>
    <w:p w:rsidRPr="003C096B" w:rsidR="004F659D" w:rsidP="003C096B" w:rsidRDefault="004F659D">
      <w:pPr>
        <w:keepNext/>
        <w:keepLines/>
        <w:tabs>
          <w:tab w:val="left" w:pos="731"/>
        </w:tabs>
        <w:spacing w:before="240" w:after="120"/>
        <w:ind w:left="732" w:hanging="301"/>
        <w:outlineLvl w:val="2"/>
        <w:rPr>
          <w:rFonts w:asciiTheme="majorHAnsi" w:hAnsiTheme="majorHAnsi" w:eastAsiaTheme="majorEastAsia" w:cstheme="majorBidi"/>
          <w:bCs/>
          <w:i/>
          <w:lang w:val="en-GB"/>
        </w:rPr>
      </w:pPr>
      <w:r w:rsidRPr="003C096B">
        <w:rPr>
          <w:rFonts w:asciiTheme="majorHAnsi" w:hAnsiTheme="majorHAnsi" w:eastAsiaTheme="majorEastAsia" w:cstheme="majorBidi"/>
          <w:bCs/>
          <w:i/>
          <w:lang w:val="en-GB"/>
        </w:rPr>
        <w:t>1.  Th</w:t>
      </w:r>
      <w:r w:rsidRPr="003C096B" w:rsidR="00C5754E">
        <w:rPr>
          <w:rFonts w:asciiTheme="majorHAnsi" w:hAnsiTheme="majorHAnsi" w:eastAsiaTheme="majorEastAsia" w:cstheme="majorBidi"/>
          <w:bCs/>
          <w:i/>
          <w:lang w:val="en-GB"/>
        </w:rPr>
        <w:t>e</w:t>
      </w:r>
      <w:r w:rsidRPr="003C096B">
        <w:rPr>
          <w:rFonts w:asciiTheme="majorHAnsi" w:hAnsiTheme="majorHAnsi" w:eastAsiaTheme="majorEastAsia" w:cstheme="majorBidi"/>
          <w:bCs/>
          <w:i/>
          <w:lang w:val="en-GB"/>
        </w:rPr>
        <w:t xml:space="preserve"> parties</w:t>
      </w:r>
      <w:r w:rsidR="00A51F9F">
        <w:rPr>
          <w:rFonts w:asciiTheme="majorHAnsi" w:hAnsiTheme="majorHAnsi" w:eastAsiaTheme="majorEastAsia" w:cstheme="majorBidi"/>
          <w:bCs/>
          <w:i/>
          <w:lang w:val="en-GB"/>
        </w:rPr>
        <w:t>’</w:t>
      </w:r>
      <w:r w:rsidRPr="003C096B" w:rsidR="00C5754E">
        <w:rPr>
          <w:rFonts w:asciiTheme="majorHAnsi" w:hAnsiTheme="majorHAnsi" w:eastAsiaTheme="majorEastAsia" w:cstheme="majorBidi"/>
          <w:bCs/>
          <w:i/>
          <w:lang w:val="en-GB"/>
        </w:rPr>
        <w:t xml:space="preserve"> submissions</w:t>
      </w:r>
    </w:p>
    <w:p w:rsidRPr="003C096B" w:rsidR="004F659D" w:rsidP="003C096B" w:rsidRDefault="00C5754E">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34</w:t>
      </w:r>
      <w:r w:rsidRPr="003C096B">
        <w:rPr>
          <w:rFonts w:eastAsia="Times New Roman"/>
          <w:lang w:val="en-GB"/>
        </w:rPr>
        <w:fldChar w:fldCharType="end"/>
      </w:r>
      <w:r w:rsidRPr="003C096B">
        <w:rPr>
          <w:rFonts w:eastAsia="Times New Roman"/>
          <w:lang w:val="en-GB"/>
        </w:rPr>
        <w:t>.  </w:t>
      </w:r>
      <w:r w:rsidRPr="003C096B" w:rsidR="006F1711">
        <w:rPr>
          <w:rFonts w:eastAsia="Times New Roman"/>
          <w:lang w:val="en-GB"/>
        </w:rPr>
        <w:t xml:space="preserve">The applicant argued that the length of the </w:t>
      </w:r>
      <w:r w:rsidRPr="003C096B" w:rsidR="004F659D">
        <w:rPr>
          <w:rFonts w:eastAsia="Times New Roman"/>
          <w:lang w:val="en-GB"/>
        </w:rPr>
        <w:t xml:space="preserve">extradition </w:t>
      </w:r>
      <w:r w:rsidRPr="003C096B" w:rsidR="006F1711">
        <w:rPr>
          <w:rFonts w:eastAsia="Times New Roman"/>
          <w:lang w:val="en-GB"/>
        </w:rPr>
        <w:t>proceedings had been</w:t>
      </w:r>
      <w:r w:rsidRPr="003C096B" w:rsidR="004F659D">
        <w:rPr>
          <w:rFonts w:eastAsia="Times New Roman"/>
          <w:lang w:val="en-GB"/>
        </w:rPr>
        <w:t xml:space="preserve"> excessive </w:t>
      </w:r>
      <w:r w:rsidRPr="003C096B" w:rsidR="006F1711">
        <w:rPr>
          <w:rFonts w:eastAsia="Times New Roman"/>
          <w:lang w:val="en-GB"/>
        </w:rPr>
        <w:t>having regard to the</w:t>
      </w:r>
      <w:r w:rsidRPr="003C096B" w:rsidR="00284272">
        <w:rPr>
          <w:rFonts w:eastAsia="Times New Roman"/>
          <w:lang w:val="en-GB"/>
        </w:rPr>
        <w:t xml:space="preserve"> fact that</w:t>
      </w:r>
      <w:r w:rsidRPr="003C096B" w:rsidR="006F1711">
        <w:rPr>
          <w:rFonts w:eastAsia="Times New Roman"/>
          <w:lang w:val="en-GB"/>
        </w:rPr>
        <w:t xml:space="preserve"> the case, in his view</w:t>
      </w:r>
      <w:r w:rsidRPr="003C096B" w:rsidR="00284272">
        <w:rPr>
          <w:rFonts w:eastAsia="Times New Roman"/>
          <w:lang w:val="en-GB"/>
        </w:rPr>
        <w:t>, was not a complex one</w:t>
      </w:r>
      <w:r w:rsidRPr="003C096B" w:rsidR="004F659D">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35</w:t>
      </w:r>
      <w:r w:rsidRPr="003C096B">
        <w:rPr>
          <w:rFonts w:eastAsia="Times New Roman"/>
          <w:lang w:val="en-GB"/>
        </w:rPr>
        <w:fldChar w:fldCharType="end"/>
      </w:r>
      <w:r w:rsidRPr="003C096B">
        <w:rPr>
          <w:rFonts w:eastAsia="Times New Roman"/>
          <w:lang w:val="en-GB"/>
        </w:rPr>
        <w:t>.  </w:t>
      </w:r>
      <w:r w:rsidRPr="003C096B" w:rsidR="006F1711">
        <w:rPr>
          <w:rFonts w:eastAsia="Times New Roman"/>
          <w:lang w:val="en-GB"/>
        </w:rPr>
        <w:t xml:space="preserve">The Government </w:t>
      </w:r>
      <w:r w:rsidRPr="003C096B" w:rsidR="00284272">
        <w:rPr>
          <w:rFonts w:eastAsia="Times New Roman"/>
          <w:lang w:val="en-GB"/>
        </w:rPr>
        <w:t>contested</w:t>
      </w:r>
      <w:r w:rsidRPr="003C096B" w:rsidR="006F1711">
        <w:rPr>
          <w:rFonts w:eastAsia="Times New Roman"/>
          <w:lang w:val="en-GB"/>
        </w:rPr>
        <w:t xml:space="preserve"> the applicant</w:t>
      </w:r>
      <w:r w:rsidR="00A51F9F">
        <w:rPr>
          <w:rFonts w:eastAsia="Times New Roman"/>
          <w:lang w:val="en-GB"/>
        </w:rPr>
        <w:t>’</w:t>
      </w:r>
      <w:r w:rsidRPr="003C096B" w:rsidR="006F1711">
        <w:rPr>
          <w:rFonts w:eastAsia="Times New Roman"/>
          <w:lang w:val="en-GB"/>
        </w:rPr>
        <w:t>s allegations</w:t>
      </w:r>
      <w:r w:rsidRPr="003C096B">
        <w:rPr>
          <w:rFonts w:eastAsia="Times New Roman"/>
          <w:lang w:val="en-GB"/>
        </w:rPr>
        <w:t xml:space="preserve">. </w:t>
      </w:r>
      <w:r w:rsidRPr="003C096B" w:rsidR="006F1711">
        <w:rPr>
          <w:rFonts w:eastAsia="Times New Roman"/>
          <w:lang w:val="en-GB"/>
        </w:rPr>
        <w:t>They argued that the detention in question had been ordered in compliance with the</w:t>
      </w:r>
      <w:r w:rsidRPr="003C096B">
        <w:rPr>
          <w:rFonts w:eastAsia="Times New Roman"/>
          <w:lang w:val="en-GB"/>
        </w:rPr>
        <w:t xml:space="preserve"> extradition</w:t>
      </w:r>
      <w:r w:rsidRPr="003C096B" w:rsidR="006F1711">
        <w:rPr>
          <w:rFonts w:eastAsia="Times New Roman"/>
          <w:lang w:val="en-GB"/>
        </w:rPr>
        <w:t xml:space="preserve"> rules</w:t>
      </w:r>
      <w:r w:rsidRPr="003C096B">
        <w:rPr>
          <w:rFonts w:eastAsia="Times New Roman"/>
          <w:lang w:val="en-GB"/>
        </w:rPr>
        <w:t xml:space="preserve">, </w:t>
      </w:r>
      <w:r w:rsidRPr="003C096B" w:rsidR="006F1711">
        <w:rPr>
          <w:rFonts w:eastAsia="Times New Roman"/>
          <w:lang w:val="en-GB"/>
        </w:rPr>
        <w:t>as the Italian courts had found</w:t>
      </w:r>
      <w:r w:rsidRPr="003C096B">
        <w:rPr>
          <w:rFonts w:eastAsia="Times New Roman"/>
          <w:lang w:val="en-GB"/>
        </w:rPr>
        <w:t xml:space="preserve">, </w:t>
      </w:r>
      <w:r w:rsidRPr="003C096B" w:rsidR="00FD0EAB">
        <w:rPr>
          <w:rFonts w:eastAsia="Times New Roman"/>
          <w:lang w:val="en-GB"/>
        </w:rPr>
        <w:t xml:space="preserve">and that its sole purpose </w:t>
      </w:r>
      <w:r w:rsidRPr="003C096B" w:rsidR="00284272">
        <w:rPr>
          <w:rFonts w:eastAsia="Times New Roman"/>
          <w:lang w:val="en-GB"/>
        </w:rPr>
        <w:t>had been</w:t>
      </w:r>
      <w:r w:rsidRPr="003C096B" w:rsidR="00FD0EAB">
        <w:rPr>
          <w:rFonts w:eastAsia="Times New Roman"/>
          <w:lang w:val="en-GB"/>
        </w:rPr>
        <w:t xml:space="preserve"> for the applicant to be surrendered to the courts of the requesting State. They added that the applicant had not given his consent to the</w:t>
      </w:r>
      <w:r w:rsidRPr="003C096B">
        <w:rPr>
          <w:rFonts w:eastAsia="Times New Roman"/>
          <w:lang w:val="en-GB"/>
        </w:rPr>
        <w:t xml:space="preserve"> extradition, </w:t>
      </w:r>
      <w:r w:rsidRPr="003C096B" w:rsidR="00FD0EAB">
        <w:rPr>
          <w:rFonts w:eastAsia="Times New Roman"/>
          <w:lang w:val="en-GB"/>
        </w:rPr>
        <w:t xml:space="preserve">pointing out that consent would have accelerated the </w:t>
      </w:r>
      <w:r w:rsidRPr="003C096B" w:rsidR="0074414F">
        <w:rPr>
          <w:rFonts w:eastAsia="Times New Roman"/>
          <w:lang w:val="en-GB"/>
        </w:rPr>
        <w:t>proceedings</w:t>
      </w:r>
      <w:r w:rsidRPr="003C096B" w:rsidR="00FD0EAB">
        <w:rPr>
          <w:rFonts w:eastAsia="Times New Roman"/>
          <w:lang w:val="en-GB"/>
        </w:rPr>
        <w:t xml:space="preserve">, and that the delay in the scheduling by the Court of Appeal of a hearing on the </w:t>
      </w:r>
      <w:r w:rsidR="00922EF8">
        <w:rPr>
          <w:rFonts w:eastAsia="Times New Roman"/>
          <w:lang w:val="en-GB"/>
        </w:rPr>
        <w:t>merits</w:t>
      </w:r>
      <w:r w:rsidRPr="003C096B">
        <w:rPr>
          <w:rFonts w:eastAsia="Times New Roman"/>
          <w:lang w:val="en-GB"/>
        </w:rPr>
        <w:t xml:space="preserve"> </w:t>
      </w:r>
      <w:r w:rsidRPr="003C096B" w:rsidR="00FD0EAB">
        <w:rPr>
          <w:rFonts w:eastAsia="Times New Roman"/>
          <w:lang w:val="en-GB"/>
        </w:rPr>
        <w:t xml:space="preserve">could be explained by </w:t>
      </w:r>
      <w:r w:rsidR="00922EF8">
        <w:rPr>
          <w:rFonts w:eastAsia="Times New Roman"/>
          <w:lang w:val="en-GB"/>
        </w:rPr>
        <w:t xml:space="preserve">the </w:t>
      </w:r>
      <w:r w:rsidRPr="003C096B" w:rsidR="00FD0EAB">
        <w:rPr>
          <w:rFonts w:eastAsia="Times New Roman"/>
          <w:lang w:val="en-GB"/>
        </w:rPr>
        <w:t>three applications for release that th</w:t>
      </w:r>
      <w:r w:rsidRPr="003C096B" w:rsidR="00284272">
        <w:rPr>
          <w:rFonts w:eastAsia="Times New Roman"/>
          <w:lang w:val="en-GB"/>
        </w:rPr>
        <w:t>e</w:t>
      </w:r>
      <w:r w:rsidRPr="003C096B" w:rsidR="00FD0EAB">
        <w:rPr>
          <w:rFonts w:eastAsia="Times New Roman"/>
          <w:lang w:val="en-GB"/>
        </w:rPr>
        <w:t xml:space="preserve"> applicant had filed within a period of three months</w:t>
      </w:r>
      <w:r w:rsidRPr="003C096B">
        <w:rPr>
          <w:rFonts w:eastAsia="Times New Roman"/>
          <w:lang w:val="en-GB"/>
        </w:rPr>
        <w:t xml:space="preserve">. </w:t>
      </w:r>
      <w:r w:rsidRPr="003C096B" w:rsidR="00FD0EAB">
        <w:rPr>
          <w:rFonts w:eastAsia="Times New Roman"/>
          <w:lang w:val="en-GB"/>
        </w:rPr>
        <w:t xml:space="preserve">Lastly, they took the view that the </w:t>
      </w:r>
      <w:r w:rsidRPr="003C096B" w:rsidR="0074414F">
        <w:rPr>
          <w:rFonts w:eastAsia="Times New Roman"/>
          <w:lang w:val="en-GB"/>
        </w:rPr>
        <w:t>proceedings</w:t>
      </w:r>
      <w:r w:rsidRPr="003C096B" w:rsidR="00FD0EAB">
        <w:rPr>
          <w:rFonts w:eastAsia="Times New Roman"/>
          <w:lang w:val="en-GB"/>
        </w:rPr>
        <w:t xml:space="preserve"> in question, which had led the Italian authorities, both judicial and administrative</w:t>
      </w:r>
      <w:r w:rsidRPr="003C096B">
        <w:rPr>
          <w:rFonts w:eastAsia="Times New Roman"/>
          <w:lang w:val="en-GB"/>
        </w:rPr>
        <w:t xml:space="preserve">, </w:t>
      </w:r>
      <w:r w:rsidRPr="003C096B" w:rsidR="00FD0EAB">
        <w:rPr>
          <w:rFonts w:eastAsia="Times New Roman"/>
          <w:lang w:val="en-GB"/>
        </w:rPr>
        <w:t xml:space="preserve">to authorise the </w:t>
      </w:r>
      <w:r w:rsidRPr="003C096B">
        <w:rPr>
          <w:rFonts w:eastAsia="Times New Roman"/>
          <w:lang w:val="en-GB"/>
        </w:rPr>
        <w:t>extradition</w:t>
      </w:r>
      <w:r w:rsidRPr="003C096B" w:rsidR="00FD0EAB">
        <w:rPr>
          <w:rFonts w:eastAsia="Times New Roman"/>
          <w:lang w:val="en-GB"/>
        </w:rPr>
        <w:t>,</w:t>
      </w:r>
      <w:r w:rsidRPr="003C096B">
        <w:rPr>
          <w:rFonts w:eastAsia="Times New Roman"/>
          <w:lang w:val="en-GB"/>
        </w:rPr>
        <w:t xml:space="preserve"> </w:t>
      </w:r>
      <w:r w:rsidRPr="003C096B" w:rsidR="00FD0EAB">
        <w:rPr>
          <w:rFonts w:eastAsia="Times New Roman"/>
          <w:lang w:val="en-GB"/>
        </w:rPr>
        <w:t xml:space="preserve">had </w:t>
      </w:r>
      <w:r w:rsidRPr="003C096B" w:rsidR="00284272">
        <w:rPr>
          <w:rFonts w:eastAsia="Times New Roman"/>
          <w:lang w:val="en-GB"/>
        </w:rPr>
        <w:t>been conducted</w:t>
      </w:r>
      <w:r w:rsidRPr="003C096B" w:rsidR="00FD0EAB">
        <w:rPr>
          <w:rFonts w:eastAsia="Times New Roman"/>
          <w:lang w:val="en-GB"/>
        </w:rPr>
        <w:t xml:space="preserve"> within the time-limits </w:t>
      </w:r>
      <w:r w:rsidRPr="003C096B" w:rsidR="00402C40">
        <w:rPr>
          <w:rFonts w:eastAsia="Times New Roman"/>
          <w:lang w:val="en-GB"/>
        </w:rPr>
        <w:t>provided for</w:t>
      </w:r>
      <w:r w:rsidRPr="003C096B" w:rsidR="00FD0EAB">
        <w:rPr>
          <w:rFonts w:eastAsia="Times New Roman"/>
          <w:lang w:val="en-GB"/>
        </w:rPr>
        <w:t xml:space="preserve"> by the rules of domestic and international law</w:t>
      </w:r>
      <w:r w:rsidRPr="003C096B">
        <w:rPr>
          <w:rFonts w:eastAsia="Times New Roman"/>
          <w:lang w:val="en-GB"/>
        </w:rPr>
        <w:t>.</w:t>
      </w:r>
    </w:p>
    <w:p w:rsidRPr="003C096B" w:rsidR="004F659D" w:rsidP="003C096B" w:rsidRDefault="004F659D">
      <w:pPr>
        <w:keepNext/>
        <w:keepLines/>
        <w:tabs>
          <w:tab w:val="left" w:pos="731"/>
        </w:tabs>
        <w:spacing w:before="240" w:after="120"/>
        <w:ind w:left="732" w:hanging="301"/>
        <w:outlineLvl w:val="2"/>
        <w:rPr>
          <w:rFonts w:eastAsia="Times New Roman" w:asciiTheme="majorHAnsi" w:hAnsiTheme="majorHAnsi" w:cstheme="majorBidi"/>
          <w:bCs/>
          <w:i/>
          <w:lang w:val="en-GB"/>
        </w:rPr>
      </w:pPr>
      <w:r w:rsidRPr="003C096B">
        <w:rPr>
          <w:rFonts w:eastAsia="Times New Roman" w:asciiTheme="majorHAnsi" w:hAnsiTheme="majorHAnsi" w:cstheme="majorBidi"/>
          <w:bCs/>
          <w:i/>
          <w:lang w:val="en-GB"/>
        </w:rPr>
        <w:t>2.  </w:t>
      </w:r>
      <w:r w:rsidRPr="003C096B" w:rsidR="00402C40">
        <w:rPr>
          <w:rFonts w:eastAsia="Times New Roman" w:asciiTheme="majorHAnsi" w:hAnsiTheme="majorHAnsi" w:cstheme="majorBidi"/>
          <w:bCs/>
          <w:i/>
          <w:lang w:val="en-GB"/>
        </w:rPr>
        <w:t>The Court</w:t>
      </w:r>
      <w:r w:rsidR="00A51F9F">
        <w:rPr>
          <w:rFonts w:eastAsia="Times New Roman" w:asciiTheme="majorHAnsi" w:hAnsiTheme="majorHAnsi" w:cstheme="majorBidi"/>
          <w:bCs/>
          <w:i/>
          <w:lang w:val="en-GB"/>
        </w:rPr>
        <w:t>’</w:t>
      </w:r>
      <w:r w:rsidRPr="003C096B" w:rsidR="00402C40">
        <w:rPr>
          <w:rFonts w:eastAsia="Times New Roman" w:asciiTheme="majorHAnsi" w:hAnsiTheme="majorHAnsi" w:cstheme="majorBidi"/>
          <w:bCs/>
          <w:i/>
          <w:lang w:val="en-GB"/>
        </w:rPr>
        <w:t>s assessment</w:t>
      </w:r>
    </w:p>
    <w:p w:rsidRPr="003C096B" w:rsidR="004F659D" w:rsidP="003C096B" w:rsidRDefault="00402C40">
      <w:pPr>
        <w:keepNext/>
        <w:keepLines/>
        <w:tabs>
          <w:tab w:val="left" w:pos="975"/>
        </w:tabs>
        <w:spacing w:before="240" w:after="120"/>
        <w:ind w:left="975" w:hanging="340"/>
        <w:outlineLvl w:val="3"/>
        <w:rPr>
          <w:rFonts w:asciiTheme="majorHAnsi" w:hAnsiTheme="majorHAnsi" w:eastAsiaTheme="majorEastAsia" w:cstheme="majorBidi"/>
          <w:b/>
          <w:bCs/>
          <w:iCs/>
          <w:sz w:val="20"/>
          <w:lang w:val="en-GB"/>
        </w:rPr>
      </w:pPr>
      <w:r w:rsidRPr="003C096B">
        <w:rPr>
          <w:rFonts w:asciiTheme="majorHAnsi" w:hAnsiTheme="majorHAnsi" w:eastAsiaTheme="majorEastAsia" w:cstheme="majorBidi"/>
          <w:b/>
          <w:bCs/>
          <w:iCs/>
          <w:sz w:val="20"/>
          <w:lang w:val="en-GB"/>
        </w:rPr>
        <w:t>(</w:t>
      </w:r>
      <w:r w:rsidRPr="003C096B" w:rsidR="004F659D">
        <w:rPr>
          <w:rFonts w:asciiTheme="majorHAnsi" w:hAnsiTheme="majorHAnsi" w:eastAsiaTheme="majorEastAsia" w:cstheme="majorBidi"/>
          <w:b/>
          <w:bCs/>
          <w:iCs/>
          <w:sz w:val="20"/>
          <w:lang w:val="en-GB"/>
        </w:rPr>
        <w:t>a)  </w:t>
      </w:r>
      <w:r w:rsidRPr="003C096B">
        <w:rPr>
          <w:rFonts w:asciiTheme="majorHAnsi" w:hAnsiTheme="majorHAnsi" w:eastAsiaTheme="majorEastAsia" w:cstheme="majorBidi"/>
          <w:b/>
          <w:bCs/>
          <w:iCs/>
          <w:sz w:val="20"/>
          <w:lang w:val="en-GB"/>
        </w:rPr>
        <w:t>C</w:t>
      </w:r>
      <w:r w:rsidRPr="003C096B" w:rsidR="004F659D">
        <w:rPr>
          <w:rFonts w:asciiTheme="majorHAnsi" w:hAnsiTheme="majorHAnsi" w:eastAsiaTheme="majorEastAsia" w:cstheme="majorBidi"/>
          <w:b/>
          <w:bCs/>
          <w:iCs/>
          <w:sz w:val="20"/>
          <w:lang w:val="en-GB"/>
        </w:rPr>
        <w:t>onformit</w:t>
      </w:r>
      <w:r w:rsidRPr="003C096B">
        <w:rPr>
          <w:rFonts w:asciiTheme="majorHAnsi" w:hAnsiTheme="majorHAnsi" w:eastAsiaTheme="majorEastAsia" w:cstheme="majorBidi"/>
          <w:b/>
          <w:bCs/>
          <w:iCs/>
          <w:sz w:val="20"/>
          <w:lang w:val="en-GB"/>
        </w:rPr>
        <w:t>y of the detention with domestic law</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36</w:t>
      </w:r>
      <w:r w:rsidRPr="003C096B">
        <w:rPr>
          <w:rFonts w:eastAsia="Times New Roman"/>
          <w:lang w:val="en-GB"/>
        </w:rPr>
        <w:fldChar w:fldCharType="end"/>
      </w:r>
      <w:r w:rsidRPr="003C096B">
        <w:rPr>
          <w:rFonts w:eastAsia="Times New Roman"/>
          <w:lang w:val="en-GB"/>
        </w:rPr>
        <w:t>.  </w:t>
      </w:r>
      <w:r w:rsidRPr="003C096B" w:rsidR="00402C40">
        <w:rPr>
          <w:rFonts w:eastAsia="Times New Roman"/>
          <w:lang w:val="en-GB"/>
        </w:rPr>
        <w:t>In order to ascertain whether the detention in question was compatible with</w:t>
      </w:r>
      <w:r w:rsidRPr="003C096B">
        <w:rPr>
          <w:rFonts w:eastAsia="Times New Roman"/>
          <w:lang w:val="en-GB"/>
        </w:rPr>
        <w:t xml:space="preserve"> </w:t>
      </w:r>
      <w:r w:rsidRPr="003C096B" w:rsidR="00402C40">
        <w:rPr>
          <w:rFonts w:eastAsia="Times New Roman"/>
          <w:lang w:val="en-GB"/>
        </w:rPr>
        <w:t>A</w:t>
      </w:r>
      <w:r w:rsidRPr="003C096B">
        <w:rPr>
          <w:rFonts w:eastAsia="Times New Roman"/>
          <w:lang w:val="en-GB"/>
        </w:rPr>
        <w:t xml:space="preserve">rticle 5 § 1 </w:t>
      </w:r>
      <w:r w:rsidRPr="003C096B" w:rsidR="00402C40">
        <w:rPr>
          <w:rFonts w:eastAsia="Times New Roman"/>
          <w:lang w:val="en-GB"/>
        </w:rPr>
        <w:t>(</w:t>
      </w:r>
      <w:r w:rsidRPr="003C096B">
        <w:rPr>
          <w:rFonts w:eastAsia="Times New Roman"/>
          <w:lang w:val="en-GB"/>
        </w:rPr>
        <w:t xml:space="preserve">f) </w:t>
      </w:r>
      <w:r w:rsidRPr="003C096B" w:rsidR="00402C40">
        <w:rPr>
          <w:rFonts w:eastAsia="Times New Roman"/>
          <w:lang w:val="en-GB"/>
        </w:rPr>
        <w:t>of the</w:t>
      </w:r>
      <w:r w:rsidRPr="003C096B">
        <w:rPr>
          <w:rFonts w:eastAsia="Times New Roman"/>
          <w:lang w:val="en-GB"/>
        </w:rPr>
        <w:t xml:space="preserve"> Convention, </w:t>
      </w:r>
      <w:r w:rsidRPr="003C096B" w:rsidR="00402C40">
        <w:rPr>
          <w:rFonts w:eastAsia="Times New Roman"/>
          <w:lang w:val="en-GB"/>
        </w:rPr>
        <w:t>the</w:t>
      </w:r>
      <w:r w:rsidRPr="003C096B">
        <w:rPr>
          <w:rFonts w:eastAsia="Times New Roman"/>
          <w:lang w:val="en-GB"/>
        </w:rPr>
        <w:t xml:space="preserve"> Cour</w:t>
      </w:r>
      <w:r w:rsidRPr="003C096B" w:rsidR="00402C40">
        <w:rPr>
          <w:rFonts w:eastAsia="Times New Roman"/>
          <w:lang w:val="en-GB"/>
        </w:rPr>
        <w:t>t must verify that the deprivation of liberty, in addition to falling within one of the exceptions set out in sub-paragraphs (a) to (f), was “lawful”. It reiterates that, where the “lawfulness” of detention is in issue, including the question whether “a procedure prescribed by law” has been followed, the Convention refers essentially to national law and lays down the obligation to conform to the substantive and procedural rules of national law</w:t>
      </w:r>
      <w:r w:rsidRPr="003C096B">
        <w:rPr>
          <w:rFonts w:eastAsia="Times New Roman"/>
          <w:lang w:val="en-GB"/>
        </w:rPr>
        <w:t xml:space="preserve"> (</w:t>
      </w:r>
      <w:r w:rsidRPr="003C096B" w:rsidR="00402C40">
        <w:rPr>
          <w:rFonts w:eastAsia="Times New Roman"/>
          <w:lang w:val="en-GB"/>
        </w:rPr>
        <w:t xml:space="preserve">see </w:t>
      </w:r>
      <w:proofErr w:type="spellStart"/>
      <w:r w:rsidRPr="003C096B">
        <w:rPr>
          <w:rFonts w:eastAsia="Times New Roman"/>
          <w:i/>
          <w:lang w:val="en-GB"/>
        </w:rPr>
        <w:t>Saadi</w:t>
      </w:r>
      <w:proofErr w:type="spellEnd"/>
      <w:r w:rsidR="00A44A68">
        <w:rPr>
          <w:rFonts w:eastAsia="Times New Roman"/>
          <w:i/>
          <w:lang w:val="en-GB"/>
        </w:rPr>
        <w:t xml:space="preserve"> </w:t>
      </w:r>
      <w:r w:rsidRPr="003C096B" w:rsidR="00402C40">
        <w:rPr>
          <w:rFonts w:eastAsia="Times New Roman"/>
          <w:i/>
          <w:lang w:val="en-GB"/>
        </w:rPr>
        <w:t>v</w:t>
      </w:r>
      <w:r w:rsidRPr="003C096B">
        <w:rPr>
          <w:rFonts w:eastAsia="Times New Roman"/>
          <w:i/>
          <w:lang w:val="en-GB"/>
        </w:rPr>
        <w:t>.</w:t>
      </w:r>
      <w:r w:rsidR="00A44A68">
        <w:rPr>
          <w:rFonts w:eastAsia="Times New Roman"/>
          <w:i/>
          <w:lang w:val="en-GB"/>
        </w:rPr>
        <w:t xml:space="preserve"> </w:t>
      </w:r>
      <w:r w:rsidRPr="003C096B" w:rsidR="00402C40">
        <w:rPr>
          <w:rFonts w:eastAsia="Times New Roman"/>
          <w:i/>
          <w:lang w:val="en-GB"/>
        </w:rPr>
        <w:t>the United Kingdom</w:t>
      </w:r>
      <w:r w:rsidRPr="003C096B">
        <w:rPr>
          <w:rFonts w:eastAsia="Times New Roman"/>
          <w:lang w:val="en-GB"/>
        </w:rPr>
        <w:t xml:space="preserve"> [GC], </w:t>
      </w:r>
      <w:r w:rsidRPr="003C096B" w:rsidR="00402C40">
        <w:rPr>
          <w:rFonts w:eastAsia="Times New Roman"/>
          <w:lang w:val="en-GB"/>
        </w:rPr>
        <w:t>no.</w:t>
      </w:r>
      <w:r w:rsidR="007975C6">
        <w:rPr>
          <w:rFonts w:eastAsia="Times New Roman"/>
          <w:lang w:val="en-GB"/>
        </w:rPr>
        <w:t xml:space="preserve"> 13229/03, §</w:t>
      </w:r>
      <w:r w:rsidRPr="003C096B">
        <w:rPr>
          <w:rFonts w:eastAsia="Times New Roman"/>
          <w:lang w:val="en-GB"/>
        </w:rPr>
        <w:t xml:space="preserve"> 67, </w:t>
      </w:r>
      <w:r w:rsidRPr="003C096B" w:rsidR="00402C40">
        <w:rPr>
          <w:rFonts w:eastAsia="Times New Roman"/>
          <w:lang w:val="en-GB"/>
        </w:rPr>
        <w:t>ECHR</w:t>
      </w:r>
      <w:r w:rsidRPr="003C096B">
        <w:rPr>
          <w:rFonts w:eastAsia="Times New Roman"/>
          <w:lang w:val="en-GB"/>
        </w:rPr>
        <w:t xml:space="preserve"> 2008).</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37</w:t>
      </w:r>
      <w:r w:rsidRPr="003C096B">
        <w:rPr>
          <w:rFonts w:eastAsia="Times New Roman"/>
          <w:lang w:val="en-GB"/>
        </w:rPr>
        <w:fldChar w:fldCharType="end"/>
      </w:r>
      <w:r w:rsidRPr="003C096B">
        <w:rPr>
          <w:rFonts w:eastAsia="Times New Roman"/>
          <w:lang w:val="en-GB"/>
        </w:rPr>
        <w:t>.  </w:t>
      </w:r>
      <w:r w:rsidRPr="003C096B" w:rsidR="00402C40">
        <w:rPr>
          <w:rFonts w:eastAsia="Times New Roman"/>
          <w:lang w:val="en-GB"/>
        </w:rPr>
        <w:t>In the present case, the</w:t>
      </w:r>
      <w:r w:rsidRPr="003C096B">
        <w:rPr>
          <w:rFonts w:eastAsia="Times New Roman"/>
          <w:lang w:val="en-GB"/>
        </w:rPr>
        <w:t xml:space="preserve"> Cour</w:t>
      </w:r>
      <w:r w:rsidRPr="003C096B" w:rsidR="00402C40">
        <w:rPr>
          <w:rFonts w:eastAsia="Times New Roman"/>
          <w:lang w:val="en-GB"/>
        </w:rPr>
        <w:t xml:space="preserve">t would </w:t>
      </w:r>
      <w:r w:rsidRPr="003C096B">
        <w:rPr>
          <w:rFonts w:eastAsia="Times New Roman"/>
          <w:lang w:val="en-GB"/>
        </w:rPr>
        <w:t xml:space="preserve">observe </w:t>
      </w:r>
      <w:r w:rsidRPr="003C096B" w:rsidR="00402C40">
        <w:rPr>
          <w:rFonts w:eastAsia="Times New Roman"/>
          <w:lang w:val="en-GB"/>
        </w:rPr>
        <w:t>that</w:t>
      </w:r>
      <w:r w:rsidRPr="003C096B">
        <w:rPr>
          <w:rFonts w:eastAsia="Times New Roman"/>
          <w:lang w:val="en-GB"/>
        </w:rPr>
        <w:t xml:space="preserve">, </w:t>
      </w:r>
      <w:r w:rsidRPr="003C096B" w:rsidR="00402C40">
        <w:rPr>
          <w:rFonts w:eastAsia="Times New Roman"/>
          <w:lang w:val="en-GB"/>
        </w:rPr>
        <w:t>being better placed than the</w:t>
      </w:r>
      <w:r w:rsidRPr="003C096B">
        <w:rPr>
          <w:rFonts w:eastAsia="Times New Roman"/>
          <w:lang w:val="en-GB"/>
        </w:rPr>
        <w:t xml:space="preserve"> Convention </w:t>
      </w:r>
      <w:r w:rsidRPr="003C096B" w:rsidR="00402C40">
        <w:rPr>
          <w:rFonts w:eastAsia="Times New Roman"/>
          <w:lang w:val="en-GB"/>
        </w:rPr>
        <w:t>organs to verify compliance with domestic law</w:t>
      </w:r>
      <w:r w:rsidRPr="003C096B">
        <w:rPr>
          <w:rFonts w:eastAsia="Times New Roman"/>
          <w:lang w:val="en-GB"/>
        </w:rPr>
        <w:t xml:space="preserve">, </w:t>
      </w:r>
      <w:r w:rsidRPr="003C096B" w:rsidR="00402C40">
        <w:rPr>
          <w:rFonts w:eastAsia="Times New Roman"/>
          <w:lang w:val="en-GB"/>
        </w:rPr>
        <w:t>the domestic courts found, when called upon by the applicant or when domestic law so required</w:t>
      </w:r>
      <w:r w:rsidRPr="003C096B">
        <w:rPr>
          <w:rFonts w:eastAsia="Times New Roman"/>
          <w:lang w:val="en-GB"/>
        </w:rPr>
        <w:t xml:space="preserve">, </w:t>
      </w:r>
      <w:r w:rsidRPr="003C096B" w:rsidR="00402C40">
        <w:rPr>
          <w:rFonts w:eastAsia="Times New Roman"/>
          <w:lang w:val="en-GB"/>
        </w:rPr>
        <w:t>that the detention measure was lawful in its</w:t>
      </w:r>
      <w:r w:rsidRPr="003C096B">
        <w:rPr>
          <w:rFonts w:eastAsia="Times New Roman"/>
          <w:lang w:val="en-GB"/>
        </w:rPr>
        <w:t xml:space="preserve"> </w:t>
      </w:r>
      <w:r w:rsidRPr="003C096B" w:rsidR="00402C40">
        <w:rPr>
          <w:rFonts w:eastAsia="Times New Roman"/>
          <w:lang w:val="en-GB"/>
        </w:rPr>
        <w:t>initial</w:t>
      </w:r>
      <w:r w:rsidRPr="003C096B">
        <w:rPr>
          <w:rFonts w:eastAsia="Times New Roman"/>
          <w:lang w:val="en-GB"/>
        </w:rPr>
        <w:t xml:space="preserve"> phase </w:t>
      </w:r>
      <w:r w:rsidRPr="003C096B" w:rsidR="00402C40">
        <w:rPr>
          <w:rFonts w:eastAsia="Times New Roman"/>
          <w:lang w:val="en-GB"/>
        </w:rPr>
        <w:t>and in terms of its purpose</w:t>
      </w:r>
      <w:r w:rsidRPr="003C096B">
        <w:rPr>
          <w:rFonts w:eastAsia="Times New Roman"/>
          <w:lang w:val="en-GB"/>
        </w:rPr>
        <w:t xml:space="preserve">. </w:t>
      </w:r>
      <w:r w:rsidRPr="003C096B" w:rsidR="00402C40">
        <w:rPr>
          <w:rFonts w:eastAsia="Times New Roman"/>
          <w:lang w:val="en-GB"/>
        </w:rPr>
        <w:t xml:space="preserve">At the outset, the </w:t>
      </w:r>
      <w:r w:rsidRPr="003C096B">
        <w:rPr>
          <w:rFonts w:eastAsia="Times New Roman"/>
          <w:lang w:val="en-GB"/>
        </w:rPr>
        <w:t>L</w:t>
      </w:r>
      <w:r w:rsidR="00A51F9F">
        <w:rPr>
          <w:rFonts w:eastAsia="Times New Roman"/>
          <w:lang w:val="en-GB"/>
        </w:rPr>
        <w:t>’</w:t>
      </w:r>
      <w:r w:rsidRPr="003C096B">
        <w:rPr>
          <w:rFonts w:eastAsia="Times New Roman"/>
          <w:lang w:val="en-GB"/>
        </w:rPr>
        <w:t>Aquila</w:t>
      </w:r>
      <w:r w:rsidRPr="003C096B" w:rsidR="00402C40">
        <w:rPr>
          <w:rFonts w:eastAsia="Times New Roman"/>
          <w:lang w:val="en-GB"/>
        </w:rPr>
        <w:t xml:space="preserve"> Court of Appeal confirmed the applicant</w:t>
      </w:r>
      <w:r w:rsidR="00A51F9F">
        <w:rPr>
          <w:rFonts w:eastAsia="Times New Roman"/>
          <w:lang w:val="en-GB"/>
        </w:rPr>
        <w:t>’</w:t>
      </w:r>
      <w:r w:rsidRPr="003C096B" w:rsidR="00402C40">
        <w:rPr>
          <w:rFonts w:eastAsia="Times New Roman"/>
          <w:lang w:val="en-GB"/>
        </w:rPr>
        <w:t>s arrest</w:t>
      </w:r>
      <w:r w:rsidRPr="003C096B">
        <w:rPr>
          <w:rFonts w:eastAsia="Times New Roman"/>
          <w:lang w:val="en-GB"/>
        </w:rPr>
        <w:t xml:space="preserve">; </w:t>
      </w:r>
      <w:r w:rsidRPr="003C096B" w:rsidR="00402C40">
        <w:rPr>
          <w:rFonts w:eastAsia="Times New Roman"/>
          <w:lang w:val="en-GB"/>
        </w:rPr>
        <w:t>subsequently, the Court of Appeal and the Court of Cassation</w:t>
      </w:r>
      <w:r w:rsidRPr="003C096B">
        <w:rPr>
          <w:rFonts w:eastAsia="Times New Roman"/>
          <w:lang w:val="en-GB"/>
        </w:rPr>
        <w:t xml:space="preserve"> </w:t>
      </w:r>
      <w:r w:rsidRPr="003C096B" w:rsidR="00402C40">
        <w:rPr>
          <w:rFonts w:eastAsia="Times New Roman"/>
          <w:lang w:val="en-GB"/>
        </w:rPr>
        <w:t xml:space="preserve">verified that the </w:t>
      </w:r>
      <w:r w:rsidRPr="003C096B">
        <w:rPr>
          <w:rFonts w:eastAsia="Times New Roman"/>
          <w:lang w:val="en-GB"/>
        </w:rPr>
        <w:t xml:space="preserve">extradition </w:t>
      </w:r>
      <w:r w:rsidRPr="003C096B" w:rsidR="00402C40">
        <w:rPr>
          <w:rFonts w:eastAsia="Times New Roman"/>
          <w:lang w:val="en-GB"/>
        </w:rPr>
        <w:t xml:space="preserve">request had been sent by the Greek authorities within the forty-day period laid down in Article 16 § 4 of the European Convention on Extradition </w:t>
      </w:r>
      <w:r w:rsidRPr="003C096B">
        <w:rPr>
          <w:rFonts w:eastAsia="Times New Roman"/>
          <w:lang w:val="en-GB"/>
        </w:rPr>
        <w:t>(</w:t>
      </w:r>
      <w:r w:rsidRPr="003C096B" w:rsidR="00402C40">
        <w:rPr>
          <w:rFonts w:eastAsia="Times New Roman"/>
          <w:lang w:val="en-GB"/>
        </w:rPr>
        <w:t xml:space="preserve">see </w:t>
      </w:r>
      <w:r w:rsidRPr="003C096B">
        <w:rPr>
          <w:rFonts w:eastAsia="Times New Roman"/>
          <w:lang w:val="en-GB"/>
        </w:rPr>
        <w:t>paragr</w:t>
      </w:r>
      <w:r w:rsidRPr="003C096B" w:rsidR="00402C40">
        <w:rPr>
          <w:rFonts w:eastAsia="Times New Roman"/>
          <w:lang w:val="en-GB"/>
        </w:rPr>
        <w:t>aph</w:t>
      </w:r>
      <w:r w:rsidRPr="003C096B">
        <w:rPr>
          <w:rFonts w:eastAsia="Times New Roman"/>
          <w:lang w:val="en-GB"/>
        </w:rPr>
        <w:t xml:space="preserve">s 15, 17 </w:t>
      </w:r>
      <w:r w:rsidRPr="003C096B" w:rsidR="00402C40">
        <w:rPr>
          <w:rFonts w:eastAsia="Times New Roman"/>
          <w:lang w:val="en-GB"/>
        </w:rPr>
        <w:t>and</w:t>
      </w:r>
      <w:r w:rsidRPr="003C096B">
        <w:rPr>
          <w:rFonts w:eastAsia="Times New Roman"/>
          <w:lang w:val="en-GB"/>
        </w:rPr>
        <w:t xml:space="preserve"> 21 </w:t>
      </w:r>
      <w:r w:rsidRPr="003C096B" w:rsidR="00402C40">
        <w:rPr>
          <w:rFonts w:eastAsia="Times New Roman"/>
          <w:lang w:val="en-GB"/>
        </w:rPr>
        <w:t xml:space="preserve">above). Lastly, on three occasions, the courts established that the adoption and maintaining of </w:t>
      </w:r>
      <w:r w:rsidRPr="003C096B" w:rsidR="00D22D4F">
        <w:rPr>
          <w:rFonts w:eastAsia="Times New Roman"/>
          <w:lang w:val="en-GB"/>
        </w:rPr>
        <w:t xml:space="preserve">the </w:t>
      </w:r>
      <w:r w:rsidRPr="003C096B" w:rsidR="00402C40">
        <w:rPr>
          <w:rFonts w:eastAsia="Times New Roman"/>
          <w:lang w:val="en-GB"/>
        </w:rPr>
        <w:t>precautionary measur</w:t>
      </w:r>
      <w:r w:rsidRPr="003C096B" w:rsidR="00D22D4F">
        <w:rPr>
          <w:rFonts w:eastAsia="Times New Roman"/>
          <w:lang w:val="en-GB"/>
        </w:rPr>
        <w:t>e</w:t>
      </w:r>
      <w:r w:rsidRPr="003C096B" w:rsidR="00402C40">
        <w:rPr>
          <w:rFonts w:eastAsia="Times New Roman"/>
          <w:lang w:val="en-GB"/>
        </w:rPr>
        <w:t>s</w:t>
      </w:r>
      <w:r w:rsidRPr="003C096B">
        <w:rPr>
          <w:rFonts w:eastAsia="Times New Roman"/>
          <w:lang w:val="en-GB"/>
        </w:rPr>
        <w:t xml:space="preserve"> </w:t>
      </w:r>
      <w:r w:rsidRPr="003C096B" w:rsidR="00D22D4F">
        <w:rPr>
          <w:rFonts w:eastAsia="Times New Roman"/>
          <w:lang w:val="en-GB"/>
        </w:rPr>
        <w:t>were justified by the requirement to comply with the State</w:t>
      </w:r>
      <w:r w:rsidR="00A51F9F">
        <w:rPr>
          <w:rFonts w:eastAsia="Times New Roman"/>
          <w:lang w:val="en-GB"/>
        </w:rPr>
        <w:t>’</w:t>
      </w:r>
      <w:r w:rsidRPr="003C096B" w:rsidR="00D22D4F">
        <w:rPr>
          <w:rFonts w:eastAsia="Times New Roman"/>
          <w:lang w:val="en-GB"/>
        </w:rPr>
        <w:t xml:space="preserve">s international </w:t>
      </w:r>
      <w:r w:rsidRPr="003C096B" w:rsidR="00CF64A4">
        <w:rPr>
          <w:rFonts w:eastAsia="Times New Roman"/>
          <w:lang w:val="en-GB"/>
        </w:rPr>
        <w:t>commitments</w:t>
      </w:r>
      <w:r w:rsidRPr="003C096B" w:rsidR="00D22D4F">
        <w:rPr>
          <w:rFonts w:eastAsia="Times New Roman"/>
          <w:lang w:val="en-GB"/>
        </w:rPr>
        <w:t xml:space="preserve"> and by the existence of a risk that the applicant might abscond</w:t>
      </w:r>
      <w:r w:rsidRPr="003C096B">
        <w:rPr>
          <w:rFonts w:eastAsia="Times New Roman"/>
          <w:lang w:val="en-GB"/>
        </w:rPr>
        <w:t xml:space="preserve"> </w:t>
      </w:r>
      <w:r w:rsidRPr="003C096B">
        <w:rPr>
          <w:lang w:val="en-GB"/>
        </w:rPr>
        <w:t>(</w:t>
      </w:r>
      <w:r w:rsidRPr="003C096B" w:rsidR="00D22D4F">
        <w:rPr>
          <w:lang w:val="en-GB"/>
        </w:rPr>
        <w:t>see paragraph</w:t>
      </w:r>
      <w:r w:rsidRPr="003C096B">
        <w:rPr>
          <w:lang w:val="en-GB"/>
        </w:rPr>
        <w:t xml:space="preserve"> 18 </w:t>
      </w:r>
      <w:r w:rsidRPr="003C096B" w:rsidR="00D22D4F">
        <w:rPr>
          <w:lang w:val="en-GB"/>
        </w:rPr>
        <w:t>above</w:t>
      </w:r>
      <w:r w:rsidRPr="003C096B">
        <w:rPr>
          <w:lang w:val="en-GB"/>
        </w:rPr>
        <w:t>).</w:t>
      </w:r>
    </w:p>
    <w:p w:rsidRPr="003C096B" w:rsidR="004F659D" w:rsidP="003C096B" w:rsidRDefault="004F659D">
      <w:pPr>
        <w:ind w:firstLine="284"/>
        <w:rPr>
          <w:rFonts w:eastAsia="Times New Roman"/>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38</w:t>
      </w:r>
      <w:r w:rsidRPr="003C096B">
        <w:rPr>
          <w:rFonts w:eastAsia="Times New Roman"/>
          <w:lang w:val="en-GB"/>
        </w:rPr>
        <w:fldChar w:fldCharType="end"/>
      </w:r>
      <w:r w:rsidRPr="003C096B">
        <w:rPr>
          <w:rFonts w:eastAsia="Times New Roman"/>
          <w:lang w:val="en-GB"/>
        </w:rPr>
        <w:t>.  </w:t>
      </w:r>
      <w:r w:rsidRPr="003C096B" w:rsidR="00D22D4F">
        <w:rPr>
          <w:rFonts w:eastAsia="Times New Roman"/>
          <w:lang w:val="en-GB"/>
        </w:rPr>
        <w:t>In those circumstances</w:t>
      </w:r>
      <w:r w:rsidRPr="003C096B">
        <w:rPr>
          <w:rFonts w:eastAsia="Times New Roman"/>
          <w:lang w:val="en-GB"/>
        </w:rPr>
        <w:t xml:space="preserve">, </w:t>
      </w:r>
      <w:r w:rsidRPr="003C096B" w:rsidR="00D22D4F">
        <w:rPr>
          <w:rFonts w:eastAsia="Times New Roman"/>
          <w:lang w:val="en-GB"/>
        </w:rPr>
        <w:t xml:space="preserve">the Court does </w:t>
      </w:r>
      <w:proofErr w:type="gramStart"/>
      <w:r w:rsidRPr="003C096B" w:rsidR="00D22D4F">
        <w:rPr>
          <w:rFonts w:eastAsia="Times New Roman"/>
          <w:lang w:val="en-GB"/>
        </w:rPr>
        <w:t xml:space="preserve">not </w:t>
      </w:r>
      <w:r w:rsidRPr="003C096B" w:rsidR="00284272">
        <w:rPr>
          <w:rFonts w:eastAsia="Times New Roman"/>
        </w:rPr>
        <w:t>not</w:t>
      </w:r>
      <w:proofErr w:type="gramEnd"/>
      <w:r w:rsidRPr="003C096B" w:rsidR="00284272">
        <w:rPr>
          <w:rFonts w:eastAsia="Times New Roman"/>
        </w:rPr>
        <w:t xml:space="preserve"> discern any evidence to suggest that the detention pending extradition pursued an aim other than that for which it was ordered </w:t>
      </w:r>
      <w:r w:rsidRPr="003C096B" w:rsidR="00D22D4F">
        <w:rPr>
          <w:rFonts w:eastAsia="Times New Roman"/>
          <w:lang w:val="en-GB"/>
        </w:rPr>
        <w:t>or that it did not comply with domestic law</w:t>
      </w:r>
      <w:r w:rsidRPr="003C096B">
        <w:rPr>
          <w:rFonts w:eastAsia="Times New Roman"/>
          <w:lang w:val="en-GB"/>
        </w:rPr>
        <w:t>.</w:t>
      </w:r>
    </w:p>
    <w:p w:rsidRPr="003C096B" w:rsidR="004F659D" w:rsidP="003C096B" w:rsidRDefault="00D22D4F">
      <w:pPr>
        <w:keepNext/>
        <w:keepLines/>
        <w:tabs>
          <w:tab w:val="left" w:pos="975"/>
        </w:tabs>
        <w:spacing w:before="240" w:after="120"/>
        <w:ind w:left="975" w:hanging="340"/>
        <w:outlineLvl w:val="3"/>
        <w:rPr>
          <w:rFonts w:eastAsia="Times New Roman" w:asciiTheme="majorHAnsi" w:hAnsiTheme="majorHAnsi" w:cstheme="majorBidi"/>
          <w:b/>
          <w:bCs/>
          <w:iCs/>
          <w:sz w:val="20"/>
          <w:lang w:val="en-GB"/>
        </w:rPr>
      </w:pPr>
      <w:r w:rsidRPr="003C096B">
        <w:rPr>
          <w:rFonts w:eastAsia="Times New Roman" w:asciiTheme="majorHAnsi" w:hAnsiTheme="majorHAnsi" w:cstheme="majorBidi"/>
          <w:b/>
          <w:bCs/>
          <w:iCs/>
          <w:sz w:val="20"/>
          <w:lang w:val="en-GB"/>
        </w:rPr>
        <w:t>(</w:t>
      </w:r>
      <w:r w:rsidRPr="003C096B" w:rsidR="004F659D">
        <w:rPr>
          <w:rFonts w:eastAsia="Times New Roman" w:asciiTheme="majorHAnsi" w:hAnsiTheme="majorHAnsi" w:cstheme="majorBidi"/>
          <w:b/>
          <w:bCs/>
          <w:iCs/>
          <w:sz w:val="20"/>
          <w:lang w:val="en-GB"/>
        </w:rPr>
        <w:t>b)  </w:t>
      </w:r>
      <w:r w:rsidRPr="003C096B">
        <w:rPr>
          <w:rFonts w:eastAsia="Times New Roman" w:asciiTheme="majorHAnsi" w:hAnsiTheme="majorHAnsi" w:cstheme="majorBidi"/>
          <w:b/>
          <w:bCs/>
          <w:iCs/>
          <w:sz w:val="20"/>
          <w:lang w:val="en-GB"/>
        </w:rPr>
        <w:t>Whether the de</w:t>
      </w:r>
      <w:r w:rsidRPr="003C096B" w:rsidR="004F659D">
        <w:rPr>
          <w:rFonts w:eastAsia="Times New Roman" w:asciiTheme="majorHAnsi" w:hAnsiTheme="majorHAnsi" w:cstheme="majorBidi"/>
          <w:b/>
          <w:bCs/>
          <w:iCs/>
          <w:sz w:val="20"/>
          <w:lang w:val="en-GB"/>
        </w:rPr>
        <w:t>tention</w:t>
      </w:r>
      <w:r w:rsidRPr="003C096B">
        <w:rPr>
          <w:rFonts w:eastAsia="Times New Roman" w:asciiTheme="majorHAnsi" w:hAnsiTheme="majorHAnsi" w:cstheme="majorBidi"/>
          <w:b/>
          <w:bCs/>
          <w:iCs/>
          <w:sz w:val="20"/>
          <w:lang w:val="en-GB"/>
        </w:rPr>
        <w:t xml:space="preserve"> was arbitrary</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39</w:t>
      </w:r>
      <w:r w:rsidRPr="003C096B">
        <w:rPr>
          <w:rFonts w:eastAsia="Times New Roman"/>
          <w:lang w:val="en-GB"/>
        </w:rPr>
        <w:fldChar w:fldCharType="end"/>
      </w:r>
      <w:r w:rsidRPr="003C096B">
        <w:rPr>
          <w:rFonts w:eastAsia="Times New Roman"/>
          <w:lang w:val="en-GB"/>
        </w:rPr>
        <w:t>.  </w:t>
      </w:r>
      <w:r w:rsidRPr="003C096B" w:rsidR="00D22D4F">
        <w:rPr>
          <w:rFonts w:eastAsia="Times New Roman"/>
          <w:lang w:val="en-GB"/>
        </w:rPr>
        <w:t>The Court would observe that, contrary to what the Government alleged, compliance with the time-limits provided for in domestic law cannot be regarded as automatically bringing the applicant</w:t>
      </w:r>
      <w:r w:rsidR="00A51F9F">
        <w:rPr>
          <w:rFonts w:eastAsia="Times New Roman"/>
          <w:lang w:val="en-GB"/>
        </w:rPr>
        <w:t>’</w:t>
      </w:r>
      <w:r w:rsidRPr="003C096B" w:rsidR="00D22D4F">
        <w:rPr>
          <w:rFonts w:eastAsia="Times New Roman"/>
          <w:lang w:val="en-GB"/>
        </w:rPr>
        <w:t>s</w:t>
      </w:r>
      <w:r w:rsidRPr="003C096B">
        <w:rPr>
          <w:rFonts w:eastAsia="Times New Roman"/>
          <w:lang w:val="en-GB"/>
        </w:rPr>
        <w:t xml:space="preserve"> d</w:t>
      </w:r>
      <w:r w:rsidRPr="003C096B" w:rsidR="00D22D4F">
        <w:rPr>
          <w:rFonts w:eastAsia="Times New Roman"/>
          <w:lang w:val="en-GB"/>
        </w:rPr>
        <w:t>e</w:t>
      </w:r>
      <w:r w:rsidRPr="003C096B">
        <w:rPr>
          <w:rFonts w:eastAsia="Times New Roman"/>
          <w:lang w:val="en-GB"/>
        </w:rPr>
        <w:t xml:space="preserve">tention </w:t>
      </w:r>
      <w:r w:rsidRPr="003C096B" w:rsidR="00FC53DD">
        <w:rPr>
          <w:rFonts w:eastAsia="Times New Roman"/>
          <w:lang w:val="en-GB"/>
        </w:rPr>
        <w:t xml:space="preserve">into line </w:t>
      </w:r>
      <w:r w:rsidRPr="003C096B" w:rsidR="00D22D4F">
        <w:rPr>
          <w:rFonts w:eastAsia="Times New Roman"/>
          <w:lang w:val="en-GB"/>
        </w:rPr>
        <w:t>with A</w:t>
      </w:r>
      <w:r w:rsidRPr="003C096B">
        <w:rPr>
          <w:rFonts w:eastAsia="Times New Roman"/>
          <w:lang w:val="en-GB"/>
        </w:rPr>
        <w:t xml:space="preserve">rticle 5 § 1 </w:t>
      </w:r>
      <w:r w:rsidRPr="003C096B" w:rsidR="00D22D4F">
        <w:rPr>
          <w:rFonts w:eastAsia="Times New Roman"/>
          <w:lang w:val="en-GB"/>
        </w:rPr>
        <w:t>(</w:t>
      </w:r>
      <w:r w:rsidRPr="003C096B">
        <w:rPr>
          <w:rFonts w:eastAsia="Times New Roman"/>
          <w:lang w:val="en-GB"/>
        </w:rPr>
        <w:t xml:space="preserve">f) </w:t>
      </w:r>
      <w:r w:rsidRPr="003C096B" w:rsidR="00D22D4F">
        <w:rPr>
          <w:rFonts w:eastAsia="Times New Roman"/>
          <w:lang w:val="en-GB"/>
        </w:rPr>
        <w:t>of the</w:t>
      </w:r>
      <w:r w:rsidRPr="003C096B">
        <w:rPr>
          <w:rFonts w:eastAsia="Times New Roman"/>
          <w:lang w:val="en-GB"/>
        </w:rPr>
        <w:t xml:space="preserve"> Convention (</w:t>
      </w:r>
      <w:r w:rsidRPr="003C096B" w:rsidR="00D22D4F">
        <w:rPr>
          <w:rFonts w:eastAsia="Times New Roman"/>
          <w:lang w:val="en-GB"/>
        </w:rPr>
        <w:t xml:space="preserve">see </w:t>
      </w:r>
      <w:proofErr w:type="spellStart"/>
      <w:r w:rsidRPr="003C096B">
        <w:rPr>
          <w:i/>
          <w:lang w:val="en-GB"/>
        </w:rPr>
        <w:t>Auad</w:t>
      </w:r>
      <w:proofErr w:type="spellEnd"/>
      <w:r w:rsidRPr="003C096B">
        <w:rPr>
          <w:i/>
          <w:lang w:val="en-GB"/>
        </w:rPr>
        <w:t xml:space="preserve"> </w:t>
      </w:r>
      <w:r w:rsidRPr="003C096B" w:rsidR="00D22D4F">
        <w:rPr>
          <w:i/>
          <w:lang w:val="en-GB"/>
        </w:rPr>
        <w:t>v</w:t>
      </w:r>
      <w:r w:rsidRPr="003C096B">
        <w:rPr>
          <w:i/>
          <w:lang w:val="en-GB"/>
        </w:rPr>
        <w:t>. Bulgari</w:t>
      </w:r>
      <w:r w:rsidRPr="003C096B" w:rsidR="00D22D4F">
        <w:rPr>
          <w:i/>
          <w:lang w:val="en-GB"/>
        </w:rPr>
        <w:t>a</w:t>
      </w:r>
      <w:r w:rsidRPr="003C096B">
        <w:rPr>
          <w:lang w:val="en-GB"/>
        </w:rPr>
        <w:t xml:space="preserve">, </w:t>
      </w:r>
      <w:r w:rsidRPr="003C096B" w:rsidR="00D22D4F">
        <w:rPr>
          <w:lang w:val="en-GB"/>
        </w:rPr>
        <w:t>no.</w:t>
      </w:r>
      <w:r w:rsidRPr="003C096B" w:rsidR="00FC53DD">
        <w:rPr>
          <w:lang w:val="en-GB"/>
        </w:rPr>
        <w:t> </w:t>
      </w:r>
      <w:r w:rsidRPr="003C096B">
        <w:rPr>
          <w:lang w:val="en-GB"/>
        </w:rPr>
        <w:t>46390/10</w:t>
      </w:r>
      <w:r w:rsidRPr="003C096B">
        <w:rPr>
          <w:snapToGrid w:val="0"/>
          <w:szCs w:val="24"/>
          <w:lang w:val="en-GB"/>
        </w:rPr>
        <w:t xml:space="preserve">, § 131, 11 </w:t>
      </w:r>
      <w:r w:rsidRPr="003C096B" w:rsidR="00D22D4F">
        <w:rPr>
          <w:szCs w:val="24"/>
          <w:lang w:val="en-GB"/>
        </w:rPr>
        <w:t>October</w:t>
      </w:r>
      <w:r w:rsidRPr="003C096B">
        <w:rPr>
          <w:snapToGrid w:val="0"/>
          <w:szCs w:val="24"/>
          <w:lang w:val="en-GB"/>
        </w:rPr>
        <w:t xml:space="preserve"> 2011</w:t>
      </w:r>
      <w:r w:rsidRPr="003C096B">
        <w:rPr>
          <w:rFonts w:eastAsia="Times New Roman"/>
          <w:lang w:val="en-GB"/>
        </w:rPr>
        <w:t xml:space="preserve">). </w:t>
      </w:r>
      <w:r w:rsidRPr="003C096B" w:rsidR="00FC53DD">
        <w:rPr>
          <w:rFonts w:eastAsia="Times New Roman"/>
          <w:lang w:val="en-GB"/>
        </w:rPr>
        <w:t xml:space="preserve">Article 5 § 1 </w:t>
      </w:r>
      <w:r w:rsidRPr="003C096B" w:rsidR="00922EF8">
        <w:rPr>
          <w:rFonts w:eastAsia="Times New Roman"/>
          <w:lang w:val="en-GB"/>
        </w:rPr>
        <w:t>(f)</w:t>
      </w:r>
      <w:r w:rsidR="00922EF8">
        <w:rPr>
          <w:rFonts w:eastAsia="Times New Roman"/>
          <w:lang w:val="en-GB"/>
        </w:rPr>
        <w:t xml:space="preserve"> </w:t>
      </w:r>
      <w:r w:rsidRPr="003C096B" w:rsidR="00FC53DD">
        <w:rPr>
          <w:rFonts w:eastAsia="Times New Roman"/>
          <w:lang w:val="en-GB"/>
        </w:rPr>
        <w:t>requires</w:t>
      </w:r>
      <w:r w:rsidR="00922EF8">
        <w:rPr>
          <w:rFonts w:eastAsia="Times New Roman"/>
          <w:lang w:val="en-GB"/>
        </w:rPr>
        <w:t>,</w:t>
      </w:r>
      <w:r w:rsidRPr="003C096B" w:rsidR="00FC53DD">
        <w:rPr>
          <w:rFonts w:eastAsia="Times New Roman"/>
          <w:lang w:val="en-GB"/>
        </w:rPr>
        <w:t xml:space="preserve"> in addition</w:t>
      </w:r>
      <w:r w:rsidR="00922EF8">
        <w:rPr>
          <w:rFonts w:eastAsia="Times New Roman"/>
          <w:lang w:val="en-GB"/>
        </w:rPr>
        <w:t>,</w:t>
      </w:r>
      <w:r w:rsidRPr="003C096B" w:rsidR="00FC53DD">
        <w:rPr>
          <w:rFonts w:eastAsia="Times New Roman"/>
          <w:lang w:val="en-GB"/>
        </w:rPr>
        <w:t xml:space="preserve"> that any deprivation of liberty should be in keeping with the purpose of protecting the individual from arbitrariness </w:t>
      </w:r>
      <w:r w:rsidRPr="003C096B">
        <w:rPr>
          <w:rFonts w:eastAsia="Times New Roman"/>
          <w:lang w:val="en-GB"/>
        </w:rPr>
        <w:t>(</w:t>
      </w:r>
      <w:r w:rsidRPr="003C096B" w:rsidR="00FC53DD">
        <w:rPr>
          <w:rFonts w:eastAsia="Times New Roman"/>
          <w:lang w:val="en-GB"/>
        </w:rPr>
        <w:t>see, among many other authorities</w:t>
      </w:r>
      <w:r w:rsidRPr="003C096B">
        <w:rPr>
          <w:rFonts w:eastAsia="Times New Roman"/>
          <w:lang w:val="en-GB"/>
        </w:rPr>
        <w:t xml:space="preserve">, </w:t>
      </w:r>
      <w:proofErr w:type="spellStart"/>
      <w:r w:rsidRPr="003C096B">
        <w:rPr>
          <w:i/>
          <w:lang w:val="en-GB"/>
        </w:rPr>
        <w:t>Winterwerp</w:t>
      </w:r>
      <w:proofErr w:type="spellEnd"/>
      <w:r w:rsidRPr="003C096B">
        <w:rPr>
          <w:i/>
          <w:lang w:val="en-GB"/>
        </w:rPr>
        <w:t xml:space="preserve"> </w:t>
      </w:r>
      <w:r w:rsidRPr="003C096B" w:rsidR="00FC53DD">
        <w:rPr>
          <w:i/>
          <w:lang w:val="en-GB"/>
        </w:rPr>
        <w:t>v</w:t>
      </w:r>
      <w:r w:rsidRPr="003C096B">
        <w:rPr>
          <w:i/>
          <w:lang w:val="en-GB"/>
        </w:rPr>
        <w:t xml:space="preserve">. </w:t>
      </w:r>
      <w:r w:rsidRPr="003C096B" w:rsidR="00FC53DD">
        <w:rPr>
          <w:i/>
          <w:lang w:val="en-GB"/>
        </w:rPr>
        <w:t>the</w:t>
      </w:r>
      <w:r w:rsidRPr="003C096B" w:rsidR="00FC53DD">
        <w:rPr>
          <w:rFonts w:ascii="Times New Roman" w:hAnsi="Times New Roman" w:eastAsia="Times New Roman" w:cs="Times New Roman"/>
          <w:i/>
          <w:szCs w:val="20"/>
          <w:lang w:val="en-GB"/>
        </w:rPr>
        <w:t xml:space="preserve"> Netherlands</w:t>
      </w:r>
      <w:r w:rsidRPr="003C096B">
        <w:rPr>
          <w:lang w:val="en-GB"/>
        </w:rPr>
        <w:t xml:space="preserve">, 24 </w:t>
      </w:r>
      <w:r w:rsidRPr="003C096B" w:rsidR="00FC53DD">
        <w:rPr>
          <w:lang w:val="en-GB"/>
        </w:rPr>
        <w:t>October</w:t>
      </w:r>
      <w:r w:rsidRPr="003C096B">
        <w:rPr>
          <w:lang w:val="en-GB"/>
        </w:rPr>
        <w:t xml:space="preserve"> 1979, § 37, </w:t>
      </w:r>
      <w:r w:rsidRPr="003C096B" w:rsidR="00FC53DD">
        <w:rPr>
          <w:lang w:val="en-GB"/>
        </w:rPr>
        <w:t>Series</w:t>
      </w:r>
      <w:r w:rsidRPr="003C096B">
        <w:rPr>
          <w:lang w:val="en-GB"/>
        </w:rPr>
        <w:t xml:space="preserve"> A </w:t>
      </w:r>
      <w:r w:rsidRPr="003C096B" w:rsidR="00FC53DD">
        <w:rPr>
          <w:lang w:val="en-GB"/>
        </w:rPr>
        <w:t>no.</w:t>
      </w:r>
      <w:r w:rsidRPr="003C096B">
        <w:rPr>
          <w:lang w:val="en-GB"/>
        </w:rPr>
        <w:t xml:space="preserve"> 33</w:t>
      </w:r>
      <w:r w:rsidRPr="003C096B" w:rsidR="00284272">
        <w:rPr>
          <w:rFonts w:eastAsia="Times New Roman"/>
          <w:lang w:val="en-GB"/>
        </w:rPr>
        <w:t>;</w:t>
      </w:r>
      <w:r w:rsidRPr="003C096B">
        <w:rPr>
          <w:rFonts w:eastAsia="Times New Roman"/>
          <w:lang w:val="en-GB"/>
        </w:rPr>
        <w:t xml:space="preserve"> </w:t>
      </w:r>
      <w:proofErr w:type="spellStart"/>
      <w:r w:rsidRPr="003C096B">
        <w:rPr>
          <w:i/>
          <w:lang w:val="en-GB"/>
        </w:rPr>
        <w:t>Amuur</w:t>
      </w:r>
      <w:proofErr w:type="spellEnd"/>
      <w:r w:rsidR="00A44A68">
        <w:rPr>
          <w:i/>
          <w:lang w:val="en-GB"/>
        </w:rPr>
        <w:t xml:space="preserve"> </w:t>
      </w:r>
      <w:r w:rsidRPr="003C096B" w:rsidR="00FC53DD">
        <w:rPr>
          <w:i/>
          <w:lang w:val="en-GB"/>
        </w:rPr>
        <w:t>v</w:t>
      </w:r>
      <w:r w:rsidRPr="003C096B">
        <w:rPr>
          <w:i/>
          <w:lang w:val="en-GB"/>
        </w:rPr>
        <w:t>.</w:t>
      </w:r>
      <w:r w:rsidR="00A44A68">
        <w:rPr>
          <w:i/>
          <w:lang w:val="en-GB"/>
        </w:rPr>
        <w:t xml:space="preserve"> </w:t>
      </w:r>
      <w:r w:rsidRPr="003C096B">
        <w:rPr>
          <w:i/>
          <w:lang w:val="en-GB"/>
        </w:rPr>
        <w:t>France</w:t>
      </w:r>
      <w:r w:rsidRPr="003C096B">
        <w:rPr>
          <w:lang w:val="en-GB"/>
        </w:rPr>
        <w:t xml:space="preserve">, 25 </w:t>
      </w:r>
      <w:r w:rsidRPr="003C096B" w:rsidR="00FC53DD">
        <w:rPr>
          <w:lang w:val="en-GB"/>
        </w:rPr>
        <w:t>June</w:t>
      </w:r>
      <w:r w:rsidRPr="003C096B">
        <w:rPr>
          <w:lang w:val="en-GB"/>
        </w:rPr>
        <w:t xml:space="preserve"> 1996, § 50, </w:t>
      </w:r>
      <w:r w:rsidRPr="003C096B">
        <w:rPr>
          <w:i/>
          <w:lang w:val="en-GB"/>
        </w:rPr>
        <w:t>Re</w:t>
      </w:r>
      <w:r w:rsidRPr="003C096B" w:rsidR="00FC53DD">
        <w:rPr>
          <w:i/>
          <w:lang w:val="en-GB"/>
        </w:rPr>
        <w:t>ports</w:t>
      </w:r>
      <w:r w:rsidRPr="003C096B">
        <w:rPr>
          <w:lang w:val="en-GB"/>
        </w:rPr>
        <w:t xml:space="preserve"> 1996</w:t>
      </w:r>
      <w:r w:rsidRPr="003C096B">
        <w:rPr>
          <w:lang w:val="en-GB"/>
        </w:rPr>
        <w:noBreakHyphen/>
        <w:t>III</w:t>
      </w:r>
      <w:r w:rsidRPr="003C096B" w:rsidR="00284272">
        <w:rPr>
          <w:rFonts w:eastAsia="Times New Roman"/>
          <w:lang w:val="en-GB"/>
        </w:rPr>
        <w:t>;</w:t>
      </w:r>
      <w:r w:rsidRPr="003C096B">
        <w:rPr>
          <w:rFonts w:eastAsia="Times New Roman"/>
          <w:lang w:val="en-GB"/>
        </w:rPr>
        <w:t xml:space="preserve"> </w:t>
      </w:r>
      <w:r w:rsidRPr="003C096B" w:rsidR="00FC53DD">
        <w:rPr>
          <w:rFonts w:eastAsia="Times New Roman"/>
          <w:lang w:val="en-GB"/>
        </w:rPr>
        <w:t>and</w:t>
      </w:r>
      <w:r w:rsidRPr="003C096B">
        <w:rPr>
          <w:rFonts w:eastAsia="Times New Roman"/>
          <w:lang w:val="en-GB"/>
        </w:rPr>
        <w:t xml:space="preserve"> </w:t>
      </w:r>
      <w:proofErr w:type="spellStart"/>
      <w:r w:rsidRPr="003C096B">
        <w:rPr>
          <w:rFonts w:eastAsia="Times New Roman"/>
          <w:i/>
          <w:lang w:val="en-GB"/>
        </w:rPr>
        <w:t>Witold</w:t>
      </w:r>
      <w:proofErr w:type="spellEnd"/>
      <w:r w:rsidR="00A44A68">
        <w:rPr>
          <w:rFonts w:eastAsia="Times New Roman"/>
          <w:i/>
          <w:lang w:val="en-GB"/>
        </w:rPr>
        <w:t xml:space="preserve"> </w:t>
      </w:r>
      <w:proofErr w:type="spellStart"/>
      <w:r w:rsidRPr="003C096B">
        <w:rPr>
          <w:rFonts w:eastAsia="Times New Roman"/>
          <w:i/>
          <w:lang w:val="en-GB"/>
        </w:rPr>
        <w:t>Litwa</w:t>
      </w:r>
      <w:proofErr w:type="spellEnd"/>
      <w:r w:rsidR="00A44A68">
        <w:rPr>
          <w:rFonts w:eastAsia="Times New Roman"/>
          <w:i/>
          <w:lang w:val="en-GB"/>
        </w:rPr>
        <w:t xml:space="preserve"> </w:t>
      </w:r>
      <w:r w:rsidRPr="003C096B" w:rsidR="00FC53DD">
        <w:rPr>
          <w:rFonts w:eastAsia="Times New Roman"/>
          <w:i/>
          <w:lang w:val="en-GB"/>
        </w:rPr>
        <w:t>v</w:t>
      </w:r>
      <w:r w:rsidRPr="003C096B">
        <w:rPr>
          <w:rFonts w:eastAsia="Times New Roman"/>
          <w:i/>
          <w:lang w:val="en-GB"/>
        </w:rPr>
        <w:t>.</w:t>
      </w:r>
      <w:r w:rsidR="00A44A68">
        <w:rPr>
          <w:rFonts w:eastAsia="Times New Roman"/>
          <w:i/>
          <w:lang w:val="en-GB"/>
        </w:rPr>
        <w:t xml:space="preserve"> </w:t>
      </w:r>
      <w:r w:rsidRPr="003C096B">
        <w:rPr>
          <w:rFonts w:eastAsia="Times New Roman"/>
          <w:i/>
          <w:lang w:val="en-GB"/>
        </w:rPr>
        <w:t>Pol</w:t>
      </w:r>
      <w:r w:rsidRPr="003C096B" w:rsidR="00FC53DD">
        <w:rPr>
          <w:rFonts w:eastAsia="Times New Roman"/>
          <w:i/>
          <w:lang w:val="en-GB"/>
        </w:rPr>
        <w:t>and</w:t>
      </w:r>
      <w:r w:rsidRPr="003C096B">
        <w:rPr>
          <w:rFonts w:eastAsia="Times New Roman"/>
          <w:lang w:val="en-GB"/>
        </w:rPr>
        <w:t xml:space="preserve">, </w:t>
      </w:r>
      <w:r w:rsidRPr="003C096B" w:rsidR="00FC53DD">
        <w:rPr>
          <w:rFonts w:eastAsia="Times New Roman"/>
          <w:lang w:val="en-GB"/>
        </w:rPr>
        <w:t>no.</w:t>
      </w:r>
      <w:r w:rsidRPr="003C096B">
        <w:rPr>
          <w:rFonts w:eastAsia="Times New Roman"/>
          <w:lang w:val="en-GB"/>
        </w:rPr>
        <w:t xml:space="preserve"> 26629/95, § 78, </w:t>
      </w:r>
      <w:r w:rsidRPr="003C096B" w:rsidR="00402C40">
        <w:rPr>
          <w:rFonts w:eastAsia="Times New Roman"/>
          <w:lang w:val="en-GB"/>
        </w:rPr>
        <w:t>ECHR</w:t>
      </w:r>
      <w:r w:rsidRPr="003C096B">
        <w:rPr>
          <w:rFonts w:eastAsia="Times New Roman"/>
          <w:lang w:val="en-GB"/>
        </w:rPr>
        <w:t xml:space="preserve"> 2000</w:t>
      </w:r>
      <w:r w:rsidRPr="003C096B">
        <w:rPr>
          <w:rFonts w:ascii="MS Mincho" w:hAnsi="MS Mincho" w:eastAsia="MS Mincho" w:cs="MS Mincho"/>
          <w:lang w:val="en-GB"/>
        </w:rPr>
        <w:t>‑</w:t>
      </w:r>
      <w:r w:rsidRPr="003C096B" w:rsidR="00FC53DD">
        <w:rPr>
          <w:rFonts w:eastAsia="Times New Roman"/>
          <w:lang w:val="en-GB"/>
        </w:rPr>
        <w:t>III). It is a fundamental principle that no detention which is arbitrary can be compatible with Article 5 § 1</w:t>
      </w:r>
      <w:r w:rsidRPr="003C096B" w:rsidR="00284272">
        <w:rPr>
          <w:rFonts w:eastAsia="Times New Roman"/>
          <w:lang w:val="en-GB"/>
        </w:rPr>
        <w:t>,</w:t>
      </w:r>
      <w:r w:rsidRPr="003C096B" w:rsidR="00FC53DD">
        <w:rPr>
          <w:rFonts w:eastAsia="Times New Roman"/>
          <w:lang w:val="en-GB"/>
        </w:rPr>
        <w:t xml:space="preserve"> and the notion of “arbitrariness” in Article 5 § 1 extends beyond </w:t>
      </w:r>
      <w:r w:rsidR="00FE5AF2">
        <w:rPr>
          <w:rFonts w:eastAsia="Times New Roman"/>
          <w:lang w:val="en-GB"/>
        </w:rPr>
        <w:t xml:space="preserve">a </w:t>
      </w:r>
      <w:r w:rsidRPr="003C096B" w:rsidR="00FC53DD">
        <w:rPr>
          <w:rFonts w:eastAsia="Times New Roman"/>
          <w:lang w:val="en-GB"/>
        </w:rPr>
        <w:t xml:space="preserve">lack of conformity with national law, such that </w:t>
      </w:r>
      <w:r w:rsidR="00FE5AF2">
        <w:rPr>
          <w:rFonts w:eastAsia="Times New Roman"/>
          <w:lang w:val="en-GB"/>
        </w:rPr>
        <w:t xml:space="preserve">a </w:t>
      </w:r>
      <w:r w:rsidRPr="003C096B" w:rsidR="00FC53DD">
        <w:rPr>
          <w:rFonts w:eastAsia="Times New Roman"/>
          <w:lang w:val="en-GB"/>
        </w:rPr>
        <w:t>deprivation of liberty may be lawful in terms of domestic law but still arbitrary and thus incompatible with the Convention</w:t>
      </w:r>
      <w:r w:rsidRPr="003C096B">
        <w:rPr>
          <w:rFonts w:eastAsia="Times New Roman"/>
          <w:lang w:val="en-GB"/>
        </w:rPr>
        <w:t xml:space="preserve"> (</w:t>
      </w:r>
      <w:r w:rsidRPr="003C096B" w:rsidR="00FC53DD">
        <w:rPr>
          <w:rFonts w:eastAsia="Times New Roman"/>
          <w:lang w:val="en-GB"/>
        </w:rPr>
        <w:t xml:space="preserve">see </w:t>
      </w:r>
      <w:proofErr w:type="spellStart"/>
      <w:r w:rsidRPr="003C096B">
        <w:rPr>
          <w:i/>
          <w:lang w:val="en-GB"/>
        </w:rPr>
        <w:t>Saadi</w:t>
      </w:r>
      <w:proofErr w:type="spellEnd"/>
      <w:r w:rsidRPr="003C096B">
        <w:rPr>
          <w:lang w:val="en-GB"/>
        </w:rPr>
        <w:t xml:space="preserve">, </w:t>
      </w:r>
      <w:r w:rsidRPr="003C096B" w:rsidR="00FC53DD">
        <w:rPr>
          <w:rStyle w:val="JuParaCar"/>
          <w:lang w:val="en-GB"/>
        </w:rPr>
        <w:t>cited above</w:t>
      </w:r>
      <w:r w:rsidRPr="003C096B">
        <w:rPr>
          <w:lang w:val="en-GB"/>
        </w:rPr>
        <w:t>, § 67,</w:t>
      </w:r>
      <w:r w:rsidRPr="003C096B">
        <w:rPr>
          <w:rFonts w:eastAsia="Times New Roman"/>
          <w:lang w:val="en-GB"/>
        </w:rPr>
        <w:t xml:space="preserve"> </w:t>
      </w:r>
      <w:r w:rsidRPr="003C096B" w:rsidR="00FC53DD">
        <w:rPr>
          <w:rFonts w:eastAsia="Times New Roman"/>
          <w:lang w:val="en-GB"/>
        </w:rPr>
        <w:t>and</w:t>
      </w:r>
      <w:r w:rsidRPr="003C096B">
        <w:rPr>
          <w:rFonts w:eastAsia="Times New Roman"/>
          <w:lang w:val="en-GB"/>
        </w:rPr>
        <w:t xml:space="preserve"> </w:t>
      </w:r>
      <w:proofErr w:type="spellStart"/>
      <w:r w:rsidRPr="003C096B">
        <w:rPr>
          <w:i/>
          <w:snapToGrid w:val="0"/>
          <w:lang w:val="en-GB"/>
        </w:rPr>
        <w:t>Suso</w:t>
      </w:r>
      <w:proofErr w:type="spellEnd"/>
      <w:r w:rsidRPr="003C096B">
        <w:rPr>
          <w:i/>
          <w:snapToGrid w:val="0"/>
          <w:lang w:val="en-GB"/>
        </w:rPr>
        <w:t xml:space="preserve"> Musa</w:t>
      </w:r>
      <w:r w:rsidRPr="003C096B">
        <w:rPr>
          <w:snapToGrid w:val="0"/>
          <w:lang w:val="en-GB"/>
        </w:rPr>
        <w:t xml:space="preserve"> </w:t>
      </w:r>
      <w:r w:rsidRPr="003C096B" w:rsidR="00FC53DD">
        <w:rPr>
          <w:i/>
          <w:snapToGrid w:val="0"/>
          <w:lang w:val="en-GB"/>
        </w:rPr>
        <w:t>v</w:t>
      </w:r>
      <w:r w:rsidRPr="003C096B">
        <w:rPr>
          <w:i/>
          <w:snapToGrid w:val="0"/>
          <w:lang w:val="en-GB"/>
        </w:rPr>
        <w:t>. Malt</w:t>
      </w:r>
      <w:r w:rsidRPr="003C096B" w:rsidR="00FC53DD">
        <w:rPr>
          <w:i/>
          <w:snapToGrid w:val="0"/>
          <w:lang w:val="en-GB"/>
        </w:rPr>
        <w:t>a</w:t>
      </w:r>
      <w:r w:rsidRPr="003C096B">
        <w:rPr>
          <w:snapToGrid w:val="0"/>
          <w:lang w:val="en-GB"/>
        </w:rPr>
        <w:t xml:space="preserve">, </w:t>
      </w:r>
      <w:r w:rsidRPr="003C096B" w:rsidR="00FC53DD">
        <w:rPr>
          <w:snapToGrid w:val="0"/>
          <w:lang w:val="en-GB"/>
        </w:rPr>
        <w:t>no.</w:t>
      </w:r>
      <w:r w:rsidRPr="003C096B">
        <w:rPr>
          <w:snapToGrid w:val="0"/>
          <w:lang w:val="en-GB"/>
        </w:rPr>
        <w:t xml:space="preserve"> 42337/12, § 92, 23 </w:t>
      </w:r>
      <w:r w:rsidRPr="003C096B" w:rsidR="00FC53DD">
        <w:rPr>
          <w:snapToGrid w:val="0"/>
          <w:lang w:val="en-GB"/>
        </w:rPr>
        <w:t>July</w:t>
      </w:r>
      <w:r w:rsidRPr="003C096B">
        <w:rPr>
          <w:snapToGrid w:val="0"/>
          <w:lang w:val="en-GB"/>
        </w:rPr>
        <w:t xml:space="preserve"> 2013).</w:t>
      </w:r>
    </w:p>
    <w:p w:rsidRPr="003C096B" w:rsidR="004F659D" w:rsidP="003C096B" w:rsidRDefault="004F659D">
      <w:pPr>
        <w:ind w:firstLine="284"/>
        <w:rPr>
          <w:rFonts w:ascii="Times New Roman" w:hAnsi="Times New Roman" w:eastAsia="Times New Roman" w:cs="Times New Roman"/>
          <w:lang w:val="en-GB"/>
        </w:rPr>
      </w:pPr>
      <w:r w:rsidRPr="003C096B">
        <w:rPr>
          <w:rFonts w:ascii="Times New Roman" w:hAnsi="Times New Roman" w:eastAsia="Times New Roman" w:cs="Times New Roman"/>
          <w:lang w:val="en-GB"/>
        </w:rPr>
        <w:fldChar w:fldCharType="begin"/>
      </w:r>
      <w:r w:rsidRPr="003C096B">
        <w:rPr>
          <w:rFonts w:ascii="Times New Roman" w:hAnsi="Times New Roman" w:eastAsia="Times New Roman" w:cs="Times New Roman"/>
          <w:lang w:val="en-GB"/>
        </w:rPr>
        <w:instrText xml:space="preserve"> SEQ level0 \*arabic </w:instrText>
      </w:r>
      <w:r w:rsidRPr="003C096B">
        <w:rPr>
          <w:rFonts w:ascii="Times New Roman" w:hAnsi="Times New Roman" w:eastAsia="Times New Roman" w:cs="Times New Roman"/>
          <w:lang w:val="en-GB"/>
        </w:rPr>
        <w:fldChar w:fldCharType="separate"/>
      </w:r>
      <w:r w:rsidRPr="003C096B" w:rsidR="00AD4A1A">
        <w:rPr>
          <w:rFonts w:ascii="Times New Roman" w:hAnsi="Times New Roman" w:eastAsia="Times New Roman" w:cs="Times New Roman"/>
          <w:lang w:val="en-GB"/>
        </w:rPr>
        <w:t>40</w:t>
      </w:r>
      <w:r w:rsidRPr="003C096B">
        <w:rPr>
          <w:rFonts w:ascii="Times New Roman" w:hAnsi="Times New Roman" w:eastAsia="Times New Roman" w:cs="Times New Roman"/>
          <w:lang w:val="en-GB"/>
        </w:rPr>
        <w:fldChar w:fldCharType="end"/>
      </w:r>
      <w:r w:rsidRPr="003C096B">
        <w:rPr>
          <w:rFonts w:ascii="Times New Roman" w:hAnsi="Times New Roman" w:eastAsia="Times New Roman" w:cs="Times New Roman"/>
          <w:lang w:val="en-GB"/>
        </w:rPr>
        <w:t>.  </w:t>
      </w:r>
      <w:r w:rsidRPr="003C096B" w:rsidR="00FC53DD">
        <w:rPr>
          <w:rFonts w:ascii="Times New Roman" w:hAnsi="Times New Roman" w:eastAsia="Times New Roman" w:cs="Times New Roman"/>
          <w:lang w:val="en-GB"/>
        </w:rPr>
        <w:t>The Court would further reiterate that any deprivation of liberty under Article 5 § 1 (f) will be justified only for as long as extradition proceedings are in progress and that</w:t>
      </w:r>
      <w:r w:rsidR="00FE5AF2">
        <w:rPr>
          <w:rFonts w:ascii="Times New Roman" w:hAnsi="Times New Roman" w:eastAsia="Times New Roman" w:cs="Times New Roman"/>
          <w:lang w:val="en-GB"/>
        </w:rPr>
        <w:t>,</w:t>
      </w:r>
      <w:r w:rsidRPr="003C096B" w:rsidR="00FC53DD">
        <w:rPr>
          <w:rFonts w:ascii="Times New Roman" w:hAnsi="Times New Roman" w:eastAsia="Times New Roman" w:cs="Times New Roman"/>
          <w:lang w:val="en-GB"/>
        </w:rPr>
        <w:t xml:space="preserve"> if those proceedings are not prosecuted with due diligence, the detention will cease to be permissible</w:t>
      </w:r>
      <w:r w:rsidRPr="003C096B">
        <w:rPr>
          <w:rFonts w:ascii="Times New Roman" w:hAnsi="Times New Roman" w:eastAsia="Times New Roman" w:cs="Times New Roman"/>
          <w:lang w:val="en-GB"/>
        </w:rPr>
        <w:t xml:space="preserve"> (</w:t>
      </w:r>
      <w:r w:rsidRPr="003C096B" w:rsidR="00FC53DD">
        <w:rPr>
          <w:rFonts w:ascii="Times New Roman" w:hAnsi="Times New Roman" w:eastAsia="Times New Roman" w:cs="Times New Roman"/>
          <w:lang w:val="en-GB"/>
        </w:rPr>
        <w:t xml:space="preserve">see </w:t>
      </w:r>
      <w:r w:rsidRPr="003C096B">
        <w:rPr>
          <w:i/>
          <w:lang w:val="en-GB"/>
        </w:rPr>
        <w:t>Quinn,</w:t>
      </w:r>
      <w:r w:rsidRPr="003C096B">
        <w:rPr>
          <w:lang w:val="en-GB"/>
        </w:rPr>
        <w:t xml:space="preserve"> </w:t>
      </w:r>
      <w:r w:rsidRPr="003C096B" w:rsidR="00FC53DD">
        <w:rPr>
          <w:rStyle w:val="JuParaCar"/>
          <w:lang w:val="en-GB"/>
        </w:rPr>
        <w:t>cited above</w:t>
      </w:r>
      <w:r w:rsidRPr="003C096B">
        <w:rPr>
          <w:lang w:val="en-GB"/>
        </w:rPr>
        <w:t>, § 48</w:t>
      </w:r>
      <w:r w:rsidRPr="003C096B" w:rsidR="00FC53DD">
        <w:rPr>
          <w:lang w:val="en-GB"/>
        </w:rPr>
        <w:t>, and</w:t>
      </w:r>
      <w:r w:rsidRPr="003C096B">
        <w:rPr>
          <w:lang w:val="en-GB"/>
        </w:rPr>
        <w:t xml:space="preserve"> </w:t>
      </w:r>
      <w:proofErr w:type="spellStart"/>
      <w:r w:rsidRPr="003C096B">
        <w:rPr>
          <w:rFonts w:ascii="Times New Roman" w:hAnsi="Times New Roman" w:eastAsia="Times New Roman" w:cs="Times New Roman"/>
          <w:i/>
          <w:lang w:val="en-GB"/>
        </w:rPr>
        <w:t>Chahal</w:t>
      </w:r>
      <w:proofErr w:type="spellEnd"/>
      <w:r w:rsidRPr="002414DD">
        <w:rPr>
          <w:rFonts w:ascii="Times New Roman" w:hAnsi="Times New Roman" w:eastAsia="Times New Roman" w:cs="Times New Roman"/>
          <w:lang w:val="en-GB"/>
        </w:rPr>
        <w:t>,</w:t>
      </w:r>
      <w:r w:rsidRPr="003C096B">
        <w:rPr>
          <w:rFonts w:ascii="Times New Roman" w:hAnsi="Times New Roman" w:eastAsia="Times New Roman" w:cs="Times New Roman"/>
          <w:i/>
          <w:lang w:val="en-GB"/>
        </w:rPr>
        <w:t xml:space="preserve"> </w:t>
      </w:r>
      <w:r w:rsidRPr="003C096B" w:rsidR="00FC53DD">
        <w:rPr>
          <w:rStyle w:val="JuParaCar"/>
          <w:rFonts w:ascii="Times New Roman" w:hAnsi="Times New Roman" w:eastAsia="Times New Roman" w:cs="Times New Roman"/>
          <w:lang w:val="en-GB"/>
        </w:rPr>
        <w:t>cited above</w:t>
      </w:r>
      <w:r w:rsidRPr="003C096B">
        <w:rPr>
          <w:rFonts w:ascii="Times New Roman" w:hAnsi="Times New Roman" w:eastAsia="Times New Roman" w:cs="Times New Roman"/>
          <w:lang w:val="en-GB"/>
        </w:rPr>
        <w:t>, § 113).</w:t>
      </w:r>
    </w:p>
    <w:p w:rsidRPr="003C096B" w:rsidR="004F659D" w:rsidP="003C096B" w:rsidRDefault="004F659D">
      <w:pPr>
        <w:ind w:firstLine="284"/>
        <w:rPr>
          <w:rFonts w:eastAsia="Times New Roman"/>
          <w:i/>
          <w:szCs w:val="24"/>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41</w:t>
      </w:r>
      <w:r w:rsidRPr="003C096B">
        <w:rPr>
          <w:rFonts w:eastAsia="Times New Roman"/>
          <w:lang w:val="en-GB"/>
        </w:rPr>
        <w:fldChar w:fldCharType="end"/>
      </w:r>
      <w:r w:rsidRPr="003C096B">
        <w:rPr>
          <w:rFonts w:eastAsia="Times New Roman"/>
          <w:lang w:val="en-GB"/>
        </w:rPr>
        <w:t>.  </w:t>
      </w:r>
      <w:r w:rsidRPr="003C096B" w:rsidR="0096452F">
        <w:rPr>
          <w:rFonts w:eastAsia="Times New Roman"/>
          <w:lang w:val="en-GB"/>
        </w:rPr>
        <w:t>The Court thus has the task not of assessing whether the length of the</w:t>
      </w:r>
      <w:r w:rsidRPr="003C096B">
        <w:rPr>
          <w:rFonts w:eastAsia="Times New Roman"/>
          <w:lang w:val="en-GB"/>
        </w:rPr>
        <w:t xml:space="preserve"> extradition </w:t>
      </w:r>
      <w:r w:rsidRPr="003C096B" w:rsidR="0074414F">
        <w:rPr>
          <w:rFonts w:eastAsia="Times New Roman"/>
          <w:lang w:val="en-GB"/>
        </w:rPr>
        <w:t>proceedings</w:t>
      </w:r>
      <w:r w:rsidRPr="003C096B" w:rsidR="00A7537F">
        <w:rPr>
          <w:rFonts w:eastAsia="Times New Roman"/>
          <w:lang w:val="en-GB"/>
        </w:rPr>
        <w:t xml:space="preserve"> w</w:t>
      </w:r>
      <w:r w:rsidRPr="003C096B" w:rsidR="00284272">
        <w:rPr>
          <w:rFonts w:eastAsia="Times New Roman"/>
          <w:lang w:val="en-GB"/>
        </w:rPr>
        <w:t>as</w:t>
      </w:r>
      <w:r w:rsidRPr="003C096B" w:rsidR="00A7537F">
        <w:rPr>
          <w:rFonts w:eastAsia="Times New Roman"/>
          <w:lang w:val="en-GB"/>
        </w:rPr>
        <w:t xml:space="preserve"> reasonable as a whole</w:t>
      </w:r>
      <w:r w:rsidRPr="003C096B">
        <w:rPr>
          <w:rFonts w:eastAsia="Times New Roman"/>
          <w:lang w:val="en-GB"/>
        </w:rPr>
        <w:t xml:space="preserve">, </w:t>
      </w:r>
      <w:r w:rsidRPr="003C096B" w:rsidR="00A7537F">
        <w:rPr>
          <w:rFonts w:eastAsia="Times New Roman"/>
          <w:lang w:val="en-GB"/>
        </w:rPr>
        <w:t>as it would do more specifically in length of proceedings cases under A</w:t>
      </w:r>
      <w:r w:rsidRPr="003C096B">
        <w:rPr>
          <w:rFonts w:eastAsia="Times New Roman"/>
          <w:lang w:val="en-GB"/>
        </w:rPr>
        <w:t xml:space="preserve">rticle 6, </w:t>
      </w:r>
      <w:r w:rsidRPr="003C096B" w:rsidR="00A7537F">
        <w:rPr>
          <w:rFonts w:eastAsia="Times New Roman"/>
          <w:lang w:val="en-GB"/>
        </w:rPr>
        <w:t>but of establishing</w:t>
      </w:r>
      <w:r w:rsidRPr="003C096B">
        <w:rPr>
          <w:rFonts w:eastAsia="Times New Roman"/>
          <w:lang w:val="en-GB"/>
        </w:rPr>
        <w:t xml:space="preserve">, </w:t>
      </w:r>
      <w:r w:rsidRPr="003C096B" w:rsidR="00A7537F">
        <w:rPr>
          <w:rFonts w:eastAsia="Times New Roman"/>
          <w:lang w:val="en-GB"/>
        </w:rPr>
        <w:t xml:space="preserve">regardless of the overall duration of the </w:t>
      </w:r>
      <w:r w:rsidRPr="003C096B" w:rsidR="0074414F">
        <w:rPr>
          <w:rFonts w:eastAsia="Times New Roman"/>
          <w:lang w:val="en-GB"/>
        </w:rPr>
        <w:t>proceedings</w:t>
      </w:r>
      <w:r w:rsidRPr="003C096B">
        <w:rPr>
          <w:rFonts w:eastAsia="Times New Roman"/>
          <w:lang w:val="en-GB"/>
        </w:rPr>
        <w:t xml:space="preserve">, </w:t>
      </w:r>
      <w:r w:rsidRPr="003C096B" w:rsidR="00A7537F">
        <w:rPr>
          <w:rFonts w:eastAsia="Times New Roman"/>
          <w:lang w:val="en-GB"/>
        </w:rPr>
        <w:t xml:space="preserve">whether </w:t>
      </w:r>
      <w:r w:rsidRPr="003C096B" w:rsidR="003F1C0F">
        <w:rPr>
          <w:rFonts w:eastAsia="Times New Roman"/>
          <w:lang w:val="en-GB"/>
        </w:rPr>
        <w:t>the length of the detention exceed</w:t>
      </w:r>
      <w:r w:rsidRPr="003C096B" w:rsidR="00A7537F">
        <w:rPr>
          <w:rFonts w:eastAsia="Times New Roman"/>
          <w:lang w:val="en-GB"/>
        </w:rPr>
        <w:t>ed</w:t>
      </w:r>
      <w:r w:rsidRPr="003C096B" w:rsidR="003F1C0F">
        <w:rPr>
          <w:rFonts w:eastAsia="Times New Roman"/>
          <w:lang w:val="en-GB"/>
        </w:rPr>
        <w:t xml:space="preserve"> that reasonably required for the purpose pursued</w:t>
      </w:r>
      <w:r w:rsidRPr="003C096B">
        <w:rPr>
          <w:rFonts w:eastAsia="Times New Roman"/>
          <w:lang w:val="en-GB"/>
        </w:rPr>
        <w:t xml:space="preserve"> (</w:t>
      </w:r>
      <w:r w:rsidRPr="003C096B" w:rsidR="00A7537F">
        <w:rPr>
          <w:rFonts w:eastAsia="Times New Roman"/>
          <w:lang w:val="en-GB"/>
        </w:rPr>
        <w:t xml:space="preserve">see </w:t>
      </w:r>
      <w:proofErr w:type="spellStart"/>
      <w:r w:rsidRPr="003C096B">
        <w:rPr>
          <w:rFonts w:eastAsia="Times New Roman"/>
          <w:i/>
          <w:lang w:val="en-GB"/>
        </w:rPr>
        <w:t>Saadi</w:t>
      </w:r>
      <w:proofErr w:type="spellEnd"/>
      <w:r w:rsidRPr="003C096B">
        <w:rPr>
          <w:rFonts w:eastAsia="Times New Roman"/>
          <w:lang w:val="en-GB"/>
        </w:rPr>
        <w:t xml:space="preserve">, </w:t>
      </w:r>
      <w:r w:rsidRPr="003C096B" w:rsidR="00A7537F">
        <w:rPr>
          <w:rStyle w:val="JuParaCar"/>
          <w:rFonts w:eastAsia="Times New Roman"/>
          <w:lang w:val="en-GB"/>
        </w:rPr>
        <w:t>cited above</w:t>
      </w:r>
      <w:r w:rsidRPr="003C096B">
        <w:rPr>
          <w:rFonts w:eastAsia="Times New Roman"/>
          <w:i/>
          <w:lang w:val="en-GB"/>
        </w:rPr>
        <w:t xml:space="preserve">, </w:t>
      </w:r>
      <w:r w:rsidRPr="003C096B">
        <w:rPr>
          <w:rFonts w:eastAsia="Times New Roman"/>
          <w:lang w:val="en-GB"/>
        </w:rPr>
        <w:t xml:space="preserve">§§ 72-74). </w:t>
      </w:r>
      <w:r w:rsidRPr="003C096B" w:rsidR="00284272">
        <w:rPr>
          <w:rFonts w:eastAsia="Times New Roman"/>
          <w:lang w:val="en-GB"/>
        </w:rPr>
        <w:t>W</w:t>
      </w:r>
      <w:r w:rsidRPr="003C096B" w:rsidR="00A7537F">
        <w:rPr>
          <w:rFonts w:eastAsia="Times New Roman"/>
          <w:lang w:val="en-GB"/>
        </w:rPr>
        <w:t xml:space="preserve">here there have been periods of inaction on the part of the authorities, and therefore a lack of </w:t>
      </w:r>
      <w:r w:rsidR="008562B9">
        <w:rPr>
          <w:rFonts w:eastAsia="Times New Roman"/>
          <w:lang w:val="en-GB"/>
        </w:rPr>
        <w:t>expedition</w:t>
      </w:r>
      <w:r w:rsidRPr="003C096B">
        <w:rPr>
          <w:rFonts w:eastAsia="Times New Roman"/>
          <w:lang w:val="en-GB"/>
        </w:rPr>
        <w:t>,</w:t>
      </w:r>
      <w:r w:rsidRPr="003C096B" w:rsidR="00A7537F">
        <w:rPr>
          <w:rFonts w:eastAsia="Times New Roman"/>
          <w:lang w:val="en-GB"/>
        </w:rPr>
        <w:t xml:space="preserve"> the maintaining of the detention measure will cease to be justified. I</w:t>
      </w:r>
      <w:r w:rsidRPr="003C096B">
        <w:rPr>
          <w:rFonts w:eastAsia="Times New Roman"/>
          <w:lang w:val="en-GB"/>
        </w:rPr>
        <w:t xml:space="preserve">n conclusion, </w:t>
      </w:r>
      <w:r w:rsidRPr="003C096B" w:rsidR="00A7537F">
        <w:rPr>
          <w:rFonts w:eastAsia="Times New Roman"/>
          <w:lang w:val="en-GB"/>
        </w:rPr>
        <w:t>the</w:t>
      </w:r>
      <w:r w:rsidRPr="003C096B">
        <w:rPr>
          <w:rFonts w:eastAsia="Times New Roman"/>
          <w:lang w:val="en-GB"/>
        </w:rPr>
        <w:t xml:space="preserve"> Cour</w:t>
      </w:r>
      <w:r w:rsidRPr="003C096B" w:rsidR="00A7537F">
        <w:rPr>
          <w:rFonts w:eastAsia="Times New Roman"/>
          <w:lang w:val="en-GB"/>
        </w:rPr>
        <w:t>t must assess, on a case-by-case basis, whether or not, during the de</w:t>
      </w:r>
      <w:r w:rsidRPr="003C096B">
        <w:rPr>
          <w:rFonts w:eastAsia="Times New Roman"/>
          <w:lang w:val="en-GB"/>
        </w:rPr>
        <w:t xml:space="preserve">tention </w:t>
      </w:r>
      <w:r w:rsidRPr="003C096B" w:rsidR="00A7537F">
        <w:rPr>
          <w:rFonts w:eastAsia="Times New Roman"/>
          <w:lang w:val="en-GB"/>
        </w:rPr>
        <w:t>period in question</w:t>
      </w:r>
      <w:r w:rsidRPr="003C096B">
        <w:rPr>
          <w:rFonts w:eastAsia="Times New Roman"/>
          <w:lang w:val="en-GB"/>
        </w:rPr>
        <w:t xml:space="preserve">, </w:t>
      </w:r>
      <w:r w:rsidRPr="003C096B" w:rsidR="00A7537F">
        <w:rPr>
          <w:rFonts w:eastAsia="Times New Roman"/>
          <w:lang w:val="en-GB"/>
        </w:rPr>
        <w:t>the domestic authorities remained inactive at any time</w:t>
      </w:r>
      <w:r w:rsidRPr="003C096B">
        <w:rPr>
          <w:rFonts w:eastAsia="Times New Roman"/>
          <w:lang w:val="en-GB"/>
        </w:rPr>
        <w:t xml:space="preserve"> (</w:t>
      </w:r>
      <w:r w:rsidRPr="003C096B" w:rsidR="00A7537F">
        <w:rPr>
          <w:rFonts w:eastAsia="Times New Roman"/>
          <w:lang w:val="en-GB"/>
        </w:rPr>
        <w:t>see</w:t>
      </w:r>
      <w:r w:rsidRPr="003C096B">
        <w:rPr>
          <w:rFonts w:eastAsia="Times New Roman"/>
          <w:lang w:val="en-GB"/>
        </w:rPr>
        <w:t xml:space="preserve">, </w:t>
      </w:r>
      <w:r w:rsidRPr="003C096B" w:rsidR="00A7537F">
        <w:rPr>
          <w:rFonts w:eastAsia="Times New Roman"/>
          <w:lang w:val="en-GB"/>
        </w:rPr>
        <w:t>for a similar finding in a deportation case</w:t>
      </w:r>
      <w:r w:rsidRPr="003C096B">
        <w:rPr>
          <w:rFonts w:eastAsia="Times New Roman"/>
          <w:lang w:val="en-GB"/>
        </w:rPr>
        <w:t xml:space="preserve">, </w:t>
      </w:r>
      <w:proofErr w:type="spellStart"/>
      <w:r w:rsidRPr="003C096B">
        <w:rPr>
          <w:rFonts w:eastAsia="Times New Roman"/>
          <w:i/>
          <w:lang w:val="en-GB"/>
        </w:rPr>
        <w:t>Tabesh</w:t>
      </w:r>
      <w:proofErr w:type="spellEnd"/>
      <w:r w:rsidRPr="003C096B">
        <w:rPr>
          <w:rFonts w:eastAsia="Times New Roman"/>
          <w:i/>
          <w:lang w:val="en-GB"/>
        </w:rPr>
        <w:t xml:space="preserve"> </w:t>
      </w:r>
      <w:r w:rsidRPr="003C096B" w:rsidR="00A7537F">
        <w:rPr>
          <w:rFonts w:eastAsia="Times New Roman"/>
          <w:i/>
          <w:lang w:val="en-GB"/>
        </w:rPr>
        <w:t>v</w:t>
      </w:r>
      <w:r w:rsidRPr="003C096B">
        <w:rPr>
          <w:rFonts w:eastAsia="Times New Roman"/>
          <w:i/>
          <w:lang w:val="en-GB"/>
        </w:rPr>
        <w:t>. Gr</w:t>
      </w:r>
      <w:r w:rsidRPr="003C096B" w:rsidR="00A7537F">
        <w:rPr>
          <w:rFonts w:eastAsia="Times New Roman"/>
          <w:i/>
          <w:lang w:val="en-GB"/>
        </w:rPr>
        <w:t>ee</w:t>
      </w:r>
      <w:r w:rsidRPr="003C096B">
        <w:rPr>
          <w:rFonts w:eastAsia="Times New Roman"/>
          <w:i/>
          <w:lang w:val="en-GB"/>
        </w:rPr>
        <w:t>ce</w:t>
      </w:r>
      <w:r w:rsidRPr="003C096B">
        <w:rPr>
          <w:rFonts w:eastAsia="Times New Roman"/>
          <w:lang w:val="en-GB"/>
        </w:rPr>
        <w:t xml:space="preserve">, </w:t>
      </w:r>
      <w:r w:rsidRPr="003C096B" w:rsidR="00A7537F">
        <w:rPr>
          <w:rFonts w:eastAsia="Times New Roman"/>
          <w:lang w:val="en-GB"/>
        </w:rPr>
        <w:t>no.</w:t>
      </w:r>
      <w:r w:rsidRPr="003C096B">
        <w:rPr>
          <w:rFonts w:eastAsia="Times New Roman"/>
          <w:lang w:val="en-GB"/>
        </w:rPr>
        <w:t xml:space="preserve"> 8256/07</w:t>
      </w:r>
      <w:r w:rsidRPr="003C096B">
        <w:rPr>
          <w:rFonts w:eastAsia="Times New Roman"/>
          <w:snapToGrid w:val="0"/>
          <w:lang w:val="en-GB"/>
        </w:rPr>
        <w:t>, § 56, 26 </w:t>
      </w:r>
      <w:r w:rsidRPr="003C096B" w:rsidR="00A7537F">
        <w:rPr>
          <w:rFonts w:eastAsia="Times New Roman"/>
          <w:lang w:val="en-GB"/>
        </w:rPr>
        <w:t>November</w:t>
      </w:r>
      <w:r w:rsidRPr="003C096B">
        <w:rPr>
          <w:rFonts w:eastAsia="Times New Roman"/>
          <w:snapToGrid w:val="0"/>
          <w:lang w:val="en-GB"/>
        </w:rPr>
        <w:t xml:space="preserve"> 2009</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42</w:t>
      </w:r>
      <w:r w:rsidRPr="003C096B">
        <w:rPr>
          <w:rFonts w:eastAsia="Times New Roman"/>
          <w:lang w:val="en-GB"/>
        </w:rPr>
        <w:fldChar w:fldCharType="end"/>
      </w:r>
      <w:r w:rsidRPr="003C096B">
        <w:rPr>
          <w:rFonts w:eastAsia="Times New Roman"/>
          <w:lang w:val="en-GB"/>
        </w:rPr>
        <w:t>.  </w:t>
      </w:r>
      <w:r w:rsidRPr="003C096B" w:rsidR="00046FF2">
        <w:rPr>
          <w:rFonts w:eastAsia="Times New Roman"/>
          <w:lang w:val="en-GB"/>
        </w:rPr>
        <w:t>In the present case, the</w:t>
      </w:r>
      <w:r w:rsidRPr="003C096B">
        <w:rPr>
          <w:rFonts w:eastAsia="Times New Roman"/>
          <w:lang w:val="en-GB"/>
        </w:rPr>
        <w:t xml:space="preserve"> Cour</w:t>
      </w:r>
      <w:r w:rsidRPr="003C096B" w:rsidR="00046FF2">
        <w:rPr>
          <w:rFonts w:eastAsia="Times New Roman"/>
          <w:lang w:val="en-GB"/>
        </w:rPr>
        <w:t>t observes that the applicant was detained pending extradition</w:t>
      </w:r>
      <w:r w:rsidRPr="003C096B">
        <w:rPr>
          <w:rFonts w:eastAsia="Times New Roman"/>
          <w:lang w:val="en-GB"/>
        </w:rPr>
        <w:t xml:space="preserve"> </w:t>
      </w:r>
      <w:r w:rsidRPr="003C096B" w:rsidR="006A0595">
        <w:rPr>
          <w:rFonts w:eastAsia="Times New Roman"/>
          <w:lang w:val="en-GB"/>
        </w:rPr>
        <w:t>to enable the Greek authorities to prosecute him</w:t>
      </w:r>
      <w:r w:rsidRPr="003C096B">
        <w:rPr>
          <w:rFonts w:eastAsia="Times New Roman"/>
          <w:lang w:val="en-GB"/>
        </w:rPr>
        <w:t xml:space="preserve">. </w:t>
      </w:r>
      <w:r w:rsidRPr="003C096B" w:rsidR="006A0595">
        <w:rPr>
          <w:rFonts w:eastAsia="Times New Roman"/>
          <w:lang w:val="en-GB"/>
        </w:rPr>
        <w:t>In that connection the Court finds it necessary to distinguish between two forms of</w:t>
      </w:r>
      <w:r w:rsidRPr="003C096B">
        <w:rPr>
          <w:rFonts w:eastAsia="Times New Roman"/>
          <w:lang w:val="en-GB"/>
        </w:rPr>
        <w:t xml:space="preserve"> extradition</w:t>
      </w:r>
      <w:r w:rsidRPr="003C096B" w:rsidR="006A0595">
        <w:rPr>
          <w:rFonts w:eastAsia="Times New Roman"/>
          <w:lang w:val="en-GB"/>
        </w:rPr>
        <w:t xml:space="preserve"> in order to clarify the level of</w:t>
      </w:r>
      <w:r w:rsidRPr="003C096B">
        <w:rPr>
          <w:rFonts w:eastAsia="Times New Roman"/>
          <w:lang w:val="en-GB"/>
        </w:rPr>
        <w:t xml:space="preserve"> </w:t>
      </w:r>
      <w:r w:rsidR="008562B9">
        <w:rPr>
          <w:rFonts w:eastAsia="Times New Roman"/>
          <w:lang w:val="en-GB"/>
        </w:rPr>
        <w:t>promptness</w:t>
      </w:r>
      <w:r w:rsidRPr="003C096B">
        <w:rPr>
          <w:rFonts w:eastAsia="Times New Roman"/>
          <w:lang w:val="en-GB"/>
        </w:rPr>
        <w:t xml:space="preserve"> </w:t>
      </w:r>
      <w:r w:rsidRPr="003C096B" w:rsidR="006A0595">
        <w:rPr>
          <w:rFonts w:eastAsia="Times New Roman"/>
          <w:lang w:val="en-GB"/>
        </w:rPr>
        <w:t>required for each one:</w:t>
      </w:r>
      <w:r w:rsidRPr="003C096B">
        <w:rPr>
          <w:rFonts w:eastAsia="Times New Roman"/>
          <w:lang w:val="en-GB"/>
        </w:rPr>
        <w:t xml:space="preserve"> </w:t>
      </w:r>
      <w:r w:rsidRPr="003C096B" w:rsidR="006A0595">
        <w:rPr>
          <w:rFonts w:eastAsia="Times New Roman"/>
          <w:lang w:val="en-GB"/>
        </w:rPr>
        <w:t>first, where extradition is requested for the purpose of enforcing a sentence</w:t>
      </w:r>
      <w:r w:rsidRPr="003C096B">
        <w:rPr>
          <w:rFonts w:eastAsia="Times New Roman"/>
          <w:lang w:val="en-GB"/>
        </w:rPr>
        <w:t xml:space="preserve"> </w:t>
      </w:r>
      <w:r w:rsidRPr="003C096B" w:rsidR="006A0595">
        <w:rPr>
          <w:rFonts w:eastAsia="Times New Roman"/>
          <w:lang w:val="en-GB"/>
        </w:rPr>
        <w:t>and</w:t>
      </w:r>
      <w:r w:rsidRPr="003C096B">
        <w:rPr>
          <w:rFonts w:eastAsia="Times New Roman"/>
          <w:lang w:val="en-GB"/>
        </w:rPr>
        <w:t xml:space="preserve">, </w:t>
      </w:r>
      <w:r w:rsidRPr="003C096B" w:rsidR="006A0595">
        <w:rPr>
          <w:rFonts w:eastAsia="Times New Roman"/>
          <w:lang w:val="en-GB"/>
        </w:rPr>
        <w:t>second</w:t>
      </w:r>
      <w:r w:rsidRPr="003C096B">
        <w:rPr>
          <w:rFonts w:eastAsia="Times New Roman"/>
          <w:lang w:val="en-GB"/>
        </w:rPr>
        <w:t xml:space="preserve">, </w:t>
      </w:r>
      <w:r w:rsidRPr="003C096B" w:rsidR="006A0595">
        <w:rPr>
          <w:rFonts w:eastAsia="Times New Roman"/>
          <w:lang w:val="en-GB"/>
        </w:rPr>
        <w:t>where extradition will enable the requesting State to try the person concerned.</w:t>
      </w:r>
      <w:r w:rsidRPr="003C096B">
        <w:rPr>
          <w:rFonts w:eastAsia="Times New Roman"/>
          <w:lang w:val="en-GB"/>
        </w:rPr>
        <w:t xml:space="preserve"> </w:t>
      </w:r>
      <w:r w:rsidRPr="003C096B" w:rsidR="006A0595">
        <w:rPr>
          <w:rFonts w:eastAsia="Times New Roman"/>
          <w:lang w:val="en-GB"/>
        </w:rPr>
        <w:t>In the second situation, the criminal proceedings</w:t>
      </w:r>
      <w:r w:rsidRPr="003C096B">
        <w:rPr>
          <w:rFonts w:eastAsia="Times New Roman"/>
          <w:lang w:val="en-GB"/>
        </w:rPr>
        <w:t xml:space="preserve"> </w:t>
      </w:r>
      <w:r w:rsidRPr="003C096B" w:rsidR="006A0595">
        <w:rPr>
          <w:rFonts w:eastAsia="Times New Roman"/>
          <w:lang w:val="en-GB"/>
        </w:rPr>
        <w:t>are still pending and the person detained pending extradition must be presumed innocent</w:t>
      </w:r>
      <w:r w:rsidRPr="003C096B">
        <w:rPr>
          <w:rFonts w:eastAsia="Times New Roman"/>
          <w:lang w:val="en-GB"/>
        </w:rPr>
        <w:t xml:space="preserve">; </w:t>
      </w:r>
      <w:r w:rsidRPr="003C096B" w:rsidR="006A0595">
        <w:rPr>
          <w:rFonts w:eastAsia="Times New Roman"/>
          <w:lang w:val="en-GB"/>
        </w:rPr>
        <w:t>in addition, at that stage, the possibility for that person to exercise his or her defence rights during the criminal proceedings in order to prove his or her</w:t>
      </w:r>
      <w:r w:rsidRPr="003C096B">
        <w:rPr>
          <w:rFonts w:eastAsia="Times New Roman"/>
          <w:lang w:val="en-GB"/>
        </w:rPr>
        <w:t xml:space="preserve"> innocence </w:t>
      </w:r>
      <w:r w:rsidRPr="003C096B" w:rsidR="006A0595">
        <w:rPr>
          <w:rFonts w:eastAsia="Times New Roman"/>
          <w:lang w:val="en-GB"/>
        </w:rPr>
        <w:t>is considerably limited, or even non-exist</w:t>
      </w:r>
      <w:r w:rsidRPr="003C096B" w:rsidR="005A5CF4">
        <w:rPr>
          <w:rFonts w:eastAsia="Times New Roman"/>
          <w:lang w:val="en-GB"/>
        </w:rPr>
        <w:t>e</w:t>
      </w:r>
      <w:r w:rsidRPr="003C096B" w:rsidR="006A0595">
        <w:rPr>
          <w:rFonts w:eastAsia="Times New Roman"/>
          <w:lang w:val="en-GB"/>
        </w:rPr>
        <w:t>nt</w:t>
      </w:r>
      <w:r w:rsidRPr="003C096B">
        <w:rPr>
          <w:rFonts w:eastAsia="Times New Roman"/>
          <w:lang w:val="en-GB"/>
        </w:rPr>
        <w:t xml:space="preserve">; </w:t>
      </w:r>
      <w:r w:rsidRPr="003C096B" w:rsidR="006A0595">
        <w:rPr>
          <w:rFonts w:eastAsia="Times New Roman"/>
          <w:lang w:val="en-GB"/>
        </w:rPr>
        <w:t>lastly</w:t>
      </w:r>
      <w:r w:rsidRPr="003C096B">
        <w:rPr>
          <w:rFonts w:eastAsia="Times New Roman"/>
          <w:lang w:val="en-GB"/>
        </w:rPr>
        <w:t xml:space="preserve">, </w:t>
      </w:r>
      <w:r w:rsidRPr="003C096B" w:rsidR="005A5CF4">
        <w:rPr>
          <w:rFonts w:eastAsia="Times New Roman"/>
          <w:lang w:val="en-GB"/>
        </w:rPr>
        <w:t>the requested State</w:t>
      </w:r>
      <w:r w:rsidR="00A51F9F">
        <w:rPr>
          <w:rFonts w:eastAsia="Times New Roman"/>
          <w:lang w:val="en-GB"/>
        </w:rPr>
        <w:t>’</w:t>
      </w:r>
      <w:r w:rsidRPr="003C096B" w:rsidR="005A5CF4">
        <w:rPr>
          <w:rFonts w:eastAsia="Times New Roman"/>
          <w:lang w:val="en-GB"/>
        </w:rPr>
        <w:t>s authorities are not entitled to</w:t>
      </w:r>
      <w:r w:rsidRPr="003C096B" w:rsidR="006A0595">
        <w:rPr>
          <w:rFonts w:eastAsia="Times New Roman"/>
          <w:lang w:val="en-GB"/>
        </w:rPr>
        <w:t xml:space="preserve"> </w:t>
      </w:r>
      <w:r w:rsidRPr="003C096B" w:rsidR="005A5CF4">
        <w:rPr>
          <w:rFonts w:eastAsia="Times New Roman"/>
          <w:lang w:val="en-GB"/>
        </w:rPr>
        <w:t>examine</w:t>
      </w:r>
      <w:r w:rsidRPr="003C096B" w:rsidR="006A0595">
        <w:rPr>
          <w:rFonts w:eastAsia="Times New Roman"/>
          <w:lang w:val="en-GB"/>
        </w:rPr>
        <w:t xml:space="preserve"> the </w:t>
      </w:r>
      <w:r w:rsidRPr="003C096B" w:rsidR="005A5CF4">
        <w:rPr>
          <w:rFonts w:eastAsia="Times New Roman"/>
          <w:lang w:val="en-GB"/>
        </w:rPr>
        <w:t>merits of the case</w:t>
      </w:r>
      <w:r w:rsidRPr="003C096B">
        <w:rPr>
          <w:rFonts w:eastAsia="Times New Roman"/>
          <w:lang w:val="en-GB"/>
        </w:rPr>
        <w:t xml:space="preserve"> (</w:t>
      </w:r>
      <w:r w:rsidRPr="003C096B" w:rsidR="005A5CF4">
        <w:rPr>
          <w:rFonts w:eastAsia="Times New Roman"/>
          <w:lang w:val="en-GB"/>
        </w:rPr>
        <w:t>see paragraph</w:t>
      </w:r>
      <w:r w:rsidRPr="003C096B">
        <w:rPr>
          <w:rFonts w:eastAsia="Times New Roman"/>
          <w:lang w:val="en-GB"/>
        </w:rPr>
        <w:t xml:space="preserve"> 28 </w:t>
      </w:r>
      <w:r w:rsidRPr="003C096B">
        <w:rPr>
          <w:rFonts w:eastAsia="Times New Roman"/>
          <w:i/>
          <w:lang w:val="en-GB"/>
        </w:rPr>
        <w:t>in fine</w:t>
      </w:r>
      <w:r w:rsidRPr="003C096B">
        <w:rPr>
          <w:rFonts w:eastAsia="Times New Roman"/>
          <w:lang w:val="en-GB"/>
        </w:rPr>
        <w:t xml:space="preserve"> </w:t>
      </w:r>
      <w:r w:rsidRPr="003C096B" w:rsidR="005A5CF4">
        <w:rPr>
          <w:rFonts w:eastAsia="Times New Roman"/>
          <w:lang w:val="en-GB"/>
        </w:rPr>
        <w:t>above</w:t>
      </w:r>
      <w:r w:rsidRPr="003C096B">
        <w:rPr>
          <w:rFonts w:eastAsia="Times New Roman"/>
          <w:lang w:val="en-GB"/>
        </w:rPr>
        <w:t xml:space="preserve">). </w:t>
      </w:r>
      <w:r w:rsidRPr="003C096B" w:rsidR="005A5CF4">
        <w:rPr>
          <w:rFonts w:eastAsia="Times New Roman"/>
          <w:lang w:val="en-GB"/>
        </w:rPr>
        <w:t>For all these reasons, the</w:t>
      </w:r>
      <w:r w:rsidRPr="003C096B">
        <w:rPr>
          <w:rFonts w:eastAsia="Times New Roman"/>
          <w:lang w:val="en-GB"/>
        </w:rPr>
        <w:t xml:space="preserve"> protection </w:t>
      </w:r>
      <w:r w:rsidRPr="003C096B" w:rsidR="005A5CF4">
        <w:rPr>
          <w:rFonts w:eastAsia="Times New Roman"/>
          <w:lang w:val="en-GB"/>
        </w:rPr>
        <w:t xml:space="preserve">of the rights of the person concerned and the smooth running of the </w:t>
      </w:r>
      <w:r w:rsidRPr="003C096B">
        <w:rPr>
          <w:rFonts w:eastAsia="Times New Roman"/>
          <w:lang w:val="en-GB"/>
        </w:rPr>
        <w:t>extradition</w:t>
      </w:r>
      <w:r w:rsidRPr="003C096B" w:rsidR="005A5CF4">
        <w:rPr>
          <w:rFonts w:eastAsia="Times New Roman"/>
          <w:lang w:val="en-GB"/>
        </w:rPr>
        <w:t xml:space="preserve"> </w:t>
      </w:r>
      <w:r w:rsidRPr="003C096B" w:rsidR="0074414F">
        <w:rPr>
          <w:rFonts w:eastAsia="Times New Roman"/>
          <w:lang w:val="en-GB"/>
        </w:rPr>
        <w:t>proceedings</w:t>
      </w:r>
      <w:r w:rsidRPr="003C096B">
        <w:rPr>
          <w:rFonts w:eastAsia="Times New Roman"/>
          <w:lang w:val="en-GB"/>
        </w:rPr>
        <w:t xml:space="preserve">, </w:t>
      </w:r>
      <w:r w:rsidRPr="003C096B" w:rsidR="005A5CF4">
        <w:rPr>
          <w:rFonts w:eastAsia="Times New Roman"/>
          <w:lang w:val="en-GB"/>
        </w:rPr>
        <w:t xml:space="preserve">including the requirement </w:t>
      </w:r>
      <w:r w:rsidRPr="003C096B" w:rsidR="0074414F">
        <w:rPr>
          <w:rFonts w:eastAsia="Times New Roman"/>
          <w:lang w:val="en-GB"/>
        </w:rPr>
        <w:t>that an individual</w:t>
      </w:r>
      <w:r w:rsidRPr="003C096B" w:rsidR="005A5CF4">
        <w:rPr>
          <w:rFonts w:eastAsia="Times New Roman"/>
          <w:lang w:val="en-GB"/>
        </w:rPr>
        <w:t xml:space="preserve"> </w:t>
      </w:r>
      <w:r w:rsidRPr="003C096B" w:rsidR="0074414F">
        <w:rPr>
          <w:rFonts w:eastAsia="Times New Roman"/>
          <w:lang w:val="en-GB"/>
        </w:rPr>
        <w:t xml:space="preserve">be prosecuted </w:t>
      </w:r>
      <w:r w:rsidRPr="003C096B" w:rsidR="005A5CF4">
        <w:rPr>
          <w:rFonts w:eastAsia="Times New Roman"/>
          <w:lang w:val="en-GB"/>
        </w:rPr>
        <w:t>within a reasonable time</w:t>
      </w:r>
      <w:r w:rsidRPr="003C096B">
        <w:rPr>
          <w:rFonts w:eastAsia="Times New Roman"/>
          <w:lang w:val="en-GB"/>
        </w:rPr>
        <w:t xml:space="preserve">, </w:t>
      </w:r>
      <w:r w:rsidRPr="003C096B" w:rsidR="005A5CF4">
        <w:rPr>
          <w:rFonts w:eastAsia="Times New Roman"/>
          <w:lang w:val="en-GB"/>
        </w:rPr>
        <w:t xml:space="preserve">oblige the requested State to act with </w:t>
      </w:r>
      <w:r w:rsidR="008562B9">
        <w:rPr>
          <w:rFonts w:eastAsia="Times New Roman"/>
          <w:lang w:val="en-GB"/>
        </w:rPr>
        <w:t>particular expedition</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43</w:t>
      </w:r>
      <w:r w:rsidRPr="003C096B">
        <w:rPr>
          <w:rFonts w:eastAsia="Times New Roman"/>
          <w:lang w:val="en-GB"/>
        </w:rPr>
        <w:fldChar w:fldCharType="end"/>
      </w:r>
      <w:r w:rsidRPr="003C096B">
        <w:rPr>
          <w:rFonts w:eastAsia="Times New Roman"/>
          <w:lang w:val="en-GB"/>
        </w:rPr>
        <w:t>.  </w:t>
      </w:r>
      <w:r w:rsidRPr="003C096B" w:rsidR="005A5CF4">
        <w:rPr>
          <w:rFonts w:eastAsia="Times New Roman"/>
          <w:lang w:val="en-GB"/>
        </w:rPr>
        <w:t xml:space="preserve">The Court has already </w:t>
      </w:r>
      <w:r w:rsidRPr="003C096B" w:rsidR="0073051E">
        <w:rPr>
          <w:rFonts w:eastAsia="Times New Roman"/>
          <w:lang w:val="en-GB"/>
        </w:rPr>
        <w:t>had occasion to find</w:t>
      </w:r>
      <w:r w:rsidRPr="003C096B" w:rsidR="005A5CF4">
        <w:rPr>
          <w:rFonts w:eastAsia="Times New Roman"/>
          <w:lang w:val="en-GB"/>
        </w:rPr>
        <w:t xml:space="preserve"> excessive</w:t>
      </w:r>
      <w:r w:rsidRPr="003C096B">
        <w:rPr>
          <w:rFonts w:eastAsia="Times New Roman"/>
          <w:lang w:val="en-GB"/>
        </w:rPr>
        <w:t xml:space="preserve">, </w:t>
      </w:r>
      <w:r w:rsidRPr="003C096B" w:rsidR="005A5CF4">
        <w:rPr>
          <w:rFonts w:eastAsia="Times New Roman"/>
          <w:lang w:val="en-GB"/>
        </w:rPr>
        <w:t>on account of unjustified delays on the part of the domestic authorities</w:t>
      </w:r>
      <w:r w:rsidRPr="003C096B">
        <w:rPr>
          <w:rFonts w:eastAsia="Times New Roman"/>
          <w:lang w:val="en-GB"/>
        </w:rPr>
        <w:t>,</w:t>
      </w:r>
      <w:r w:rsidRPr="003C096B" w:rsidR="005A5CF4">
        <w:rPr>
          <w:rFonts w:eastAsia="Times New Roman"/>
          <w:lang w:val="en-GB"/>
        </w:rPr>
        <w:t xml:space="preserve"> detention periods of one year and eleven months pending</w:t>
      </w:r>
      <w:r w:rsidRPr="003C096B">
        <w:rPr>
          <w:rFonts w:eastAsia="Times New Roman"/>
          <w:lang w:val="en-GB"/>
        </w:rPr>
        <w:t xml:space="preserve"> extradition (</w:t>
      </w:r>
      <w:r w:rsidRPr="003C096B" w:rsidR="005A5CF4">
        <w:rPr>
          <w:rFonts w:eastAsia="Times New Roman"/>
          <w:lang w:val="en-GB"/>
        </w:rPr>
        <w:t xml:space="preserve">see </w:t>
      </w:r>
      <w:r w:rsidRPr="003C096B">
        <w:rPr>
          <w:rFonts w:eastAsia="Times New Roman"/>
          <w:i/>
          <w:lang w:val="en-GB"/>
        </w:rPr>
        <w:t>Quinn</w:t>
      </w:r>
      <w:r w:rsidRPr="003C096B">
        <w:rPr>
          <w:rFonts w:eastAsia="Times New Roman"/>
          <w:lang w:val="en-GB"/>
        </w:rPr>
        <w:t xml:space="preserve">, </w:t>
      </w:r>
      <w:r w:rsidRPr="003C096B" w:rsidR="005A5CF4">
        <w:rPr>
          <w:rStyle w:val="JuParaCar"/>
          <w:rFonts w:eastAsia="Times New Roman"/>
          <w:lang w:val="en-GB"/>
        </w:rPr>
        <w:t>cited above</w:t>
      </w:r>
      <w:r w:rsidRPr="003C096B">
        <w:rPr>
          <w:rFonts w:eastAsia="Times New Roman"/>
          <w:lang w:val="en-GB"/>
        </w:rPr>
        <w:t xml:space="preserve">) </w:t>
      </w:r>
      <w:r w:rsidRPr="003C096B" w:rsidR="005A5CF4">
        <w:rPr>
          <w:rFonts w:eastAsia="Times New Roman"/>
          <w:lang w:val="en-GB"/>
        </w:rPr>
        <w:t>and of three months pending deportation</w:t>
      </w:r>
      <w:r w:rsidRPr="003C096B">
        <w:rPr>
          <w:rFonts w:eastAsia="Times New Roman"/>
          <w:lang w:val="en-GB"/>
        </w:rPr>
        <w:t xml:space="preserve"> (</w:t>
      </w:r>
      <w:r w:rsidRPr="003C096B" w:rsidR="005A5CF4">
        <w:rPr>
          <w:rFonts w:eastAsia="Times New Roman"/>
          <w:lang w:val="en-GB"/>
        </w:rPr>
        <w:t xml:space="preserve">see </w:t>
      </w:r>
      <w:proofErr w:type="spellStart"/>
      <w:r w:rsidRPr="003C096B">
        <w:rPr>
          <w:rFonts w:eastAsia="Times New Roman"/>
          <w:i/>
          <w:lang w:val="en-GB"/>
        </w:rPr>
        <w:t>Tabesh</w:t>
      </w:r>
      <w:proofErr w:type="spellEnd"/>
      <w:r w:rsidRPr="003C096B">
        <w:rPr>
          <w:rFonts w:eastAsia="Times New Roman"/>
          <w:lang w:val="en-GB"/>
        </w:rPr>
        <w:t xml:space="preserve">, </w:t>
      </w:r>
      <w:r w:rsidRPr="003C096B" w:rsidR="005A5CF4">
        <w:rPr>
          <w:rStyle w:val="JuParaCar"/>
          <w:rFonts w:eastAsia="Times New Roman"/>
          <w:lang w:val="en-GB"/>
        </w:rPr>
        <w:t>cited above</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44</w:t>
      </w:r>
      <w:r w:rsidRPr="003C096B">
        <w:rPr>
          <w:rFonts w:eastAsia="Times New Roman"/>
          <w:lang w:val="en-GB"/>
        </w:rPr>
        <w:fldChar w:fldCharType="end"/>
      </w:r>
      <w:r w:rsidRPr="003C096B">
        <w:rPr>
          <w:rFonts w:eastAsia="Times New Roman"/>
          <w:lang w:val="en-GB"/>
        </w:rPr>
        <w:t>.  </w:t>
      </w:r>
      <w:r w:rsidRPr="003C096B" w:rsidR="0073051E">
        <w:rPr>
          <w:rFonts w:eastAsia="Times New Roman"/>
          <w:lang w:val="en-GB"/>
        </w:rPr>
        <w:t>It</w:t>
      </w:r>
      <w:r w:rsidRPr="003C096B">
        <w:rPr>
          <w:rFonts w:eastAsia="Times New Roman"/>
          <w:lang w:val="en-GB"/>
        </w:rPr>
        <w:t xml:space="preserve"> note</w:t>
      </w:r>
      <w:r w:rsidRPr="003C096B" w:rsidR="0073051E">
        <w:rPr>
          <w:rFonts w:eastAsia="Times New Roman"/>
          <w:lang w:val="en-GB"/>
        </w:rPr>
        <w:t>s</w:t>
      </w:r>
      <w:r w:rsidRPr="003C096B">
        <w:rPr>
          <w:rFonts w:eastAsia="Times New Roman"/>
          <w:lang w:val="en-GB"/>
        </w:rPr>
        <w:t xml:space="preserve"> </w:t>
      </w:r>
      <w:r w:rsidRPr="003C096B" w:rsidR="0073051E">
        <w:rPr>
          <w:rFonts w:eastAsia="Times New Roman"/>
          <w:lang w:val="en-GB"/>
        </w:rPr>
        <w:t>that in the present case the applicant</w:t>
      </w:r>
      <w:r w:rsidR="00A51F9F">
        <w:rPr>
          <w:rFonts w:eastAsia="Times New Roman"/>
          <w:lang w:val="en-GB"/>
        </w:rPr>
        <w:t>’</w:t>
      </w:r>
      <w:r w:rsidRPr="003C096B" w:rsidR="0073051E">
        <w:rPr>
          <w:rFonts w:eastAsia="Times New Roman"/>
          <w:lang w:val="en-GB"/>
        </w:rPr>
        <w:t xml:space="preserve">s </w:t>
      </w:r>
      <w:r w:rsidR="00354F9C">
        <w:rPr>
          <w:rFonts w:eastAsia="Times New Roman"/>
          <w:lang w:val="en-GB"/>
        </w:rPr>
        <w:t>detention</w:t>
      </w:r>
      <w:r w:rsidRPr="003C096B" w:rsidR="00354F9C">
        <w:rPr>
          <w:rFonts w:eastAsia="Times New Roman"/>
          <w:lang w:val="en-GB"/>
        </w:rPr>
        <w:t xml:space="preserve"> </w:t>
      </w:r>
      <w:r w:rsidRPr="003C096B" w:rsidR="0073051E">
        <w:rPr>
          <w:rFonts w:eastAsia="Times New Roman"/>
          <w:lang w:val="en-GB"/>
        </w:rPr>
        <w:t>pending extradition lasted about one year and six months</w:t>
      </w:r>
      <w:r w:rsidRPr="003C096B">
        <w:rPr>
          <w:rFonts w:eastAsia="Times New Roman"/>
          <w:lang w:val="en-GB"/>
        </w:rPr>
        <w:t xml:space="preserve"> (</w:t>
      </w:r>
      <w:r w:rsidRPr="003C096B" w:rsidR="0073051E">
        <w:rPr>
          <w:rFonts w:eastAsia="Times New Roman"/>
          <w:lang w:val="en-GB"/>
        </w:rPr>
        <w:t>from</w:t>
      </w:r>
      <w:r w:rsidRPr="003C096B">
        <w:rPr>
          <w:rFonts w:eastAsia="Times New Roman"/>
          <w:lang w:val="en-GB"/>
        </w:rPr>
        <w:t xml:space="preserve"> 19 </w:t>
      </w:r>
      <w:r w:rsidRPr="003C096B" w:rsidR="0073051E">
        <w:rPr>
          <w:rFonts w:eastAsia="Times New Roman"/>
          <w:lang w:val="en-GB"/>
        </w:rPr>
        <w:t>Ap</w:t>
      </w:r>
      <w:r w:rsidRPr="003C096B">
        <w:rPr>
          <w:rFonts w:eastAsia="Times New Roman"/>
          <w:lang w:val="en-GB"/>
        </w:rPr>
        <w:t xml:space="preserve">ril 2005 </w:t>
      </w:r>
      <w:r w:rsidRPr="003C096B" w:rsidR="0073051E">
        <w:rPr>
          <w:rFonts w:eastAsia="Times New Roman"/>
          <w:lang w:val="en-GB"/>
        </w:rPr>
        <w:t>to</w:t>
      </w:r>
      <w:r w:rsidRPr="003C096B">
        <w:rPr>
          <w:rFonts w:eastAsia="Times New Roman"/>
          <w:lang w:val="en-GB"/>
        </w:rPr>
        <w:t xml:space="preserve"> 26</w:t>
      </w:r>
      <w:r w:rsidR="00FE5AF2">
        <w:rPr>
          <w:rFonts w:eastAsia="Times New Roman"/>
          <w:lang w:val="en-GB"/>
        </w:rPr>
        <w:t> </w:t>
      </w:r>
      <w:r w:rsidRPr="003C096B" w:rsidR="0073051E">
        <w:rPr>
          <w:rFonts w:eastAsia="Times New Roman"/>
          <w:lang w:val="en-GB"/>
        </w:rPr>
        <w:t>October</w:t>
      </w:r>
      <w:r w:rsidRPr="003C096B">
        <w:rPr>
          <w:rFonts w:eastAsia="Times New Roman"/>
          <w:lang w:val="en-GB"/>
        </w:rPr>
        <w:t xml:space="preserve"> 2006).</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45</w:t>
      </w:r>
      <w:r w:rsidRPr="003C096B">
        <w:rPr>
          <w:rFonts w:eastAsia="Times New Roman"/>
          <w:lang w:val="en-GB"/>
        </w:rPr>
        <w:fldChar w:fldCharType="end"/>
      </w:r>
      <w:r w:rsidRPr="003C096B">
        <w:rPr>
          <w:rFonts w:eastAsia="Times New Roman"/>
          <w:lang w:val="en-GB"/>
        </w:rPr>
        <w:t>.  </w:t>
      </w:r>
      <w:r w:rsidRPr="003C096B" w:rsidR="0073051E">
        <w:rPr>
          <w:rFonts w:eastAsia="Times New Roman"/>
          <w:lang w:val="en-GB"/>
        </w:rPr>
        <w:t xml:space="preserve">It finds that major delays occurred at the various stages of the </w:t>
      </w:r>
      <w:r w:rsidRPr="003C096B">
        <w:rPr>
          <w:rFonts w:eastAsia="Times New Roman"/>
          <w:lang w:val="en-GB"/>
        </w:rPr>
        <w:t>extradition</w:t>
      </w:r>
      <w:r w:rsidRPr="003C096B" w:rsidR="0073051E">
        <w:rPr>
          <w:rFonts w:eastAsia="Times New Roman"/>
          <w:lang w:val="en-GB"/>
        </w:rPr>
        <w:t xml:space="preserve"> </w:t>
      </w:r>
      <w:r w:rsidRPr="003C096B" w:rsidR="0074414F">
        <w:rPr>
          <w:rFonts w:eastAsia="Times New Roman"/>
          <w:lang w:val="en-GB"/>
        </w:rPr>
        <w:t>proceedings</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46</w:t>
      </w:r>
      <w:r w:rsidRPr="003C096B">
        <w:rPr>
          <w:rFonts w:eastAsia="Times New Roman"/>
          <w:lang w:val="en-GB"/>
        </w:rPr>
        <w:fldChar w:fldCharType="end"/>
      </w:r>
      <w:r w:rsidRPr="003C096B">
        <w:rPr>
          <w:rFonts w:eastAsia="Times New Roman"/>
          <w:lang w:val="en-GB"/>
        </w:rPr>
        <w:t>.  </w:t>
      </w:r>
      <w:r w:rsidRPr="003C096B" w:rsidR="0073051E">
        <w:rPr>
          <w:rFonts w:eastAsia="Times New Roman"/>
          <w:lang w:val="en-GB"/>
        </w:rPr>
        <w:t>Firstly</w:t>
      </w:r>
      <w:r w:rsidRPr="003C096B">
        <w:rPr>
          <w:rFonts w:eastAsia="Times New Roman"/>
          <w:lang w:val="en-GB"/>
        </w:rPr>
        <w:t xml:space="preserve">, </w:t>
      </w:r>
      <w:r w:rsidRPr="003C096B" w:rsidR="0073051E">
        <w:rPr>
          <w:rFonts w:eastAsia="Times New Roman"/>
          <w:lang w:val="en-GB"/>
        </w:rPr>
        <w:t>the first hearing of the Court of Appeal was scheduled for</w:t>
      </w:r>
      <w:r w:rsidRPr="003C096B">
        <w:rPr>
          <w:rFonts w:eastAsia="Times New Roman"/>
          <w:lang w:val="en-GB"/>
        </w:rPr>
        <w:t xml:space="preserve"> 15</w:t>
      </w:r>
      <w:r w:rsidR="00FE5AF2">
        <w:rPr>
          <w:rFonts w:eastAsia="Times New Roman"/>
          <w:lang w:val="en-GB"/>
        </w:rPr>
        <w:t> </w:t>
      </w:r>
      <w:r w:rsidRPr="003C096B" w:rsidR="0073051E">
        <w:rPr>
          <w:rFonts w:eastAsia="Times New Roman"/>
          <w:lang w:val="en-GB"/>
        </w:rPr>
        <w:t>December</w:t>
      </w:r>
      <w:r w:rsidRPr="003C096B">
        <w:rPr>
          <w:rFonts w:eastAsia="Times New Roman"/>
          <w:lang w:val="en-GB"/>
        </w:rPr>
        <w:t xml:space="preserve"> 2005, six mo</w:t>
      </w:r>
      <w:r w:rsidRPr="003C096B" w:rsidR="0073051E">
        <w:rPr>
          <w:rFonts w:eastAsia="Times New Roman"/>
          <w:lang w:val="en-GB"/>
        </w:rPr>
        <w:t xml:space="preserve">nths after the </w:t>
      </w:r>
      <w:r w:rsidRPr="003C096B">
        <w:rPr>
          <w:rFonts w:eastAsia="Times New Roman"/>
          <w:lang w:val="en-GB"/>
        </w:rPr>
        <w:t>extradition</w:t>
      </w:r>
      <w:r w:rsidRPr="003C096B" w:rsidR="0073051E">
        <w:rPr>
          <w:rFonts w:eastAsia="Times New Roman"/>
          <w:lang w:val="en-GB"/>
        </w:rPr>
        <w:t xml:space="preserve"> request had been sent to the Court of Appeal and eight months after the</w:t>
      </w:r>
      <w:r w:rsidRPr="003C096B">
        <w:rPr>
          <w:rFonts w:eastAsia="Times New Roman"/>
          <w:lang w:val="en-GB"/>
        </w:rPr>
        <w:t xml:space="preserve"> </w:t>
      </w:r>
      <w:r w:rsidRPr="003C096B" w:rsidR="0073051E">
        <w:rPr>
          <w:rFonts w:eastAsia="Times New Roman"/>
          <w:lang w:val="en-GB"/>
        </w:rPr>
        <w:t>applicant had been taken in</w:t>
      </w:r>
      <w:r w:rsidRPr="003C096B" w:rsidR="00284272">
        <w:rPr>
          <w:rFonts w:eastAsia="Times New Roman"/>
          <w:lang w:val="en-GB"/>
        </w:rPr>
        <w:t>to</w:t>
      </w:r>
      <w:r w:rsidRPr="003C096B" w:rsidR="0073051E">
        <w:rPr>
          <w:rFonts w:eastAsia="Times New Roman"/>
          <w:lang w:val="en-GB"/>
        </w:rPr>
        <w:t xml:space="preserve"> custody pending extradition</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47</w:t>
      </w:r>
      <w:r w:rsidRPr="003C096B">
        <w:rPr>
          <w:rFonts w:eastAsia="Times New Roman"/>
          <w:lang w:val="en-GB"/>
        </w:rPr>
        <w:fldChar w:fldCharType="end"/>
      </w:r>
      <w:r w:rsidRPr="003C096B">
        <w:rPr>
          <w:rFonts w:eastAsia="Times New Roman"/>
          <w:lang w:val="en-GB"/>
        </w:rPr>
        <w:t>.  </w:t>
      </w:r>
      <w:r w:rsidRPr="003C096B" w:rsidR="0073051E">
        <w:rPr>
          <w:rFonts w:eastAsia="Times New Roman"/>
          <w:lang w:val="en-GB"/>
        </w:rPr>
        <w:t>The Court cannot agree with the Government when they argue that the remedies used by the applicant in order to obtain his release during that period (see paragraph</w:t>
      </w:r>
      <w:r w:rsidRPr="003C096B">
        <w:rPr>
          <w:rFonts w:eastAsia="Times New Roman"/>
          <w:lang w:val="en-GB"/>
        </w:rPr>
        <w:t xml:space="preserve"> 18 </w:t>
      </w:r>
      <w:r w:rsidRPr="003C096B" w:rsidR="0073051E">
        <w:rPr>
          <w:rFonts w:eastAsia="Times New Roman"/>
          <w:lang w:val="en-GB"/>
        </w:rPr>
        <w:t>above</w:t>
      </w:r>
      <w:r w:rsidRPr="003C096B">
        <w:rPr>
          <w:rFonts w:eastAsia="Times New Roman"/>
          <w:lang w:val="en-GB"/>
        </w:rPr>
        <w:t xml:space="preserve">) </w:t>
      </w:r>
      <w:r w:rsidRPr="003C096B" w:rsidR="0073051E">
        <w:rPr>
          <w:rFonts w:eastAsia="Times New Roman"/>
          <w:lang w:val="en-GB"/>
        </w:rPr>
        <w:t>may, in themselves,</w:t>
      </w:r>
      <w:r w:rsidRPr="003C096B">
        <w:rPr>
          <w:rFonts w:eastAsia="Times New Roman"/>
          <w:lang w:val="en-GB"/>
        </w:rPr>
        <w:t xml:space="preserve"> </w:t>
      </w:r>
      <w:r w:rsidRPr="003C096B" w:rsidR="0073051E">
        <w:rPr>
          <w:rFonts w:eastAsia="Times New Roman"/>
          <w:lang w:val="en-GB"/>
        </w:rPr>
        <w:t xml:space="preserve">justify the delay in the </w:t>
      </w:r>
      <w:r w:rsidRPr="003C096B" w:rsidR="0074414F">
        <w:rPr>
          <w:rFonts w:eastAsia="Times New Roman"/>
          <w:lang w:val="en-GB"/>
        </w:rPr>
        <w:t>proceedings</w:t>
      </w:r>
      <w:r w:rsidRPr="003C096B">
        <w:rPr>
          <w:rFonts w:eastAsia="Times New Roman"/>
          <w:lang w:val="en-GB"/>
        </w:rPr>
        <w:t xml:space="preserve">. </w:t>
      </w:r>
      <w:r w:rsidRPr="003C096B" w:rsidR="0073051E">
        <w:rPr>
          <w:rFonts w:eastAsia="Times New Roman"/>
          <w:lang w:val="en-GB"/>
        </w:rPr>
        <w:t xml:space="preserve">The </w:t>
      </w:r>
      <w:r w:rsidRPr="003C096B" w:rsidR="0074414F">
        <w:rPr>
          <w:rFonts w:eastAsia="Times New Roman"/>
          <w:lang w:val="en-GB"/>
        </w:rPr>
        <w:t>proceedings</w:t>
      </w:r>
      <w:r w:rsidRPr="003C096B" w:rsidR="0073051E">
        <w:rPr>
          <w:rFonts w:eastAsia="Times New Roman"/>
          <w:lang w:val="en-GB"/>
        </w:rPr>
        <w:t xml:space="preserve"> in question comprised </w:t>
      </w:r>
      <w:r w:rsidRPr="003C096B" w:rsidR="00785FA6">
        <w:rPr>
          <w:rFonts w:eastAsia="Times New Roman"/>
          <w:lang w:val="en-GB"/>
        </w:rPr>
        <w:t xml:space="preserve">two parts </w:t>
      </w:r>
      <w:r w:rsidRPr="003C096B" w:rsidR="0073051E">
        <w:rPr>
          <w:rFonts w:eastAsia="Times New Roman"/>
          <w:lang w:val="en-GB"/>
        </w:rPr>
        <w:t>with different objects and purposes</w:t>
      </w:r>
      <w:r w:rsidRPr="003C096B">
        <w:rPr>
          <w:rFonts w:eastAsia="Times New Roman"/>
          <w:lang w:val="en-GB"/>
        </w:rPr>
        <w:t>,</w:t>
      </w:r>
      <w:r w:rsidRPr="003C096B" w:rsidR="00785FA6">
        <w:rPr>
          <w:rFonts w:eastAsia="Times New Roman"/>
          <w:lang w:val="en-GB"/>
        </w:rPr>
        <w:t xml:space="preserve"> consisting on the one hand of ascertaining whether the formal requirements for extradition had been met</w:t>
      </w:r>
      <w:r w:rsidRPr="003C096B">
        <w:rPr>
          <w:rFonts w:eastAsia="Times New Roman"/>
          <w:lang w:val="en-GB"/>
        </w:rPr>
        <w:t xml:space="preserve">, </w:t>
      </w:r>
      <w:r w:rsidRPr="003C096B" w:rsidR="00785FA6">
        <w:rPr>
          <w:rFonts w:eastAsia="Times New Roman"/>
          <w:lang w:val="en-GB"/>
        </w:rPr>
        <w:t>and on the other of examining whether the criteria justifying the adoption of the precautionary measure remained valid and sufficient</w:t>
      </w:r>
      <w:r w:rsidRPr="003C096B">
        <w:rPr>
          <w:rFonts w:eastAsia="Times New Roman"/>
          <w:lang w:val="en-GB"/>
        </w:rPr>
        <w:t xml:space="preserve">. </w:t>
      </w:r>
      <w:r w:rsidRPr="003C096B" w:rsidR="00785FA6">
        <w:rPr>
          <w:rFonts w:eastAsia="Times New Roman"/>
          <w:lang w:val="en-GB"/>
        </w:rPr>
        <w:t>The fact that domestic law has entrusted the same appellate court with this two-fold task constitutes a legitimate choice on the part of the State</w:t>
      </w:r>
      <w:r w:rsidRPr="003C096B">
        <w:rPr>
          <w:rFonts w:eastAsia="Times New Roman"/>
          <w:lang w:val="en-GB"/>
        </w:rPr>
        <w:t xml:space="preserve">, </w:t>
      </w:r>
      <w:r w:rsidRPr="003C096B" w:rsidR="00785FA6">
        <w:rPr>
          <w:rFonts w:eastAsia="Times New Roman"/>
          <w:lang w:val="en-GB"/>
        </w:rPr>
        <w:t xml:space="preserve">but a choice which cannot be relied upon to justify considerable delays in examining the </w:t>
      </w:r>
      <w:r w:rsidR="0095236E">
        <w:rPr>
          <w:rFonts w:eastAsia="Times New Roman"/>
          <w:lang w:val="en-GB"/>
        </w:rPr>
        <w:t>merits</w:t>
      </w:r>
      <w:r w:rsidRPr="003C096B" w:rsidR="00785FA6">
        <w:rPr>
          <w:rFonts w:eastAsia="Times New Roman"/>
          <w:lang w:val="en-GB"/>
        </w:rPr>
        <w:t xml:space="preserve"> of the case</w:t>
      </w:r>
      <w:r w:rsidRPr="003C096B">
        <w:rPr>
          <w:rFonts w:eastAsia="Times New Roman"/>
          <w:lang w:val="en-GB"/>
        </w:rPr>
        <w:t xml:space="preserve">. </w:t>
      </w:r>
      <w:r w:rsidRPr="003C096B" w:rsidR="00946CCD">
        <w:rPr>
          <w:rFonts w:eastAsia="Times New Roman"/>
          <w:lang w:val="en-GB"/>
        </w:rPr>
        <w:t>In any event</w:t>
      </w:r>
      <w:r w:rsidRPr="003C096B">
        <w:rPr>
          <w:rFonts w:eastAsia="Times New Roman"/>
          <w:lang w:val="en-GB"/>
        </w:rPr>
        <w:t xml:space="preserve">, </w:t>
      </w:r>
      <w:r w:rsidRPr="003C096B" w:rsidR="00946CCD">
        <w:rPr>
          <w:rFonts w:eastAsia="Times New Roman"/>
          <w:lang w:val="en-GB"/>
        </w:rPr>
        <w:t>the</w:t>
      </w:r>
      <w:r w:rsidRPr="003C096B">
        <w:rPr>
          <w:rFonts w:eastAsia="Times New Roman"/>
          <w:lang w:val="en-GB"/>
        </w:rPr>
        <w:t xml:space="preserve"> Cour</w:t>
      </w:r>
      <w:r w:rsidRPr="003C096B" w:rsidR="00946CCD">
        <w:rPr>
          <w:rFonts w:eastAsia="Times New Roman"/>
          <w:lang w:val="en-GB"/>
        </w:rPr>
        <w:t>t</w:t>
      </w:r>
      <w:r w:rsidRPr="003C096B">
        <w:rPr>
          <w:rFonts w:eastAsia="Times New Roman"/>
          <w:lang w:val="en-GB"/>
        </w:rPr>
        <w:t xml:space="preserve"> </w:t>
      </w:r>
      <w:r w:rsidRPr="003C096B" w:rsidR="00946CCD">
        <w:rPr>
          <w:rFonts w:eastAsia="Times New Roman"/>
          <w:lang w:val="en-GB"/>
        </w:rPr>
        <w:t>fails to see how the applicant</w:t>
      </w:r>
      <w:r w:rsidR="00A51F9F">
        <w:rPr>
          <w:rFonts w:eastAsia="Times New Roman"/>
          <w:lang w:val="en-GB"/>
        </w:rPr>
        <w:t>’</w:t>
      </w:r>
      <w:r w:rsidRPr="003C096B" w:rsidR="00946CCD">
        <w:rPr>
          <w:rFonts w:eastAsia="Times New Roman"/>
          <w:lang w:val="en-GB"/>
        </w:rPr>
        <w:t>s repeated requests, which were justified in principle</w:t>
      </w:r>
      <w:r w:rsidRPr="003C096B" w:rsidR="00EC3B60">
        <w:rPr>
          <w:rFonts w:eastAsia="Times New Roman"/>
          <w:lang w:val="en-GB"/>
        </w:rPr>
        <w:t>,</w:t>
      </w:r>
      <w:r w:rsidRPr="003C096B" w:rsidR="00946CCD">
        <w:rPr>
          <w:rFonts w:eastAsia="Times New Roman"/>
          <w:lang w:val="en-GB"/>
        </w:rPr>
        <w:t xml:space="preserve"> since his </w:t>
      </w:r>
      <w:r w:rsidRPr="003C096B">
        <w:rPr>
          <w:rFonts w:eastAsia="Times New Roman"/>
          <w:lang w:val="en-GB"/>
        </w:rPr>
        <w:t>d</w:t>
      </w:r>
      <w:r w:rsidRPr="003C096B" w:rsidR="00946CCD">
        <w:rPr>
          <w:rFonts w:eastAsia="Times New Roman"/>
          <w:lang w:val="en-GB"/>
        </w:rPr>
        <w:t>e</w:t>
      </w:r>
      <w:r w:rsidRPr="003C096B">
        <w:rPr>
          <w:rFonts w:eastAsia="Times New Roman"/>
          <w:lang w:val="en-GB"/>
        </w:rPr>
        <w:t>tention</w:t>
      </w:r>
      <w:r w:rsidRPr="003C096B" w:rsidR="00946CCD">
        <w:rPr>
          <w:rFonts w:eastAsia="Times New Roman"/>
          <w:lang w:val="en-GB"/>
        </w:rPr>
        <w:t xml:space="preserve"> was extended in the absence of any hearing on the </w:t>
      </w:r>
      <w:r w:rsidR="0095236E">
        <w:rPr>
          <w:rFonts w:eastAsia="Times New Roman"/>
          <w:lang w:val="en-GB"/>
        </w:rPr>
        <w:t>merits</w:t>
      </w:r>
      <w:r w:rsidRPr="003C096B">
        <w:rPr>
          <w:rFonts w:eastAsia="Times New Roman"/>
          <w:lang w:val="en-GB"/>
        </w:rPr>
        <w:t xml:space="preserve">, </w:t>
      </w:r>
      <w:r w:rsidRPr="003C096B" w:rsidR="00946CCD">
        <w:rPr>
          <w:rFonts w:eastAsia="Times New Roman"/>
          <w:lang w:val="en-GB"/>
        </w:rPr>
        <w:t>prevented the Court of Appeal from scheduling such a hearing at an earlier date</w:t>
      </w:r>
      <w:r w:rsidRPr="003C096B">
        <w:rPr>
          <w:rFonts w:eastAsia="Times New Roman"/>
          <w:lang w:val="en-GB"/>
        </w:rPr>
        <w:t xml:space="preserve"> (</w:t>
      </w:r>
      <w:r w:rsidRPr="003C096B" w:rsidR="00946CCD">
        <w:rPr>
          <w:rFonts w:eastAsia="Times New Roman"/>
          <w:lang w:val="en-GB"/>
        </w:rPr>
        <w:t>see</w:t>
      </w:r>
      <w:r w:rsidRPr="003C096B">
        <w:rPr>
          <w:rFonts w:eastAsia="Times New Roman"/>
          <w:lang w:val="en-GB"/>
        </w:rPr>
        <w:t>,</w:t>
      </w:r>
      <w:r w:rsidRPr="003C096B">
        <w:rPr>
          <w:rFonts w:eastAsia="Times New Roman"/>
          <w:i/>
          <w:lang w:val="en-GB"/>
        </w:rPr>
        <w:t xml:space="preserve"> mutatis mutandis</w:t>
      </w:r>
      <w:r w:rsidRPr="003C096B">
        <w:rPr>
          <w:rFonts w:eastAsia="Times New Roman"/>
          <w:lang w:val="en-GB"/>
        </w:rPr>
        <w:t xml:space="preserve">, </w:t>
      </w:r>
      <w:r w:rsidRPr="003C096B">
        <w:rPr>
          <w:rFonts w:eastAsia="Times New Roman"/>
          <w:i/>
          <w:lang w:val="en-GB"/>
        </w:rPr>
        <w:t>Quinn</w:t>
      </w:r>
      <w:r w:rsidRPr="003C096B">
        <w:rPr>
          <w:rFonts w:eastAsia="Times New Roman"/>
          <w:lang w:val="en-GB"/>
        </w:rPr>
        <w:t xml:space="preserve">, § 48). </w:t>
      </w:r>
      <w:r w:rsidRPr="003C096B" w:rsidR="00946CCD">
        <w:rPr>
          <w:rFonts w:eastAsia="Times New Roman"/>
          <w:lang w:val="en-GB"/>
        </w:rPr>
        <w:t>The Court of Appeal</w:t>
      </w:r>
      <w:r w:rsidR="00A51F9F">
        <w:rPr>
          <w:rFonts w:eastAsia="Times New Roman"/>
          <w:lang w:val="en-GB"/>
        </w:rPr>
        <w:t>’</w:t>
      </w:r>
      <w:r w:rsidRPr="003C096B" w:rsidR="00946CCD">
        <w:rPr>
          <w:rFonts w:eastAsia="Times New Roman"/>
          <w:lang w:val="en-GB"/>
        </w:rPr>
        <w:t>s decisions were based</w:t>
      </w:r>
      <w:r w:rsidRPr="003C096B">
        <w:rPr>
          <w:rFonts w:eastAsia="Times New Roman"/>
          <w:lang w:val="en-GB"/>
        </w:rPr>
        <w:t xml:space="preserve"> exclusive</w:t>
      </w:r>
      <w:r w:rsidRPr="003C096B" w:rsidR="00946CCD">
        <w:rPr>
          <w:rFonts w:eastAsia="Times New Roman"/>
          <w:lang w:val="en-GB"/>
        </w:rPr>
        <w:t>ly</w:t>
      </w:r>
      <w:r w:rsidRPr="003C096B">
        <w:rPr>
          <w:rFonts w:eastAsia="Times New Roman"/>
          <w:lang w:val="en-GB"/>
        </w:rPr>
        <w:t xml:space="preserve"> </w:t>
      </w:r>
      <w:r w:rsidRPr="003C096B" w:rsidR="00946CCD">
        <w:rPr>
          <w:rFonts w:eastAsia="Times New Roman"/>
          <w:lang w:val="en-GB"/>
        </w:rPr>
        <w:t>on the documents at its disposal</w:t>
      </w:r>
      <w:r w:rsidRPr="003C096B">
        <w:rPr>
          <w:rFonts w:eastAsia="Times New Roman"/>
          <w:lang w:val="en-GB"/>
        </w:rPr>
        <w:t xml:space="preserve">, </w:t>
      </w:r>
      <w:r w:rsidRPr="003C096B" w:rsidR="00946CCD">
        <w:rPr>
          <w:rFonts w:eastAsia="Times New Roman"/>
          <w:lang w:val="en-GB"/>
        </w:rPr>
        <w:t xml:space="preserve">were adopted in private </w:t>
      </w:r>
      <w:r w:rsidRPr="003C096B" w:rsidR="00C30346">
        <w:rPr>
          <w:rFonts w:eastAsia="Times New Roman"/>
          <w:lang w:val="en-GB"/>
        </w:rPr>
        <w:t>in compliance</w:t>
      </w:r>
      <w:r w:rsidRPr="003C096B" w:rsidR="00946CCD">
        <w:rPr>
          <w:rFonts w:eastAsia="Times New Roman"/>
          <w:lang w:val="en-GB"/>
        </w:rPr>
        <w:t xml:space="preserve"> with the adversarial principle</w:t>
      </w:r>
      <w:r w:rsidRPr="003C096B">
        <w:rPr>
          <w:rFonts w:eastAsia="Times New Roman"/>
          <w:lang w:val="en-GB"/>
        </w:rPr>
        <w:t xml:space="preserve"> (</w:t>
      </w:r>
      <w:r w:rsidRPr="003C096B" w:rsidR="00946CCD">
        <w:rPr>
          <w:rFonts w:eastAsia="Times New Roman"/>
          <w:lang w:val="en-GB"/>
        </w:rPr>
        <w:t xml:space="preserve">see </w:t>
      </w:r>
      <w:r w:rsidRPr="003C096B">
        <w:rPr>
          <w:rFonts w:eastAsia="Times New Roman"/>
          <w:lang w:val="en-GB"/>
        </w:rPr>
        <w:t>p</w:t>
      </w:r>
      <w:r w:rsidRPr="003C096B" w:rsidR="00946CCD">
        <w:rPr>
          <w:rFonts w:eastAsia="Times New Roman"/>
          <w:lang w:val="en-GB"/>
        </w:rPr>
        <w:t>aragraph</w:t>
      </w:r>
      <w:r w:rsidRPr="003C096B">
        <w:rPr>
          <w:rFonts w:eastAsia="Times New Roman"/>
          <w:lang w:val="en-GB"/>
        </w:rPr>
        <w:t xml:space="preserve"> 27 </w:t>
      </w:r>
      <w:r w:rsidRPr="003C096B" w:rsidR="00946CCD">
        <w:rPr>
          <w:rFonts w:eastAsia="Times New Roman"/>
          <w:lang w:val="en-GB"/>
        </w:rPr>
        <w:t>above</w:t>
      </w:r>
      <w:r w:rsidRPr="003C096B">
        <w:rPr>
          <w:rFonts w:eastAsia="Times New Roman"/>
          <w:lang w:val="en-GB"/>
        </w:rPr>
        <w:t xml:space="preserve">) </w:t>
      </w:r>
      <w:r w:rsidRPr="003C096B" w:rsidR="00C30346">
        <w:rPr>
          <w:rFonts w:eastAsia="Times New Roman"/>
          <w:lang w:val="en-GB"/>
        </w:rPr>
        <w:t>and mainly concerned the examination of the requirement of maintaining the applicant</w:t>
      </w:r>
      <w:r w:rsidRPr="003C096B" w:rsidR="00EC3B60">
        <w:rPr>
          <w:rFonts w:eastAsia="Times New Roman"/>
          <w:lang w:val="en-GB"/>
        </w:rPr>
        <w:t xml:space="preserve"> in</w:t>
      </w:r>
      <w:r w:rsidRPr="003C096B">
        <w:rPr>
          <w:rFonts w:eastAsia="Times New Roman"/>
          <w:lang w:val="en-GB"/>
        </w:rPr>
        <w:t xml:space="preserve"> </w:t>
      </w:r>
      <w:r w:rsidRPr="003C096B" w:rsidR="00C30346">
        <w:rPr>
          <w:rFonts w:eastAsia="Times New Roman"/>
          <w:lang w:val="en-GB"/>
        </w:rPr>
        <w:t>custody on account of the risk of his absconding</w:t>
      </w:r>
      <w:r w:rsidRPr="003C096B">
        <w:rPr>
          <w:rFonts w:eastAsia="Times New Roman"/>
          <w:lang w:val="en-GB"/>
        </w:rPr>
        <w:t xml:space="preserve"> (</w:t>
      </w:r>
      <w:r w:rsidRPr="003C096B" w:rsidR="00C30346">
        <w:rPr>
          <w:rFonts w:eastAsia="Times New Roman"/>
          <w:lang w:val="en-GB"/>
        </w:rPr>
        <w:t>see paragraph</w:t>
      </w:r>
      <w:r w:rsidRPr="003C096B">
        <w:rPr>
          <w:rFonts w:eastAsia="Times New Roman"/>
          <w:lang w:val="en-GB"/>
        </w:rPr>
        <w:t xml:space="preserve"> 18 </w:t>
      </w:r>
      <w:r w:rsidRPr="003C096B" w:rsidR="00C30346">
        <w:rPr>
          <w:rFonts w:eastAsia="Times New Roman"/>
          <w:lang w:val="en-GB"/>
        </w:rPr>
        <w:t>above</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48</w:t>
      </w:r>
      <w:r w:rsidRPr="003C096B">
        <w:rPr>
          <w:rFonts w:eastAsia="Times New Roman"/>
          <w:lang w:val="en-GB"/>
        </w:rPr>
        <w:fldChar w:fldCharType="end"/>
      </w:r>
      <w:r w:rsidRPr="003C096B">
        <w:rPr>
          <w:rFonts w:eastAsia="Times New Roman"/>
          <w:lang w:val="en-GB"/>
        </w:rPr>
        <w:t>.  </w:t>
      </w:r>
      <w:r w:rsidRPr="003C096B" w:rsidR="00C30346">
        <w:rPr>
          <w:rFonts w:eastAsia="Times New Roman"/>
          <w:lang w:val="en-GB"/>
        </w:rPr>
        <w:t xml:space="preserve">The Court further notes that the case was not a complex one (contrast </w:t>
      </w:r>
      <w:proofErr w:type="spellStart"/>
      <w:r w:rsidRPr="003C096B">
        <w:rPr>
          <w:rFonts w:eastAsia="Times New Roman"/>
          <w:i/>
          <w:lang w:val="en-GB"/>
        </w:rPr>
        <w:t>Bogdanovski</w:t>
      </w:r>
      <w:proofErr w:type="spellEnd"/>
      <w:r w:rsidRPr="003C096B">
        <w:rPr>
          <w:rFonts w:eastAsia="Times New Roman"/>
          <w:lang w:val="en-GB"/>
        </w:rPr>
        <w:t xml:space="preserve">, </w:t>
      </w:r>
      <w:r w:rsidRPr="003C096B" w:rsidR="00C30346">
        <w:rPr>
          <w:rStyle w:val="JuParaCar"/>
          <w:rFonts w:eastAsia="Times New Roman"/>
          <w:lang w:val="en-GB"/>
        </w:rPr>
        <w:t>cited above</w:t>
      </w:r>
      <w:r w:rsidRPr="003C096B">
        <w:rPr>
          <w:rFonts w:eastAsia="Times New Roman"/>
          <w:lang w:val="en-GB"/>
        </w:rPr>
        <w:t xml:space="preserve">, </w:t>
      </w:r>
      <w:r w:rsidRPr="003C096B" w:rsidR="00C30346">
        <w:rPr>
          <w:rFonts w:eastAsia="Times New Roman"/>
          <w:lang w:val="en-GB"/>
        </w:rPr>
        <w:t>where the applicant had sought political</w:t>
      </w:r>
      <w:r w:rsidR="00E8723E">
        <w:rPr>
          <w:rFonts w:eastAsia="Times New Roman"/>
          <w:lang w:val="en-GB"/>
        </w:rPr>
        <w:t>-</w:t>
      </w:r>
      <w:r w:rsidRPr="003C096B" w:rsidR="00C30346">
        <w:rPr>
          <w:rFonts w:eastAsia="Times New Roman"/>
          <w:lang w:val="en-GB"/>
        </w:rPr>
        <w:t>refugee status</w:t>
      </w:r>
      <w:r w:rsidRPr="003C096B">
        <w:rPr>
          <w:rFonts w:eastAsia="Times New Roman"/>
          <w:lang w:val="en-GB"/>
        </w:rPr>
        <w:t xml:space="preserve"> </w:t>
      </w:r>
      <w:r w:rsidRPr="003C096B" w:rsidR="00C30346">
        <w:rPr>
          <w:rFonts w:eastAsia="Times New Roman"/>
          <w:lang w:val="en-GB"/>
        </w:rPr>
        <w:t xml:space="preserve">and the </w:t>
      </w:r>
      <w:r w:rsidRPr="003C096B">
        <w:rPr>
          <w:rFonts w:eastAsia="Times New Roman"/>
          <w:lang w:val="en-GB"/>
        </w:rPr>
        <w:t xml:space="preserve">extradition </w:t>
      </w:r>
      <w:r w:rsidRPr="003C096B" w:rsidR="0074414F">
        <w:rPr>
          <w:rFonts w:eastAsia="Times New Roman"/>
          <w:lang w:val="en-GB"/>
        </w:rPr>
        <w:t>proceedings</w:t>
      </w:r>
      <w:r w:rsidRPr="003C096B" w:rsidR="00C30346">
        <w:rPr>
          <w:rFonts w:eastAsia="Times New Roman"/>
          <w:lang w:val="en-GB"/>
        </w:rPr>
        <w:t xml:space="preserve"> had been suspended at the request of the U</w:t>
      </w:r>
      <w:r w:rsidR="0095236E">
        <w:rPr>
          <w:rFonts w:eastAsia="Times New Roman"/>
          <w:lang w:val="en-GB"/>
        </w:rPr>
        <w:t xml:space="preserve">nited </w:t>
      </w:r>
      <w:r w:rsidRPr="003C096B" w:rsidR="00C30346">
        <w:rPr>
          <w:rFonts w:eastAsia="Times New Roman"/>
          <w:lang w:val="en-GB"/>
        </w:rPr>
        <w:t>N</w:t>
      </w:r>
      <w:r w:rsidR="0095236E">
        <w:rPr>
          <w:rFonts w:eastAsia="Times New Roman"/>
          <w:lang w:val="en-GB"/>
        </w:rPr>
        <w:t xml:space="preserve">ations </w:t>
      </w:r>
      <w:r w:rsidRPr="003C096B" w:rsidR="00C30346">
        <w:rPr>
          <w:rFonts w:eastAsia="Times New Roman"/>
          <w:lang w:val="en-GB"/>
        </w:rPr>
        <w:t>H</w:t>
      </w:r>
      <w:r w:rsidR="0095236E">
        <w:rPr>
          <w:rFonts w:eastAsia="Times New Roman"/>
          <w:lang w:val="en-GB"/>
        </w:rPr>
        <w:t xml:space="preserve">igh </w:t>
      </w:r>
      <w:r w:rsidRPr="003C096B" w:rsidR="00C30346">
        <w:rPr>
          <w:rFonts w:eastAsia="Times New Roman"/>
          <w:lang w:val="en-GB"/>
        </w:rPr>
        <w:t>C</w:t>
      </w:r>
      <w:r w:rsidR="0095236E">
        <w:rPr>
          <w:rFonts w:eastAsia="Times New Roman"/>
          <w:lang w:val="en-GB"/>
        </w:rPr>
        <w:t xml:space="preserve">ommissioner for </w:t>
      </w:r>
      <w:r w:rsidRPr="003C096B" w:rsidR="00C30346">
        <w:rPr>
          <w:rFonts w:eastAsia="Times New Roman"/>
          <w:lang w:val="en-GB"/>
        </w:rPr>
        <w:t>R</w:t>
      </w:r>
      <w:r w:rsidR="0095236E">
        <w:rPr>
          <w:rFonts w:eastAsia="Times New Roman"/>
          <w:lang w:val="en-GB"/>
        </w:rPr>
        <w:t>efugees</w:t>
      </w:r>
      <w:r w:rsidRPr="003C096B">
        <w:rPr>
          <w:rFonts w:eastAsia="Times New Roman"/>
          <w:lang w:val="en-GB"/>
        </w:rPr>
        <w:t xml:space="preserve"> </w:t>
      </w:r>
      <w:r w:rsidRPr="003C096B" w:rsidR="00C30346">
        <w:rPr>
          <w:rFonts w:eastAsia="Times New Roman"/>
          <w:lang w:val="en-GB"/>
        </w:rPr>
        <w:t xml:space="preserve">and the </w:t>
      </w:r>
      <w:r w:rsidRPr="003C096B">
        <w:rPr>
          <w:rFonts w:eastAsia="Times New Roman"/>
          <w:lang w:val="en-GB"/>
        </w:rPr>
        <w:t>Cour</w:t>
      </w:r>
      <w:r w:rsidRPr="003C096B" w:rsidR="00C30346">
        <w:rPr>
          <w:rFonts w:eastAsia="Times New Roman"/>
          <w:lang w:val="en-GB"/>
        </w:rPr>
        <w:t>t itself, following the application of Rule</w:t>
      </w:r>
      <w:r w:rsidRPr="003C096B">
        <w:rPr>
          <w:rFonts w:eastAsia="Times New Roman"/>
          <w:lang w:val="en-GB"/>
        </w:rPr>
        <w:t xml:space="preserve"> 39 </w:t>
      </w:r>
      <w:r w:rsidRPr="003C096B" w:rsidR="00C30346">
        <w:rPr>
          <w:rFonts w:eastAsia="Times New Roman"/>
          <w:lang w:val="en-GB"/>
        </w:rPr>
        <w:t>of the Rules of Court</w:t>
      </w:r>
      <w:r w:rsidRPr="003C096B">
        <w:rPr>
          <w:rFonts w:eastAsia="Times New Roman"/>
          <w:lang w:val="en-GB"/>
        </w:rPr>
        <w:t>).</w:t>
      </w:r>
      <w:r w:rsidRPr="003C096B" w:rsidR="00C30346">
        <w:rPr>
          <w:rFonts w:eastAsia="Times New Roman"/>
          <w:lang w:val="en-GB"/>
        </w:rPr>
        <w:t xml:space="preserve"> T</w:t>
      </w:r>
      <w:r w:rsidRPr="003C096B" w:rsidR="00C807D3">
        <w:rPr>
          <w:rFonts w:eastAsia="Times New Roman"/>
          <w:lang w:val="en-GB"/>
        </w:rPr>
        <w:t>he Court of Appeal</w:t>
      </w:r>
      <w:r w:rsidR="00A51F9F">
        <w:rPr>
          <w:rFonts w:eastAsia="Times New Roman"/>
          <w:lang w:val="en-GB"/>
        </w:rPr>
        <w:t>’</w:t>
      </w:r>
      <w:r w:rsidRPr="003C096B" w:rsidR="00C807D3">
        <w:rPr>
          <w:rFonts w:eastAsia="Times New Roman"/>
          <w:lang w:val="en-GB"/>
        </w:rPr>
        <w:t xml:space="preserve">s task </w:t>
      </w:r>
      <w:r w:rsidRPr="003C096B" w:rsidR="00C30346">
        <w:rPr>
          <w:rFonts w:eastAsia="Times New Roman"/>
          <w:lang w:val="en-GB"/>
        </w:rPr>
        <w:t xml:space="preserve">was confined to </w:t>
      </w:r>
      <w:r w:rsidRPr="003C096B" w:rsidR="000A1CBB">
        <w:rPr>
          <w:rFonts w:eastAsia="Times New Roman"/>
          <w:lang w:val="en-GB"/>
        </w:rPr>
        <w:t>ver</w:t>
      </w:r>
      <w:r w:rsidRPr="003C096B" w:rsidR="00EC3B60">
        <w:rPr>
          <w:rFonts w:eastAsia="Times New Roman"/>
          <w:lang w:val="en-GB"/>
        </w:rPr>
        <w:t>ifying</w:t>
      </w:r>
      <w:r w:rsidRPr="003C096B" w:rsidR="00C807D3">
        <w:rPr>
          <w:rFonts w:eastAsia="Times New Roman"/>
          <w:lang w:val="en-GB"/>
        </w:rPr>
        <w:t xml:space="preserve"> </w:t>
      </w:r>
      <w:r w:rsidRPr="003C096B" w:rsidR="000A1CBB">
        <w:rPr>
          <w:rFonts w:eastAsia="Times New Roman"/>
          <w:lang w:val="en-GB"/>
        </w:rPr>
        <w:t>that</w:t>
      </w:r>
      <w:r w:rsidRPr="003C096B" w:rsidR="00C807D3">
        <w:rPr>
          <w:rFonts w:eastAsia="Times New Roman"/>
          <w:lang w:val="en-GB"/>
        </w:rPr>
        <w:t xml:space="preserve"> the extradition request had been submitted in accordance with the European Convention on Extradition</w:t>
      </w:r>
      <w:r w:rsidRPr="003C096B" w:rsidR="00C30346">
        <w:rPr>
          <w:rFonts w:eastAsia="Times New Roman"/>
          <w:lang w:val="en-GB"/>
        </w:rPr>
        <w:t xml:space="preserve">; </w:t>
      </w:r>
      <w:r w:rsidRPr="003C096B" w:rsidR="000A1CBB">
        <w:rPr>
          <w:rFonts w:eastAsia="Times New Roman"/>
          <w:lang w:val="en-GB"/>
        </w:rPr>
        <w:t>that</w:t>
      </w:r>
      <w:r w:rsidRPr="003C096B" w:rsidR="00C807D3">
        <w:rPr>
          <w:rFonts w:eastAsia="Times New Roman"/>
          <w:lang w:val="en-GB"/>
        </w:rPr>
        <w:t xml:space="preserve"> the</w:t>
      </w:r>
      <w:r w:rsidRPr="003C096B" w:rsidR="00C30346">
        <w:rPr>
          <w:rFonts w:eastAsia="Times New Roman"/>
          <w:lang w:val="en-GB"/>
        </w:rPr>
        <w:t xml:space="preserve"> </w:t>
      </w:r>
      <w:r w:rsidRPr="003C096B" w:rsidR="00C30346">
        <w:rPr>
          <w:rFonts w:eastAsia="Times New Roman"/>
          <w:i/>
          <w:lang w:val="en-GB"/>
        </w:rPr>
        <w:t xml:space="preserve">ne </w:t>
      </w:r>
      <w:proofErr w:type="spellStart"/>
      <w:r w:rsidRPr="003C096B" w:rsidR="00C30346">
        <w:rPr>
          <w:rFonts w:eastAsia="Times New Roman"/>
          <w:i/>
          <w:lang w:val="en-GB"/>
        </w:rPr>
        <w:t>bis</w:t>
      </w:r>
      <w:proofErr w:type="spellEnd"/>
      <w:r w:rsidRPr="003C096B" w:rsidR="00C30346">
        <w:rPr>
          <w:rFonts w:eastAsia="Times New Roman"/>
          <w:i/>
          <w:lang w:val="en-GB"/>
        </w:rPr>
        <w:t xml:space="preserve"> in idem</w:t>
      </w:r>
      <w:r w:rsidRPr="003C096B" w:rsidR="00C807D3">
        <w:rPr>
          <w:rFonts w:eastAsia="Times New Roman"/>
          <w:lang w:val="en-GB"/>
        </w:rPr>
        <w:t xml:space="preserve"> and the double</w:t>
      </w:r>
      <w:r w:rsidR="00E8723E">
        <w:rPr>
          <w:rFonts w:eastAsia="Times New Roman"/>
          <w:lang w:val="en-GB"/>
        </w:rPr>
        <w:t>-</w:t>
      </w:r>
      <w:r w:rsidRPr="003C096B" w:rsidR="00C807D3">
        <w:rPr>
          <w:rFonts w:eastAsia="Times New Roman"/>
          <w:lang w:val="en-GB"/>
        </w:rPr>
        <w:t>criminality principle</w:t>
      </w:r>
      <w:r w:rsidRPr="003C096B" w:rsidR="000A1CBB">
        <w:rPr>
          <w:rFonts w:eastAsia="Times New Roman"/>
          <w:lang w:val="en-GB"/>
        </w:rPr>
        <w:t>s</w:t>
      </w:r>
      <w:r w:rsidRPr="003C096B" w:rsidR="00C807D3">
        <w:rPr>
          <w:rFonts w:eastAsia="Times New Roman"/>
          <w:lang w:val="en-GB"/>
        </w:rPr>
        <w:t xml:space="preserve"> had been complied with</w:t>
      </w:r>
      <w:r w:rsidRPr="003C096B" w:rsidR="00C30346">
        <w:rPr>
          <w:rFonts w:eastAsia="Times New Roman"/>
          <w:lang w:val="en-GB"/>
        </w:rPr>
        <w:t xml:space="preserve">; and </w:t>
      </w:r>
      <w:r w:rsidRPr="003C096B" w:rsidR="000A1CBB">
        <w:rPr>
          <w:rFonts w:eastAsia="Times New Roman"/>
          <w:lang w:val="en-GB"/>
        </w:rPr>
        <w:t>that</w:t>
      </w:r>
      <w:r w:rsidRPr="003C096B" w:rsidR="00C807D3">
        <w:rPr>
          <w:rFonts w:eastAsia="Times New Roman"/>
          <w:lang w:val="en-GB"/>
        </w:rPr>
        <w:t xml:space="preserve"> the criminal proceedings were not motivated by discriminatory or political reasons.</w:t>
      </w:r>
      <w:r w:rsidRPr="003C096B">
        <w:rPr>
          <w:rFonts w:eastAsia="Times New Roman"/>
          <w:lang w:val="en-GB"/>
        </w:rPr>
        <w:t xml:space="preserve"> </w:t>
      </w:r>
      <w:r w:rsidRPr="003C096B" w:rsidR="000A1CBB">
        <w:rPr>
          <w:rFonts w:eastAsia="Times New Roman"/>
          <w:lang w:val="en-GB"/>
        </w:rPr>
        <w:t>The court</w:t>
      </w:r>
      <w:r w:rsidRPr="003C096B">
        <w:rPr>
          <w:rFonts w:eastAsia="Times New Roman"/>
          <w:lang w:val="en-GB"/>
        </w:rPr>
        <w:t xml:space="preserve"> </w:t>
      </w:r>
      <w:r w:rsidRPr="003C096B" w:rsidR="000A1CBB">
        <w:rPr>
          <w:rFonts w:eastAsia="Times New Roman"/>
          <w:lang w:val="en-GB"/>
        </w:rPr>
        <w:t>was not entitled by law to assess whether there were any serious indications of guilt</w:t>
      </w:r>
      <w:r w:rsidRPr="003C096B">
        <w:rPr>
          <w:lang w:val="en-GB"/>
        </w:rPr>
        <w:t xml:space="preserve"> </w:t>
      </w:r>
      <w:r w:rsidRPr="003C096B">
        <w:rPr>
          <w:rFonts w:eastAsia="Times New Roman"/>
          <w:lang w:val="en-GB"/>
        </w:rPr>
        <w:t>(</w:t>
      </w:r>
      <w:proofErr w:type="spellStart"/>
      <w:r w:rsidRPr="003C096B">
        <w:rPr>
          <w:rFonts w:eastAsia="Times New Roman"/>
          <w:i/>
          <w:lang w:val="en-GB"/>
        </w:rPr>
        <w:t>gravi</w:t>
      </w:r>
      <w:proofErr w:type="spellEnd"/>
      <w:r w:rsidRPr="003C096B">
        <w:rPr>
          <w:rFonts w:eastAsia="Times New Roman"/>
          <w:i/>
          <w:lang w:val="en-GB"/>
        </w:rPr>
        <w:t xml:space="preserve"> </w:t>
      </w:r>
      <w:proofErr w:type="spellStart"/>
      <w:r w:rsidRPr="003C096B">
        <w:rPr>
          <w:rFonts w:eastAsia="Times New Roman"/>
          <w:i/>
          <w:lang w:val="en-GB"/>
        </w:rPr>
        <w:t>indizi</w:t>
      </w:r>
      <w:proofErr w:type="spellEnd"/>
      <w:r w:rsidRPr="003C096B">
        <w:rPr>
          <w:rFonts w:eastAsia="Times New Roman"/>
          <w:i/>
          <w:lang w:val="en-GB"/>
        </w:rPr>
        <w:t xml:space="preserve"> di </w:t>
      </w:r>
      <w:proofErr w:type="spellStart"/>
      <w:r w:rsidRPr="003C096B">
        <w:rPr>
          <w:rFonts w:eastAsia="Times New Roman"/>
          <w:i/>
          <w:lang w:val="en-GB"/>
        </w:rPr>
        <w:t>colpevolezza</w:t>
      </w:r>
      <w:proofErr w:type="spellEnd"/>
      <w:r w:rsidR="00E8723E">
        <w:rPr>
          <w:rFonts w:eastAsia="Times New Roman"/>
          <w:lang w:val="en-GB"/>
        </w:rPr>
        <w:t xml:space="preserve"> – </w:t>
      </w:r>
      <w:r w:rsidRPr="003C096B" w:rsidR="000A1CBB">
        <w:rPr>
          <w:rFonts w:eastAsia="Times New Roman"/>
          <w:lang w:val="en-GB"/>
        </w:rPr>
        <w:t>see paragraph</w:t>
      </w:r>
      <w:r w:rsidRPr="003C096B">
        <w:rPr>
          <w:rFonts w:eastAsia="Times New Roman"/>
          <w:lang w:val="en-GB"/>
        </w:rPr>
        <w:t xml:space="preserve"> 28 </w:t>
      </w:r>
      <w:r w:rsidRPr="003C096B">
        <w:rPr>
          <w:rFonts w:eastAsia="Times New Roman"/>
          <w:i/>
          <w:lang w:val="en-GB"/>
        </w:rPr>
        <w:t xml:space="preserve">in fine </w:t>
      </w:r>
      <w:r w:rsidRPr="003C096B" w:rsidR="000A1CBB">
        <w:rPr>
          <w:rFonts w:eastAsia="Times New Roman"/>
          <w:lang w:val="en-GB"/>
        </w:rPr>
        <w:t>above</w:t>
      </w:r>
      <w:r w:rsidRPr="003C096B">
        <w:rPr>
          <w:rFonts w:eastAsia="Times New Roman"/>
          <w:lang w:val="en-GB"/>
        </w:rPr>
        <w:t xml:space="preserve">) </w:t>
      </w:r>
      <w:r w:rsidRPr="003C096B" w:rsidR="000A1CBB">
        <w:rPr>
          <w:rFonts w:eastAsia="Times New Roman"/>
          <w:lang w:val="en-GB"/>
        </w:rPr>
        <w:t xml:space="preserve">and no </w:t>
      </w:r>
      <w:r w:rsidR="00427257">
        <w:rPr>
          <w:rFonts w:eastAsia="Times New Roman"/>
          <w:lang w:val="en-GB"/>
        </w:rPr>
        <w:t>i</w:t>
      </w:r>
      <w:r w:rsidRPr="003C096B" w:rsidR="000A1CBB">
        <w:rPr>
          <w:rFonts w:eastAsia="Times New Roman"/>
          <w:lang w:val="en-GB"/>
        </w:rPr>
        <w:t xml:space="preserve">nquiries or investigative </w:t>
      </w:r>
      <w:r w:rsidRPr="003C096B" w:rsidR="005C6710">
        <w:rPr>
          <w:rFonts w:eastAsia="Times New Roman"/>
          <w:lang w:val="en-GB"/>
        </w:rPr>
        <w:t>activity</w:t>
      </w:r>
      <w:r w:rsidRPr="003C096B" w:rsidR="000A1CBB">
        <w:rPr>
          <w:rFonts w:eastAsia="Times New Roman"/>
          <w:lang w:val="en-GB"/>
        </w:rPr>
        <w:t xml:space="preserve"> were necessary</w:t>
      </w:r>
      <w:r w:rsidRPr="003C096B">
        <w:rPr>
          <w:rFonts w:eastAsia="Times New Roman"/>
          <w:lang w:val="en-GB"/>
        </w:rPr>
        <w:t xml:space="preserve"> (</w:t>
      </w:r>
      <w:r w:rsidRPr="003C096B" w:rsidR="000A1CBB">
        <w:rPr>
          <w:rFonts w:eastAsia="Times New Roman"/>
          <w:lang w:val="en-GB"/>
        </w:rPr>
        <w:t>see paragraph</w:t>
      </w:r>
      <w:r w:rsidRPr="003C096B">
        <w:rPr>
          <w:rFonts w:eastAsia="Times New Roman"/>
          <w:lang w:val="en-GB"/>
        </w:rPr>
        <w:t xml:space="preserve"> 15 </w:t>
      </w:r>
      <w:r w:rsidRPr="003C096B" w:rsidR="000A1CBB">
        <w:rPr>
          <w:rFonts w:eastAsia="Times New Roman"/>
          <w:lang w:val="en-GB"/>
        </w:rPr>
        <w:t>above</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49</w:t>
      </w:r>
      <w:r w:rsidRPr="003C096B">
        <w:rPr>
          <w:rFonts w:eastAsia="Times New Roman"/>
          <w:lang w:val="en-GB"/>
        </w:rPr>
        <w:fldChar w:fldCharType="end"/>
      </w:r>
      <w:r w:rsidRPr="003C096B">
        <w:rPr>
          <w:rFonts w:eastAsia="Times New Roman"/>
          <w:lang w:val="en-GB"/>
        </w:rPr>
        <w:t>.  </w:t>
      </w:r>
      <w:r w:rsidRPr="003C096B" w:rsidR="000A1CBB">
        <w:rPr>
          <w:rFonts w:eastAsia="Times New Roman"/>
          <w:lang w:val="en-GB"/>
        </w:rPr>
        <w:t>Secondly</w:t>
      </w:r>
      <w:r w:rsidRPr="003C096B">
        <w:rPr>
          <w:rFonts w:eastAsia="Times New Roman"/>
          <w:lang w:val="en-GB"/>
        </w:rPr>
        <w:t xml:space="preserve">, </w:t>
      </w:r>
      <w:r w:rsidRPr="003C096B" w:rsidR="000A1CBB">
        <w:rPr>
          <w:rFonts w:eastAsia="Times New Roman"/>
          <w:lang w:val="en-GB"/>
        </w:rPr>
        <w:t>the Court is struck by the fact that the Court of Cassation</w:t>
      </w:r>
      <w:r w:rsidRPr="003C096B" w:rsidR="00C807D3">
        <w:rPr>
          <w:rFonts w:eastAsia="Times New Roman"/>
          <w:lang w:val="en-GB"/>
        </w:rPr>
        <w:t xml:space="preserve">, after ruling within two months on </w:t>
      </w:r>
      <w:r w:rsidRPr="003C096B" w:rsidR="000A1CBB">
        <w:rPr>
          <w:rFonts w:eastAsia="Times New Roman"/>
          <w:lang w:val="en-GB"/>
        </w:rPr>
        <w:t>the applicant</w:t>
      </w:r>
      <w:r w:rsidR="00A51F9F">
        <w:rPr>
          <w:rFonts w:eastAsia="Times New Roman"/>
          <w:lang w:val="en-GB"/>
        </w:rPr>
        <w:t>’</w:t>
      </w:r>
      <w:r w:rsidRPr="003C096B" w:rsidR="000A1CBB">
        <w:rPr>
          <w:rFonts w:eastAsia="Times New Roman"/>
          <w:lang w:val="en-GB"/>
        </w:rPr>
        <w:t>s</w:t>
      </w:r>
      <w:r w:rsidRPr="003C096B" w:rsidR="00C807D3">
        <w:rPr>
          <w:rFonts w:eastAsia="Times New Roman"/>
          <w:lang w:val="en-GB"/>
        </w:rPr>
        <w:t xml:space="preserve"> appeal, </w:t>
      </w:r>
      <w:r w:rsidRPr="003C096B" w:rsidR="000A1CBB">
        <w:rPr>
          <w:rFonts w:eastAsia="Times New Roman"/>
          <w:lang w:val="en-GB"/>
        </w:rPr>
        <w:t>then took</w:t>
      </w:r>
      <w:r w:rsidRPr="003C096B" w:rsidR="00C807D3">
        <w:rPr>
          <w:rFonts w:eastAsia="Times New Roman"/>
          <w:lang w:val="en-GB"/>
        </w:rPr>
        <w:t xml:space="preserve"> more than four months to </w:t>
      </w:r>
      <w:r w:rsidRPr="003C096B" w:rsidR="000A1CBB">
        <w:rPr>
          <w:rFonts w:eastAsia="Times New Roman"/>
          <w:lang w:val="en-GB"/>
        </w:rPr>
        <w:t xml:space="preserve">deposit </w:t>
      </w:r>
      <w:r w:rsidR="00427257">
        <w:rPr>
          <w:rFonts w:eastAsia="Times New Roman"/>
          <w:lang w:val="en-GB"/>
        </w:rPr>
        <w:t>with</w:t>
      </w:r>
      <w:r w:rsidRPr="003C096B" w:rsidR="00427257">
        <w:rPr>
          <w:rFonts w:eastAsia="Times New Roman"/>
          <w:lang w:val="en-GB"/>
        </w:rPr>
        <w:t xml:space="preserve"> </w:t>
      </w:r>
      <w:r w:rsidRPr="003C096B" w:rsidR="000A1CBB">
        <w:rPr>
          <w:rFonts w:eastAsia="Times New Roman"/>
          <w:lang w:val="en-GB"/>
        </w:rPr>
        <w:t>its registry</w:t>
      </w:r>
      <w:r w:rsidRPr="003C096B" w:rsidR="00C807D3">
        <w:rPr>
          <w:rFonts w:eastAsia="Times New Roman"/>
          <w:lang w:val="en-GB"/>
        </w:rPr>
        <w:t xml:space="preserve"> a </w:t>
      </w:r>
      <w:r w:rsidRPr="003C096B" w:rsidR="00EC3B60">
        <w:rPr>
          <w:rFonts w:eastAsia="Times New Roman"/>
          <w:lang w:val="en-GB"/>
        </w:rPr>
        <w:t>one</w:t>
      </w:r>
      <w:r w:rsidRPr="003C096B" w:rsidR="000A1CBB">
        <w:rPr>
          <w:rFonts w:eastAsia="Times New Roman"/>
          <w:lang w:val="en-GB"/>
        </w:rPr>
        <w:t>-page</w:t>
      </w:r>
      <w:r w:rsidRPr="003C096B" w:rsidR="00C807D3">
        <w:rPr>
          <w:rFonts w:eastAsia="Times New Roman"/>
          <w:lang w:val="en-GB"/>
        </w:rPr>
        <w:t xml:space="preserve"> judgment </w:t>
      </w:r>
      <w:r w:rsidRPr="003C096B" w:rsidR="000A1CBB">
        <w:rPr>
          <w:rFonts w:eastAsia="Times New Roman"/>
          <w:lang w:val="en-GB"/>
        </w:rPr>
        <w:t>merely stating</w:t>
      </w:r>
      <w:r w:rsidRPr="003C096B" w:rsidR="00C807D3">
        <w:rPr>
          <w:rFonts w:eastAsia="Times New Roman"/>
          <w:lang w:val="en-GB"/>
        </w:rPr>
        <w:t xml:space="preserve"> that the extradition request had been sent by the requesting State in accordance with the proper procedure and that</w:t>
      </w:r>
      <w:r w:rsidRPr="003C096B" w:rsidR="000A1CBB">
        <w:rPr>
          <w:rFonts w:eastAsia="Times New Roman"/>
          <w:lang w:val="en-GB"/>
        </w:rPr>
        <w:t xml:space="preserve"> it</w:t>
      </w:r>
      <w:r w:rsidRPr="003C096B" w:rsidR="00C807D3">
        <w:rPr>
          <w:rFonts w:eastAsia="Times New Roman"/>
          <w:lang w:val="en-GB"/>
        </w:rPr>
        <w:t xml:space="preserve"> did not itself have jurisdiction to call into question the charges </w:t>
      </w:r>
      <w:r w:rsidRPr="003C096B" w:rsidR="000A1CBB">
        <w:rPr>
          <w:rFonts w:eastAsia="Times New Roman"/>
          <w:lang w:val="en-GB"/>
        </w:rPr>
        <w:t>laid</w:t>
      </w:r>
      <w:r w:rsidRPr="003C096B" w:rsidR="00C807D3">
        <w:rPr>
          <w:rFonts w:eastAsia="Times New Roman"/>
          <w:lang w:val="en-GB"/>
        </w:rPr>
        <w:t xml:space="preserve"> against </w:t>
      </w:r>
      <w:r w:rsidRPr="003C096B" w:rsidR="000A1CBB">
        <w:rPr>
          <w:rFonts w:eastAsia="Times New Roman"/>
          <w:lang w:val="en-GB"/>
        </w:rPr>
        <w:t>the applicant</w:t>
      </w:r>
      <w:r w:rsidRPr="003C096B" w:rsidR="00C807D3">
        <w:rPr>
          <w:rFonts w:eastAsia="Times New Roman"/>
          <w:lang w:val="en-GB"/>
        </w:rPr>
        <w:t xml:space="preserve"> by the Greek authorities</w:t>
      </w:r>
      <w:r w:rsidRPr="003C096B" w:rsidR="000A1CBB">
        <w:rPr>
          <w:rFonts w:eastAsia="Times New Roman"/>
          <w:lang w:val="en-GB"/>
        </w:rPr>
        <w:t xml:space="preserve"> (see paragraph 17 above)</w:t>
      </w:r>
      <w:r w:rsidRPr="003C096B" w:rsidR="00C807D3">
        <w:rPr>
          <w:rFonts w:eastAsia="Times New Roman"/>
          <w:lang w:val="en-GB"/>
        </w:rPr>
        <w:t xml:space="preserve">. The Government </w:t>
      </w:r>
      <w:r w:rsidRPr="003C096B" w:rsidR="000A1CBB">
        <w:rPr>
          <w:rFonts w:eastAsia="Times New Roman"/>
          <w:lang w:val="en-GB"/>
        </w:rPr>
        <w:t>did</w:t>
      </w:r>
      <w:r w:rsidRPr="003C096B" w:rsidR="00C807D3">
        <w:rPr>
          <w:rFonts w:eastAsia="Times New Roman"/>
          <w:lang w:val="en-GB"/>
        </w:rPr>
        <w:t xml:space="preserve"> not </w:t>
      </w:r>
      <w:r w:rsidRPr="003C096B" w:rsidR="000A1CBB">
        <w:rPr>
          <w:rFonts w:eastAsia="Times New Roman"/>
          <w:lang w:val="en-GB"/>
        </w:rPr>
        <w:t>adduce</w:t>
      </w:r>
      <w:r w:rsidRPr="003C096B" w:rsidR="00C807D3">
        <w:rPr>
          <w:rFonts w:eastAsia="Times New Roman"/>
          <w:lang w:val="en-GB"/>
        </w:rPr>
        <w:t xml:space="preserve"> any evidence capable of justifying that delay</w:t>
      </w:r>
      <w:r w:rsidRPr="003C096B">
        <w:rPr>
          <w:rFonts w:eastAsia="Times New Roman"/>
          <w:lang w:val="en-GB"/>
        </w:rPr>
        <w:t>.</w:t>
      </w:r>
    </w:p>
    <w:p w:rsidRPr="003C096B" w:rsidR="004F659D" w:rsidP="003C096B" w:rsidRDefault="004F659D">
      <w:pPr>
        <w:ind w:firstLine="284"/>
        <w:rPr>
          <w:rFonts w:eastAsia="Times New Roman"/>
          <w:lang w:val="en-GB"/>
        </w:rPr>
      </w:pPr>
      <w:r w:rsidRPr="003C096B">
        <w:rPr>
          <w:rFonts w:eastAsia="Times New Roman"/>
          <w:lang w:val="en-GB"/>
        </w:rPr>
        <w:fldChar w:fldCharType="begin"/>
      </w:r>
      <w:r w:rsidRPr="003C096B">
        <w:rPr>
          <w:rFonts w:eastAsia="Times New Roman"/>
          <w:lang w:val="en-GB"/>
        </w:rPr>
        <w:instrText xml:space="preserve"> SEQ level0 \*arabic </w:instrText>
      </w:r>
      <w:r w:rsidRPr="003C096B">
        <w:rPr>
          <w:rFonts w:eastAsia="Times New Roman"/>
          <w:lang w:val="en-GB"/>
        </w:rPr>
        <w:fldChar w:fldCharType="separate"/>
      </w:r>
      <w:r w:rsidRPr="003C096B" w:rsidR="00AD4A1A">
        <w:rPr>
          <w:rFonts w:eastAsia="Times New Roman"/>
          <w:lang w:val="en-GB"/>
        </w:rPr>
        <w:t>50</w:t>
      </w:r>
      <w:r w:rsidRPr="003C096B">
        <w:rPr>
          <w:rFonts w:eastAsia="Times New Roman"/>
          <w:lang w:val="en-GB"/>
        </w:rPr>
        <w:fldChar w:fldCharType="end"/>
      </w:r>
      <w:r w:rsidRPr="003C096B">
        <w:rPr>
          <w:rFonts w:eastAsia="Times New Roman"/>
          <w:lang w:val="en-GB"/>
        </w:rPr>
        <w:t>.  </w:t>
      </w:r>
      <w:r w:rsidRPr="003C096B" w:rsidR="000A1CBB">
        <w:rPr>
          <w:rFonts w:eastAsia="Times New Roman"/>
          <w:lang w:val="en-GB"/>
        </w:rPr>
        <w:t>Lastly, as to the Government</w:t>
      </w:r>
      <w:r w:rsidR="00A51F9F">
        <w:rPr>
          <w:rFonts w:eastAsia="Times New Roman"/>
          <w:lang w:val="en-GB"/>
        </w:rPr>
        <w:t>’</w:t>
      </w:r>
      <w:r w:rsidRPr="003C096B" w:rsidR="000A1CBB">
        <w:rPr>
          <w:rFonts w:eastAsia="Times New Roman"/>
          <w:lang w:val="en-GB"/>
        </w:rPr>
        <w:t xml:space="preserve">s argument that the applicant could have accelerated the </w:t>
      </w:r>
      <w:r w:rsidRPr="003C096B" w:rsidR="0074414F">
        <w:rPr>
          <w:rFonts w:eastAsia="Times New Roman"/>
          <w:lang w:val="en-GB"/>
        </w:rPr>
        <w:t>proceedings</w:t>
      </w:r>
      <w:r w:rsidRPr="003C096B" w:rsidR="000A1CBB">
        <w:rPr>
          <w:rFonts w:eastAsia="Times New Roman"/>
          <w:lang w:val="en-GB"/>
        </w:rPr>
        <w:t xml:space="preserve"> by not opposing his extradition</w:t>
      </w:r>
      <w:r w:rsidRPr="003C096B">
        <w:rPr>
          <w:rFonts w:eastAsia="Times New Roman"/>
          <w:lang w:val="en-GB"/>
        </w:rPr>
        <w:t xml:space="preserve">, </w:t>
      </w:r>
      <w:r w:rsidRPr="003C096B" w:rsidR="000A1CBB">
        <w:rPr>
          <w:rFonts w:eastAsia="Times New Roman"/>
          <w:lang w:val="en-GB"/>
        </w:rPr>
        <w:t>the Court finds that, while such opposition may in principle</w:t>
      </w:r>
      <w:r w:rsidRPr="003C096B" w:rsidR="00C807D3">
        <w:rPr>
          <w:rFonts w:eastAsia="Times New Roman"/>
          <w:lang w:val="en-GB"/>
        </w:rPr>
        <w:t xml:space="preserve"> justif</w:t>
      </w:r>
      <w:r w:rsidRPr="003C096B" w:rsidR="000A1CBB">
        <w:rPr>
          <w:rFonts w:eastAsia="Times New Roman"/>
          <w:lang w:val="en-GB"/>
        </w:rPr>
        <w:t>y</w:t>
      </w:r>
      <w:r w:rsidRPr="003C096B" w:rsidR="00C807D3">
        <w:rPr>
          <w:rFonts w:eastAsia="Times New Roman"/>
          <w:lang w:val="en-GB"/>
        </w:rPr>
        <w:t xml:space="preserve"> an extension of </w:t>
      </w:r>
      <w:r w:rsidRPr="003C096B" w:rsidR="000A1CBB">
        <w:rPr>
          <w:rFonts w:eastAsia="Times New Roman"/>
          <w:lang w:val="en-GB"/>
        </w:rPr>
        <w:t xml:space="preserve">custody as it </w:t>
      </w:r>
      <w:r w:rsidRPr="003C096B" w:rsidR="00427257">
        <w:rPr>
          <w:rFonts w:eastAsia="Times New Roman"/>
          <w:lang w:val="en-GB"/>
        </w:rPr>
        <w:t>w</w:t>
      </w:r>
      <w:r w:rsidR="00427257">
        <w:rPr>
          <w:rFonts w:eastAsia="Times New Roman"/>
          <w:lang w:val="en-GB"/>
        </w:rPr>
        <w:t>ould</w:t>
      </w:r>
      <w:r w:rsidRPr="003C096B" w:rsidR="00427257">
        <w:rPr>
          <w:rFonts w:eastAsia="Times New Roman"/>
          <w:lang w:val="en-GB"/>
        </w:rPr>
        <w:t xml:space="preserve"> </w:t>
      </w:r>
      <w:r w:rsidRPr="003C096B" w:rsidR="000A1CBB">
        <w:rPr>
          <w:rFonts w:eastAsia="Times New Roman"/>
          <w:lang w:val="en-GB"/>
        </w:rPr>
        <w:t>have to be examined by a court</w:t>
      </w:r>
      <w:r w:rsidRPr="003C096B" w:rsidR="00C807D3">
        <w:rPr>
          <w:rFonts w:eastAsia="Times New Roman"/>
          <w:lang w:val="en-GB"/>
        </w:rPr>
        <w:t xml:space="preserve">, </w:t>
      </w:r>
      <w:r w:rsidRPr="003C096B" w:rsidR="000A1CBB">
        <w:rPr>
          <w:rFonts w:eastAsia="Times New Roman"/>
          <w:lang w:val="en-GB"/>
        </w:rPr>
        <w:t>this cannot</w:t>
      </w:r>
      <w:r w:rsidRPr="003C096B" w:rsidR="00C807D3">
        <w:rPr>
          <w:rFonts w:eastAsia="Times New Roman"/>
          <w:lang w:val="en-GB"/>
        </w:rPr>
        <w:t xml:space="preserve"> relieve the State of </w:t>
      </w:r>
      <w:r w:rsidR="00427257">
        <w:rPr>
          <w:rFonts w:eastAsia="Times New Roman"/>
          <w:lang w:val="en-GB"/>
        </w:rPr>
        <w:t xml:space="preserve">its </w:t>
      </w:r>
      <w:r w:rsidRPr="003C096B" w:rsidR="00C807D3">
        <w:rPr>
          <w:rFonts w:eastAsia="Times New Roman"/>
          <w:lang w:val="en-GB"/>
        </w:rPr>
        <w:t xml:space="preserve">responsibility for </w:t>
      </w:r>
      <w:r w:rsidRPr="003C096B" w:rsidR="000A1CBB">
        <w:rPr>
          <w:rFonts w:eastAsia="Times New Roman"/>
          <w:lang w:val="en-GB"/>
        </w:rPr>
        <w:t>any unjustified delay</w:t>
      </w:r>
      <w:r w:rsidRPr="003C096B" w:rsidR="00C807D3">
        <w:rPr>
          <w:rFonts w:eastAsia="Times New Roman"/>
          <w:lang w:val="en-GB"/>
        </w:rPr>
        <w:t xml:space="preserve"> during the judicial phase</w:t>
      </w:r>
      <w:r w:rsidRPr="003C096B">
        <w:rPr>
          <w:rFonts w:eastAsia="Times New Roman"/>
          <w:lang w:val="en-GB"/>
        </w:rPr>
        <w:t>.</w:t>
      </w:r>
    </w:p>
    <w:p w:rsidRPr="003C096B" w:rsidR="00014566" w:rsidP="003C096B" w:rsidRDefault="004F659D">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51</w:t>
      </w:r>
      <w:r w:rsidRPr="003C096B">
        <w:rPr>
          <w:lang w:val="en-GB"/>
        </w:rPr>
        <w:fldChar w:fldCharType="end"/>
      </w:r>
      <w:r w:rsidRPr="003C096B">
        <w:rPr>
          <w:lang w:val="en-GB"/>
        </w:rPr>
        <w:t>.  </w:t>
      </w:r>
      <w:r w:rsidRPr="003C096B" w:rsidR="000A1CBB">
        <w:rPr>
          <w:lang w:val="en-GB"/>
        </w:rPr>
        <w:t>Consequently, having regard</w:t>
      </w:r>
      <w:r w:rsidRPr="003C096B">
        <w:rPr>
          <w:lang w:val="en-GB"/>
        </w:rPr>
        <w:t xml:space="preserve"> </w:t>
      </w:r>
      <w:r w:rsidRPr="003C096B" w:rsidR="00C807D3">
        <w:rPr>
          <w:lang w:val="en-GB"/>
        </w:rPr>
        <w:t xml:space="preserve">to the nature of the extradition </w:t>
      </w:r>
      <w:r w:rsidRPr="003C096B" w:rsidR="0074414F">
        <w:rPr>
          <w:lang w:val="en-GB"/>
        </w:rPr>
        <w:t>proceedings</w:t>
      </w:r>
      <w:r w:rsidRPr="003C096B" w:rsidR="000A1CBB">
        <w:rPr>
          <w:lang w:val="en-GB"/>
        </w:rPr>
        <w:t xml:space="preserve">, </w:t>
      </w:r>
      <w:r w:rsidRPr="003C096B" w:rsidR="00AD4A1A">
        <w:rPr>
          <w:lang w:val="en-GB"/>
        </w:rPr>
        <w:t>whose aim was to ensure that</w:t>
      </w:r>
      <w:r w:rsidRPr="003C096B" w:rsidR="000A1CBB">
        <w:rPr>
          <w:lang w:val="en-GB"/>
        </w:rPr>
        <w:t xml:space="preserve"> </w:t>
      </w:r>
      <w:r w:rsidRPr="003C096B" w:rsidR="00AD4A1A">
        <w:rPr>
          <w:lang w:val="en-GB"/>
        </w:rPr>
        <w:t>the prosecution of the applicant would be pursued</w:t>
      </w:r>
      <w:r w:rsidRPr="003C096B" w:rsidR="000A1CBB">
        <w:rPr>
          <w:lang w:val="en-GB"/>
        </w:rPr>
        <w:t xml:space="preserve"> in </w:t>
      </w:r>
      <w:r w:rsidR="00001DEE">
        <w:rPr>
          <w:lang w:val="en-GB"/>
        </w:rPr>
        <w:t>another</w:t>
      </w:r>
      <w:r w:rsidRPr="003C096B" w:rsidR="000A1CBB">
        <w:rPr>
          <w:lang w:val="en-GB"/>
        </w:rPr>
        <w:t xml:space="preserve"> State,</w:t>
      </w:r>
      <w:r w:rsidRPr="003C096B" w:rsidR="00C807D3">
        <w:rPr>
          <w:lang w:val="en-GB"/>
        </w:rPr>
        <w:t xml:space="preserve"> and the unjustified delay</w:t>
      </w:r>
      <w:r w:rsidRPr="003C096B" w:rsidR="00CF64A4">
        <w:rPr>
          <w:lang w:val="en-GB"/>
        </w:rPr>
        <w:t>s in</w:t>
      </w:r>
      <w:r w:rsidRPr="003C096B" w:rsidR="00C807D3">
        <w:rPr>
          <w:lang w:val="en-GB"/>
        </w:rPr>
        <w:t xml:space="preserve"> the Italian courts, the Court </w:t>
      </w:r>
      <w:r w:rsidRPr="003C096B" w:rsidR="00AD4A1A">
        <w:rPr>
          <w:lang w:val="en-GB"/>
        </w:rPr>
        <w:t>finds that the applicant</w:t>
      </w:r>
      <w:r w:rsidR="00A51F9F">
        <w:rPr>
          <w:lang w:val="en-GB"/>
        </w:rPr>
        <w:t>’</w:t>
      </w:r>
      <w:r w:rsidRPr="003C096B" w:rsidR="00AD4A1A">
        <w:rPr>
          <w:lang w:val="en-GB"/>
        </w:rPr>
        <w:t>s</w:t>
      </w:r>
      <w:r w:rsidRPr="003C096B" w:rsidR="00C807D3">
        <w:rPr>
          <w:lang w:val="en-GB"/>
        </w:rPr>
        <w:t xml:space="preserve"> detention </w:t>
      </w:r>
      <w:r w:rsidRPr="003C096B" w:rsidR="00AD4A1A">
        <w:rPr>
          <w:lang w:val="en-GB"/>
        </w:rPr>
        <w:t>was not</w:t>
      </w:r>
      <w:r w:rsidRPr="003C096B" w:rsidR="00C807D3">
        <w:rPr>
          <w:lang w:val="en-GB"/>
        </w:rPr>
        <w:t xml:space="preserve"> “lawful” within the meaning of Article 5 § 1 (f) of the Convention and that there </w:t>
      </w:r>
      <w:r w:rsidRPr="003C096B" w:rsidR="00AD4A1A">
        <w:rPr>
          <w:lang w:val="en-GB"/>
        </w:rPr>
        <w:t>has</w:t>
      </w:r>
      <w:r w:rsidRPr="003C096B" w:rsidR="00C807D3">
        <w:rPr>
          <w:lang w:val="en-GB"/>
        </w:rPr>
        <w:t xml:space="preserve"> therefore been a violation of that provision</w:t>
      </w:r>
      <w:r w:rsidRPr="003C096B">
        <w:rPr>
          <w:lang w:val="en-GB"/>
        </w:rPr>
        <w:t>.</w:t>
      </w:r>
    </w:p>
    <w:p w:rsidRPr="003C096B" w:rsidR="00014566" w:rsidP="003C096B" w:rsidRDefault="00AD4A1A">
      <w:pPr>
        <w:pStyle w:val="ECHRHeading1"/>
        <w:rPr>
          <w:lang w:val="en-GB"/>
        </w:rPr>
      </w:pPr>
      <w:r w:rsidRPr="003C096B">
        <w:rPr>
          <w:lang w:val="en-GB"/>
        </w:rPr>
        <w:t>II</w:t>
      </w:r>
      <w:r w:rsidRPr="003C096B" w:rsidR="00014566">
        <w:rPr>
          <w:lang w:val="en-GB"/>
        </w:rPr>
        <w:t>.</w:t>
      </w:r>
      <w:proofErr w:type="gramStart"/>
      <w:r w:rsidRPr="003C096B" w:rsidR="00014566">
        <w:rPr>
          <w:lang w:val="en-GB"/>
        </w:rPr>
        <w:t>  APPLICATION</w:t>
      </w:r>
      <w:proofErr w:type="gramEnd"/>
      <w:r w:rsidRPr="003C096B" w:rsidR="00014566">
        <w:rPr>
          <w:lang w:val="en-GB"/>
        </w:rPr>
        <w:t xml:space="preserve"> OF ARTICLE 41 OF THE CONVENTION</w:t>
      </w:r>
    </w:p>
    <w:p w:rsidRPr="003C096B" w:rsidR="00014566" w:rsidP="003C096B" w:rsidRDefault="00AD4A1A">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Pr>
          <w:lang w:val="en-GB"/>
        </w:rPr>
        <w:t>52</w:t>
      </w:r>
      <w:r w:rsidRPr="003C096B">
        <w:rPr>
          <w:lang w:val="en-GB"/>
        </w:rPr>
        <w:fldChar w:fldCharType="end"/>
      </w:r>
      <w:r w:rsidRPr="003C096B">
        <w:rPr>
          <w:lang w:val="en-GB"/>
        </w:rPr>
        <w:t>.  </w:t>
      </w:r>
      <w:r w:rsidRPr="003C096B" w:rsidR="00014566">
        <w:rPr>
          <w:lang w:val="en-GB"/>
        </w:rPr>
        <w:t>Article 41 of the Convention provides:</w:t>
      </w:r>
    </w:p>
    <w:p w:rsidRPr="003C096B" w:rsidR="00014566" w:rsidP="003C096B" w:rsidRDefault="00014566">
      <w:pPr>
        <w:pStyle w:val="ECHRParaQuote"/>
        <w:keepNext/>
        <w:keepLines/>
        <w:rPr>
          <w:lang w:val="en-GB"/>
        </w:rPr>
      </w:pPr>
      <w:r w:rsidRPr="003C096B">
        <w:rPr>
          <w:lang w:val="en-GB"/>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3C096B" w:rsidR="00014566" w:rsidP="003C096B" w:rsidRDefault="007F2B37">
      <w:pPr>
        <w:pStyle w:val="ECHRPara"/>
        <w:rPr>
          <w:lang w:val="en-GB"/>
        </w:rPr>
      </w:pPr>
      <w:r w:rsidRPr="003C096B">
        <w:rPr>
          <w:lang w:val="en-GB"/>
        </w:rPr>
        <w:fldChar w:fldCharType="begin"/>
      </w:r>
      <w:r w:rsidRPr="003C096B">
        <w:rPr>
          <w:lang w:val="en-GB"/>
        </w:rPr>
        <w:instrText xml:space="preserve"> SEQ level0 \*arabic </w:instrText>
      </w:r>
      <w:r w:rsidRPr="003C096B">
        <w:rPr>
          <w:lang w:val="en-GB"/>
        </w:rPr>
        <w:fldChar w:fldCharType="separate"/>
      </w:r>
      <w:r w:rsidRPr="003C096B" w:rsidR="00AD4A1A">
        <w:rPr>
          <w:lang w:val="en-GB"/>
        </w:rPr>
        <w:t>53</w:t>
      </w:r>
      <w:r w:rsidRPr="003C096B">
        <w:rPr>
          <w:lang w:val="en-GB"/>
        </w:rPr>
        <w:fldChar w:fldCharType="end"/>
      </w:r>
      <w:r w:rsidRPr="003C096B" w:rsidR="00014566">
        <w:rPr>
          <w:lang w:val="en-GB"/>
        </w:rPr>
        <w:t>.  The applicant did not submit a claim for just satisfaction</w:t>
      </w:r>
      <w:r w:rsidRPr="003C096B" w:rsidR="00AD4A1A">
        <w:rPr>
          <w:lang w:val="en-GB"/>
        </w:rPr>
        <w:t xml:space="preserve"> (see paragraph 5 above)</w:t>
      </w:r>
      <w:r w:rsidRPr="003C096B" w:rsidR="00014566">
        <w:rPr>
          <w:lang w:val="en-GB"/>
        </w:rPr>
        <w:t xml:space="preserve">. Accordingly, the Court considers that there is no call to award </w:t>
      </w:r>
      <w:r w:rsidRPr="003C096B">
        <w:rPr>
          <w:lang w:val="en-GB"/>
        </w:rPr>
        <w:t>him</w:t>
      </w:r>
      <w:r w:rsidRPr="003C096B" w:rsidR="00014566">
        <w:rPr>
          <w:lang w:val="en-GB"/>
        </w:rPr>
        <w:t xml:space="preserve"> any sum on that account.</w:t>
      </w:r>
    </w:p>
    <w:p w:rsidRPr="003C096B" w:rsidR="00014566" w:rsidP="003C096B" w:rsidRDefault="00BB5883">
      <w:pPr>
        <w:pStyle w:val="ECHRTitle1"/>
        <w:rPr>
          <w:lang w:val="en-GB"/>
        </w:rPr>
      </w:pPr>
      <w:r w:rsidRPr="003C096B">
        <w:rPr>
          <w:lang w:val="en-GB"/>
        </w:rPr>
        <w:t>FOR THESE REASONS, THE COURT</w:t>
      </w:r>
      <w:r w:rsidRPr="003C096B" w:rsidR="007F2B37">
        <w:rPr>
          <w:lang w:val="en-GB"/>
        </w:rPr>
        <w:t>, UNANIMOUSLY,</w:t>
      </w:r>
    </w:p>
    <w:p w:rsidRPr="003C096B" w:rsidR="00B637B9" w:rsidP="003C096B" w:rsidRDefault="00B637B9">
      <w:pPr>
        <w:pStyle w:val="JuList"/>
        <w:rPr>
          <w:lang w:val="en-GB"/>
        </w:rPr>
      </w:pPr>
      <w:r w:rsidRPr="003C096B">
        <w:rPr>
          <w:lang w:val="en-GB"/>
        </w:rPr>
        <w:t>1.  </w:t>
      </w:r>
      <w:proofErr w:type="gramStart"/>
      <w:r w:rsidRPr="003C096B">
        <w:rPr>
          <w:i/>
          <w:lang w:val="en-GB"/>
        </w:rPr>
        <w:t>Declares</w:t>
      </w:r>
      <w:proofErr w:type="gramEnd"/>
      <w:r w:rsidRPr="003C096B" w:rsidR="007F2B37">
        <w:rPr>
          <w:lang w:val="en-GB"/>
        </w:rPr>
        <w:t xml:space="preserve"> </w:t>
      </w:r>
      <w:r w:rsidRPr="003C096B">
        <w:rPr>
          <w:lang w:val="en-GB"/>
        </w:rPr>
        <w:t xml:space="preserve">the </w:t>
      </w:r>
      <w:r w:rsidRPr="003C096B" w:rsidR="007F2B37">
        <w:rPr>
          <w:lang w:val="en-GB"/>
        </w:rPr>
        <w:t>application</w:t>
      </w:r>
      <w:r w:rsidRPr="003C096B">
        <w:rPr>
          <w:lang w:val="en-GB"/>
        </w:rPr>
        <w:t xml:space="preserve"> admissible;</w:t>
      </w:r>
    </w:p>
    <w:p w:rsidRPr="003C096B" w:rsidR="00014566" w:rsidP="003C096B" w:rsidRDefault="00014566">
      <w:pPr>
        <w:pStyle w:val="JuList"/>
        <w:ind w:left="0" w:firstLine="0"/>
        <w:rPr>
          <w:lang w:val="en-GB"/>
        </w:rPr>
      </w:pPr>
    </w:p>
    <w:p w:rsidRPr="003C096B" w:rsidR="00014566" w:rsidP="003C096B" w:rsidRDefault="00AD4A1A">
      <w:pPr>
        <w:pStyle w:val="JuList"/>
        <w:rPr>
          <w:lang w:val="en-GB"/>
        </w:rPr>
      </w:pPr>
      <w:r w:rsidRPr="003C096B">
        <w:rPr>
          <w:lang w:val="en-GB"/>
        </w:rPr>
        <w:t>2</w:t>
      </w:r>
      <w:r w:rsidRPr="003C096B" w:rsidR="00014566">
        <w:rPr>
          <w:lang w:val="en-GB"/>
        </w:rPr>
        <w:t>.  </w:t>
      </w:r>
      <w:r w:rsidRPr="003C096B" w:rsidR="00014566">
        <w:rPr>
          <w:i/>
          <w:lang w:val="en-GB"/>
        </w:rPr>
        <w:t>Holds</w:t>
      </w:r>
      <w:r w:rsidRPr="003C096B" w:rsidR="007F2B37">
        <w:rPr>
          <w:lang w:val="en-GB"/>
        </w:rPr>
        <w:t xml:space="preserve"> </w:t>
      </w:r>
      <w:r w:rsidRPr="003C096B" w:rsidR="00014566">
        <w:rPr>
          <w:lang w:val="en-GB"/>
        </w:rPr>
        <w:t xml:space="preserve">that there has been a violation of Article </w:t>
      </w:r>
      <w:r w:rsidRPr="003C096B">
        <w:rPr>
          <w:lang w:val="en-GB"/>
        </w:rPr>
        <w:t>5 § 1 (f) of the Convention.</w:t>
      </w:r>
    </w:p>
    <w:p w:rsidRPr="003C096B" w:rsidR="00014566" w:rsidP="003C096B" w:rsidRDefault="00014566">
      <w:pPr>
        <w:pStyle w:val="JuParaLast"/>
        <w:rPr>
          <w:lang w:val="en-GB"/>
        </w:rPr>
      </w:pPr>
      <w:r w:rsidRPr="003C096B">
        <w:rPr>
          <w:lang w:val="en-GB"/>
        </w:rPr>
        <w:t xml:space="preserve">Done in </w:t>
      </w:r>
      <w:r w:rsidRPr="003C096B" w:rsidR="00AD4A1A">
        <w:rPr>
          <w:lang w:val="en-GB"/>
        </w:rPr>
        <w:t>French</w:t>
      </w:r>
      <w:r w:rsidRPr="003C096B">
        <w:rPr>
          <w:lang w:val="en-GB"/>
        </w:rPr>
        <w:t xml:space="preserve">, and notified in writing on </w:t>
      </w:r>
      <w:r w:rsidRPr="003C096B" w:rsidR="00AD4A1A">
        <w:rPr>
          <w:lang w:val="en-GB"/>
        </w:rPr>
        <w:t>24 March 2015</w:t>
      </w:r>
      <w:r w:rsidRPr="003C096B">
        <w:rPr>
          <w:lang w:val="en-GB"/>
        </w:rPr>
        <w:t>, pursuant to Rule 77 §§ 2 and 3 of the Rules of Court.</w:t>
      </w:r>
    </w:p>
    <w:p w:rsidRPr="003C096B" w:rsidR="00014566" w:rsidP="003C096B" w:rsidRDefault="00014566">
      <w:pPr>
        <w:pStyle w:val="JuSigned"/>
        <w:rPr>
          <w:lang w:val="en-GB"/>
        </w:rPr>
      </w:pPr>
      <w:r w:rsidRPr="003C096B">
        <w:rPr>
          <w:lang w:val="en-GB"/>
        </w:rPr>
        <w:tab/>
      </w:r>
      <w:proofErr w:type="spellStart"/>
      <w:r w:rsidRPr="003C096B" w:rsidR="00AD4A1A">
        <w:rPr>
          <w:lang w:val="en-GB"/>
        </w:rPr>
        <w:t>Fatoş</w:t>
      </w:r>
      <w:proofErr w:type="spellEnd"/>
      <w:r w:rsidRPr="003C096B" w:rsidR="00AD4A1A">
        <w:rPr>
          <w:lang w:val="en-GB"/>
        </w:rPr>
        <w:t xml:space="preserve"> </w:t>
      </w:r>
      <w:proofErr w:type="spellStart"/>
      <w:r w:rsidRPr="003C096B" w:rsidR="00AD4A1A">
        <w:rPr>
          <w:lang w:val="en-GB"/>
        </w:rPr>
        <w:t>Aracı</w:t>
      </w:r>
      <w:proofErr w:type="spellEnd"/>
      <w:r w:rsidRPr="003C096B">
        <w:rPr>
          <w:lang w:val="en-GB"/>
        </w:rPr>
        <w:tab/>
      </w:r>
      <w:proofErr w:type="spellStart"/>
      <w:r w:rsidRPr="003C096B" w:rsidR="007F2B37">
        <w:rPr>
          <w:szCs w:val="24"/>
          <w:lang w:val="en-GB"/>
        </w:rPr>
        <w:t>Päivi</w:t>
      </w:r>
      <w:proofErr w:type="spellEnd"/>
      <w:r w:rsidRPr="003C096B" w:rsidR="007F2B37">
        <w:rPr>
          <w:szCs w:val="24"/>
          <w:lang w:val="en-GB"/>
        </w:rPr>
        <w:t xml:space="preserve"> </w:t>
      </w:r>
      <w:proofErr w:type="spellStart"/>
      <w:r w:rsidRPr="003C096B" w:rsidR="007F2B37">
        <w:rPr>
          <w:szCs w:val="24"/>
          <w:lang w:val="en-GB"/>
        </w:rPr>
        <w:t>Hirvelä</w:t>
      </w:r>
      <w:proofErr w:type="spellEnd"/>
      <w:r w:rsidRPr="003C096B" w:rsidR="00E1557C">
        <w:rPr>
          <w:szCs w:val="24"/>
          <w:lang w:val="en-GB"/>
        </w:rPr>
        <w:br/>
      </w:r>
      <w:r w:rsidRPr="003C096B" w:rsidR="00AD4A1A">
        <w:rPr>
          <w:lang w:val="en-GB"/>
        </w:rPr>
        <w:t xml:space="preserve">Deputy </w:t>
      </w:r>
      <w:r w:rsidRPr="003C096B" w:rsidR="007F2B37">
        <w:rPr>
          <w:iCs/>
          <w:lang w:val="en-GB"/>
        </w:rPr>
        <w:t>Registrar</w:t>
      </w:r>
      <w:r w:rsidRPr="003C096B">
        <w:rPr>
          <w:lang w:val="en-GB"/>
        </w:rPr>
        <w:tab/>
        <w:t>President</w:t>
      </w:r>
    </w:p>
    <w:p w:rsidRPr="003C096B" w:rsidR="004D15F3" w:rsidP="003C096B" w:rsidRDefault="004D15F3">
      <w:pPr>
        <w:rPr>
          <w:lang w:val="en-GB"/>
        </w:rPr>
      </w:pPr>
    </w:p>
    <w:sectPr w:rsidRPr="003C096B" w:rsidR="004D15F3" w:rsidSect="007F2B37">
      <w:headerReference w:type="even" r:id="rId14"/>
      <w:headerReference w:type="default" r:id="rId15"/>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CCD" w:rsidRDefault="00946CCD" w:rsidP="00014566">
      <w:r>
        <w:separator/>
      </w:r>
    </w:p>
  </w:endnote>
  <w:endnote w:type="continuationSeparator" w:id="0">
    <w:p w:rsidR="00946CCD" w:rsidRDefault="00946CCD"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Default="00946C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Default="00946C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Pr="00150BFA" w:rsidRDefault="00946CCD" w:rsidP="00F013AE">
    <w:pPr>
      <w:jc w:val="center"/>
    </w:pPr>
    <w:r>
      <w:rPr>
        <w:noProof/>
        <w:lang w:eastAsia="ja-JP"/>
      </w:rPr>
      <w:drawing>
        <wp:inline distT="0" distB="0" distL="0" distR="0" wp14:anchorId="0B191BDB" wp14:editId="5D4E5DC6">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946CCD" w:rsidRDefault="00946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CCD" w:rsidRDefault="00946CCD" w:rsidP="00014566">
      <w:r>
        <w:separator/>
      </w:r>
    </w:p>
  </w:footnote>
  <w:footnote w:type="continuationSeparator" w:id="0">
    <w:p w:rsidR="00946CCD" w:rsidRDefault="00946CCD"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Default="00946C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Pr="007F2B37" w:rsidRDefault="00946CCD" w:rsidP="007F2B37">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Pr="00A45145" w:rsidRDefault="00946CCD" w:rsidP="00F013AE">
    <w:pPr>
      <w:jc w:val="center"/>
    </w:pPr>
    <w:r>
      <w:rPr>
        <w:noProof/>
        <w:lang w:eastAsia="ja-JP"/>
      </w:rPr>
      <w:drawing>
        <wp:inline distT="0" distB="0" distL="0" distR="0" wp14:anchorId="4B0AFB55" wp14:editId="7F58C20B">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946CCD" w:rsidRDefault="00946CC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Pr="00FF2306" w:rsidRDefault="00946CCD"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42D23">
      <w:rPr>
        <w:rStyle w:val="PageNumber"/>
        <w:noProof/>
        <w:szCs w:val="18"/>
        <w:lang w:val="en-GB"/>
      </w:rPr>
      <w:t>4</w:t>
    </w:r>
    <w:r>
      <w:rPr>
        <w:rStyle w:val="PageNumber"/>
        <w:szCs w:val="18"/>
        <w:lang w:val="en-GB"/>
      </w:rPr>
      <w:fldChar w:fldCharType="end"/>
    </w:r>
    <w:r w:rsidRPr="00FF2306">
      <w:rPr>
        <w:lang w:val="en-GB"/>
      </w:rPr>
      <w:tab/>
    </w:r>
    <w:r>
      <w:rPr>
        <w:lang w:val="en-GB"/>
      </w:rPr>
      <w:t>GALLARDO SANCHEZ v. ITALY</w:t>
    </w:r>
    <w:r w:rsidRPr="00FF2306">
      <w:rPr>
        <w:lang w:val="en-GB"/>
      </w:rPr>
      <w:t xml:space="preserve"> </w:t>
    </w:r>
    <w:r>
      <w:rPr>
        <w:lang w:val="en-GB"/>
      </w:rPr>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6CCD" w:rsidRPr="00D60D87" w:rsidRDefault="00946CCD" w:rsidP="00D60D87">
    <w:pPr>
      <w:pStyle w:val="ECHRHeader"/>
      <w:rPr>
        <w:lang w:val="en-GB"/>
      </w:rPr>
    </w:pPr>
    <w:r w:rsidRPr="00D60D87">
      <w:rPr>
        <w:lang w:val="en-GB"/>
      </w:rPr>
      <w:tab/>
    </w:r>
    <w:r>
      <w:rPr>
        <w:lang w:val="en-GB"/>
      </w:rPr>
      <w:t>GALLARDO SANCHEZ v. ITALY</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F42D23">
      <w:rPr>
        <w:rStyle w:val="PageNumber"/>
        <w:noProof/>
        <w:szCs w:val="18"/>
        <w:lang w:val="en-GB"/>
      </w:rPr>
      <w:t>5</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04E8750E"/>
    <w:multiLevelType w:val="multilevel"/>
    <w:tmpl w:val="040C001D"/>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7063F06"/>
    <w:multiLevelType w:val="multilevel"/>
    <w:tmpl w:val="040C001F"/>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5D7306C"/>
    <w:multiLevelType w:val="multilevel"/>
    <w:tmpl w:val="040C0023"/>
    <w:styleLink w:val="ArticleSection1"/>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9"/>
  </w:num>
  <w:num w:numId="4">
    <w:abstractNumId w:val="16"/>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5"/>
  </w:num>
  <w:num w:numId="15">
    <w:abstractNumId w:val="12"/>
  </w:num>
  <w:num w:numId="16">
    <w:abstractNumId w:val="10"/>
  </w:num>
  <w:num w:numId="17">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7F2B37"/>
    <w:rsid w:val="000010ED"/>
    <w:rsid w:val="00001DEE"/>
    <w:rsid w:val="000041F8"/>
    <w:rsid w:val="000042A8"/>
    <w:rsid w:val="00004308"/>
    <w:rsid w:val="00005BF0"/>
    <w:rsid w:val="00007154"/>
    <w:rsid w:val="00007B4C"/>
    <w:rsid w:val="000103AE"/>
    <w:rsid w:val="00011D69"/>
    <w:rsid w:val="00012AD3"/>
    <w:rsid w:val="00014566"/>
    <w:rsid w:val="00015C2D"/>
    <w:rsid w:val="00015F00"/>
    <w:rsid w:val="00022C1D"/>
    <w:rsid w:val="00034987"/>
    <w:rsid w:val="00046FF2"/>
    <w:rsid w:val="000602DF"/>
    <w:rsid w:val="00061B05"/>
    <w:rsid w:val="00062973"/>
    <w:rsid w:val="00062D5D"/>
    <w:rsid w:val="000632D5"/>
    <w:rsid w:val="000644EE"/>
    <w:rsid w:val="000856D7"/>
    <w:rsid w:val="000925AD"/>
    <w:rsid w:val="000A1CBB"/>
    <w:rsid w:val="000A24EB"/>
    <w:rsid w:val="000B6923"/>
    <w:rsid w:val="000C033C"/>
    <w:rsid w:val="000C5F3C"/>
    <w:rsid w:val="000C6DCC"/>
    <w:rsid w:val="000D47AA"/>
    <w:rsid w:val="000D721F"/>
    <w:rsid w:val="000E069B"/>
    <w:rsid w:val="000E0E82"/>
    <w:rsid w:val="000E1DC5"/>
    <w:rsid w:val="000E223F"/>
    <w:rsid w:val="000E35AC"/>
    <w:rsid w:val="000E487B"/>
    <w:rsid w:val="000E60FD"/>
    <w:rsid w:val="000E7D45"/>
    <w:rsid w:val="000F7851"/>
    <w:rsid w:val="00104E23"/>
    <w:rsid w:val="00111B0C"/>
    <w:rsid w:val="00120D6C"/>
    <w:rsid w:val="00121CE3"/>
    <w:rsid w:val="001257EC"/>
    <w:rsid w:val="00132C6A"/>
    <w:rsid w:val="00133D33"/>
    <w:rsid w:val="00134D64"/>
    <w:rsid w:val="00135A30"/>
    <w:rsid w:val="0013612C"/>
    <w:rsid w:val="00137FF6"/>
    <w:rsid w:val="00141650"/>
    <w:rsid w:val="00162A12"/>
    <w:rsid w:val="00164EAF"/>
    <w:rsid w:val="00166530"/>
    <w:rsid w:val="00174597"/>
    <w:rsid w:val="001832BD"/>
    <w:rsid w:val="001943B5"/>
    <w:rsid w:val="00195134"/>
    <w:rsid w:val="001A145B"/>
    <w:rsid w:val="001A674C"/>
    <w:rsid w:val="001B3B24"/>
    <w:rsid w:val="001C0F98"/>
    <w:rsid w:val="001C2A42"/>
    <w:rsid w:val="001D63ED"/>
    <w:rsid w:val="001D7348"/>
    <w:rsid w:val="001E035B"/>
    <w:rsid w:val="001E0961"/>
    <w:rsid w:val="001E3EAE"/>
    <w:rsid w:val="001E6F32"/>
    <w:rsid w:val="001F2145"/>
    <w:rsid w:val="001F6262"/>
    <w:rsid w:val="001F67B0"/>
    <w:rsid w:val="001F7B3D"/>
    <w:rsid w:val="00205F9F"/>
    <w:rsid w:val="00210338"/>
    <w:rsid w:val="002115FC"/>
    <w:rsid w:val="002133F8"/>
    <w:rsid w:val="0021423C"/>
    <w:rsid w:val="00230D00"/>
    <w:rsid w:val="00231DF7"/>
    <w:rsid w:val="00231FD1"/>
    <w:rsid w:val="002339E0"/>
    <w:rsid w:val="00233CF8"/>
    <w:rsid w:val="0023575D"/>
    <w:rsid w:val="00237148"/>
    <w:rsid w:val="002414DD"/>
    <w:rsid w:val="0024222D"/>
    <w:rsid w:val="00244B0E"/>
    <w:rsid w:val="00244F6C"/>
    <w:rsid w:val="002532C5"/>
    <w:rsid w:val="00260C03"/>
    <w:rsid w:val="0026540E"/>
    <w:rsid w:val="00275123"/>
    <w:rsid w:val="00282240"/>
    <w:rsid w:val="00284272"/>
    <w:rsid w:val="0028572A"/>
    <w:rsid w:val="002948AD"/>
    <w:rsid w:val="00294C05"/>
    <w:rsid w:val="00294C92"/>
    <w:rsid w:val="002A01CC"/>
    <w:rsid w:val="002A61B1"/>
    <w:rsid w:val="002A663C"/>
    <w:rsid w:val="002B444B"/>
    <w:rsid w:val="002B5887"/>
    <w:rsid w:val="002C0692"/>
    <w:rsid w:val="002C0E27"/>
    <w:rsid w:val="002C3040"/>
    <w:rsid w:val="002D022D"/>
    <w:rsid w:val="002D24BB"/>
    <w:rsid w:val="002F2AF7"/>
    <w:rsid w:val="002F7E1C"/>
    <w:rsid w:val="00301A75"/>
    <w:rsid w:val="00302F70"/>
    <w:rsid w:val="0030336F"/>
    <w:rsid w:val="0030375E"/>
    <w:rsid w:val="00312A30"/>
    <w:rsid w:val="00320F72"/>
    <w:rsid w:val="0032463E"/>
    <w:rsid w:val="00326224"/>
    <w:rsid w:val="00337EE4"/>
    <w:rsid w:val="00340FFD"/>
    <w:rsid w:val="003506B1"/>
    <w:rsid w:val="00354F9C"/>
    <w:rsid w:val="00356AC7"/>
    <w:rsid w:val="003609FA"/>
    <w:rsid w:val="003710C8"/>
    <w:rsid w:val="003750BE"/>
    <w:rsid w:val="00381B05"/>
    <w:rsid w:val="00387B9D"/>
    <w:rsid w:val="0039364F"/>
    <w:rsid w:val="00396686"/>
    <w:rsid w:val="0039778E"/>
    <w:rsid w:val="003B4941"/>
    <w:rsid w:val="003C096B"/>
    <w:rsid w:val="003C5714"/>
    <w:rsid w:val="003C6B9F"/>
    <w:rsid w:val="003C6E2A"/>
    <w:rsid w:val="003D0299"/>
    <w:rsid w:val="003E22A8"/>
    <w:rsid w:val="003E6D80"/>
    <w:rsid w:val="003F05FA"/>
    <w:rsid w:val="003F1C0F"/>
    <w:rsid w:val="003F244A"/>
    <w:rsid w:val="003F30B8"/>
    <w:rsid w:val="003F4C45"/>
    <w:rsid w:val="003F5F7B"/>
    <w:rsid w:val="003F7D64"/>
    <w:rsid w:val="00400BBC"/>
    <w:rsid w:val="00402C40"/>
    <w:rsid w:val="004071D4"/>
    <w:rsid w:val="00414300"/>
    <w:rsid w:val="00422019"/>
    <w:rsid w:val="00425C67"/>
    <w:rsid w:val="00427257"/>
    <w:rsid w:val="00427E7A"/>
    <w:rsid w:val="00436307"/>
    <w:rsid w:val="00436C49"/>
    <w:rsid w:val="00445366"/>
    <w:rsid w:val="00447F5B"/>
    <w:rsid w:val="00461DB0"/>
    <w:rsid w:val="00463926"/>
    <w:rsid w:val="004646E0"/>
    <w:rsid w:val="00464C9A"/>
    <w:rsid w:val="00474F3D"/>
    <w:rsid w:val="00477E3A"/>
    <w:rsid w:val="00483E5F"/>
    <w:rsid w:val="00485FF9"/>
    <w:rsid w:val="004907F0"/>
    <w:rsid w:val="0049140B"/>
    <w:rsid w:val="004923A5"/>
    <w:rsid w:val="00496BFB"/>
    <w:rsid w:val="004A15C7"/>
    <w:rsid w:val="004B013B"/>
    <w:rsid w:val="004B112B"/>
    <w:rsid w:val="004C01E4"/>
    <w:rsid w:val="004C086C"/>
    <w:rsid w:val="004C1F56"/>
    <w:rsid w:val="004C27BC"/>
    <w:rsid w:val="004D15F3"/>
    <w:rsid w:val="004D5311"/>
    <w:rsid w:val="004D5DCC"/>
    <w:rsid w:val="004F10AF"/>
    <w:rsid w:val="004F11A4"/>
    <w:rsid w:val="004F2389"/>
    <w:rsid w:val="004F304D"/>
    <w:rsid w:val="004F61BE"/>
    <w:rsid w:val="004F659D"/>
    <w:rsid w:val="004F66B1"/>
    <w:rsid w:val="0050772A"/>
    <w:rsid w:val="00511C07"/>
    <w:rsid w:val="005173A6"/>
    <w:rsid w:val="00520BAA"/>
    <w:rsid w:val="00525208"/>
    <w:rsid w:val="005257A5"/>
    <w:rsid w:val="005264C0"/>
    <w:rsid w:val="00526A8A"/>
    <w:rsid w:val="00531DF2"/>
    <w:rsid w:val="005436D6"/>
    <w:rsid w:val="005442EE"/>
    <w:rsid w:val="00547353"/>
    <w:rsid w:val="005474E7"/>
    <w:rsid w:val="005512A3"/>
    <w:rsid w:val="005578CE"/>
    <w:rsid w:val="00562781"/>
    <w:rsid w:val="00563E83"/>
    <w:rsid w:val="0057271C"/>
    <w:rsid w:val="00572845"/>
    <w:rsid w:val="00581BD8"/>
    <w:rsid w:val="00592772"/>
    <w:rsid w:val="0059574A"/>
    <w:rsid w:val="005A1B9B"/>
    <w:rsid w:val="005A5CF4"/>
    <w:rsid w:val="005A6751"/>
    <w:rsid w:val="005B092E"/>
    <w:rsid w:val="005B152C"/>
    <w:rsid w:val="005B1EE0"/>
    <w:rsid w:val="005B2B24"/>
    <w:rsid w:val="005B4425"/>
    <w:rsid w:val="005B4B94"/>
    <w:rsid w:val="005C3EE8"/>
    <w:rsid w:val="005C6710"/>
    <w:rsid w:val="005D28A2"/>
    <w:rsid w:val="005D34F9"/>
    <w:rsid w:val="005D4190"/>
    <w:rsid w:val="005D67A3"/>
    <w:rsid w:val="005E2988"/>
    <w:rsid w:val="005E2A43"/>
    <w:rsid w:val="005E3085"/>
    <w:rsid w:val="005E438A"/>
    <w:rsid w:val="005F51E1"/>
    <w:rsid w:val="00611C80"/>
    <w:rsid w:val="00620692"/>
    <w:rsid w:val="006242CA"/>
    <w:rsid w:val="00627507"/>
    <w:rsid w:val="00633717"/>
    <w:rsid w:val="006344E1"/>
    <w:rsid w:val="006545C4"/>
    <w:rsid w:val="00661971"/>
    <w:rsid w:val="00661CE8"/>
    <w:rsid w:val="006623D9"/>
    <w:rsid w:val="0066550C"/>
    <w:rsid w:val="006716F2"/>
    <w:rsid w:val="00682BF2"/>
    <w:rsid w:val="006859CE"/>
    <w:rsid w:val="00691270"/>
    <w:rsid w:val="00694BA8"/>
    <w:rsid w:val="006A037C"/>
    <w:rsid w:val="006A0595"/>
    <w:rsid w:val="006A36F4"/>
    <w:rsid w:val="006A406F"/>
    <w:rsid w:val="006A5D3A"/>
    <w:rsid w:val="006B26DF"/>
    <w:rsid w:val="006C23D4"/>
    <w:rsid w:val="006C3820"/>
    <w:rsid w:val="006C7BB0"/>
    <w:rsid w:val="006D3237"/>
    <w:rsid w:val="006E04EE"/>
    <w:rsid w:val="006E2E37"/>
    <w:rsid w:val="006E3CF1"/>
    <w:rsid w:val="006E7E80"/>
    <w:rsid w:val="006F1711"/>
    <w:rsid w:val="006F1DF9"/>
    <w:rsid w:val="006F24DB"/>
    <w:rsid w:val="006F48CA"/>
    <w:rsid w:val="006F64DD"/>
    <w:rsid w:val="00715127"/>
    <w:rsid w:val="00715E8E"/>
    <w:rsid w:val="00720DAC"/>
    <w:rsid w:val="00723580"/>
    <w:rsid w:val="00723755"/>
    <w:rsid w:val="0073051E"/>
    <w:rsid w:val="0073136C"/>
    <w:rsid w:val="00731F0F"/>
    <w:rsid w:val="00733250"/>
    <w:rsid w:val="00741404"/>
    <w:rsid w:val="0074414F"/>
    <w:rsid w:val="007449E5"/>
    <w:rsid w:val="00746C5A"/>
    <w:rsid w:val="00747FF0"/>
    <w:rsid w:val="00764D4E"/>
    <w:rsid w:val="00765A1F"/>
    <w:rsid w:val="00775B6D"/>
    <w:rsid w:val="00776D68"/>
    <w:rsid w:val="007850EE"/>
    <w:rsid w:val="00785B95"/>
    <w:rsid w:val="00785FA6"/>
    <w:rsid w:val="00790E96"/>
    <w:rsid w:val="00793366"/>
    <w:rsid w:val="00796266"/>
    <w:rsid w:val="007975C6"/>
    <w:rsid w:val="007A716F"/>
    <w:rsid w:val="007B270A"/>
    <w:rsid w:val="007B2A63"/>
    <w:rsid w:val="007C0695"/>
    <w:rsid w:val="007C419A"/>
    <w:rsid w:val="007C4CC8"/>
    <w:rsid w:val="007C5426"/>
    <w:rsid w:val="007C5798"/>
    <w:rsid w:val="007D3796"/>
    <w:rsid w:val="007D4832"/>
    <w:rsid w:val="007E21B2"/>
    <w:rsid w:val="007E2C4E"/>
    <w:rsid w:val="007E4562"/>
    <w:rsid w:val="007F1905"/>
    <w:rsid w:val="007F2B37"/>
    <w:rsid w:val="00801300"/>
    <w:rsid w:val="00802C64"/>
    <w:rsid w:val="00805E52"/>
    <w:rsid w:val="008061D0"/>
    <w:rsid w:val="00810B38"/>
    <w:rsid w:val="008204C7"/>
    <w:rsid w:val="00820992"/>
    <w:rsid w:val="00823602"/>
    <w:rsid w:val="008255F5"/>
    <w:rsid w:val="0083014E"/>
    <w:rsid w:val="0083214A"/>
    <w:rsid w:val="00834220"/>
    <w:rsid w:val="00845723"/>
    <w:rsid w:val="00851EF9"/>
    <w:rsid w:val="008562B9"/>
    <w:rsid w:val="008577FD"/>
    <w:rsid w:val="00860B03"/>
    <w:rsid w:val="0086497A"/>
    <w:rsid w:val="008713A1"/>
    <w:rsid w:val="008754AB"/>
    <w:rsid w:val="0088060C"/>
    <w:rsid w:val="00884FA3"/>
    <w:rsid w:val="00893576"/>
    <w:rsid w:val="00893E73"/>
    <w:rsid w:val="008A43C4"/>
    <w:rsid w:val="008B02DC"/>
    <w:rsid w:val="008B57CE"/>
    <w:rsid w:val="008B659F"/>
    <w:rsid w:val="008C26DE"/>
    <w:rsid w:val="008D2225"/>
    <w:rsid w:val="008D4752"/>
    <w:rsid w:val="008E271C"/>
    <w:rsid w:val="008E418E"/>
    <w:rsid w:val="008E5BC6"/>
    <w:rsid w:val="008E6A25"/>
    <w:rsid w:val="008F4C47"/>
    <w:rsid w:val="008F5193"/>
    <w:rsid w:val="009013A7"/>
    <w:rsid w:val="009017FB"/>
    <w:rsid w:val="009017FC"/>
    <w:rsid w:val="00903B43"/>
    <w:rsid w:val="0090506B"/>
    <w:rsid w:val="009050C9"/>
    <w:rsid w:val="009066FC"/>
    <w:rsid w:val="009140A3"/>
    <w:rsid w:val="009144A2"/>
    <w:rsid w:val="0091510C"/>
    <w:rsid w:val="00922EF8"/>
    <w:rsid w:val="009259AC"/>
    <w:rsid w:val="00926F38"/>
    <w:rsid w:val="00934301"/>
    <w:rsid w:val="00936CD1"/>
    <w:rsid w:val="00941747"/>
    <w:rsid w:val="00941EFB"/>
    <w:rsid w:val="00946CCD"/>
    <w:rsid w:val="00947AFB"/>
    <w:rsid w:val="00951D7D"/>
    <w:rsid w:val="0095236E"/>
    <w:rsid w:val="00952C12"/>
    <w:rsid w:val="009627CE"/>
    <w:rsid w:val="009630C7"/>
    <w:rsid w:val="0096452F"/>
    <w:rsid w:val="00972B55"/>
    <w:rsid w:val="009743B7"/>
    <w:rsid w:val="0098228B"/>
    <w:rsid w:val="009828DA"/>
    <w:rsid w:val="00985BAB"/>
    <w:rsid w:val="00997F03"/>
    <w:rsid w:val="009A46DF"/>
    <w:rsid w:val="009B0A68"/>
    <w:rsid w:val="009B1B5F"/>
    <w:rsid w:val="009B2EC2"/>
    <w:rsid w:val="009B6673"/>
    <w:rsid w:val="009C191B"/>
    <w:rsid w:val="009C2BD6"/>
    <w:rsid w:val="009E1F32"/>
    <w:rsid w:val="009E5829"/>
    <w:rsid w:val="009E776C"/>
    <w:rsid w:val="00A1726E"/>
    <w:rsid w:val="00A204CF"/>
    <w:rsid w:val="00A220C4"/>
    <w:rsid w:val="00A23D49"/>
    <w:rsid w:val="00A27004"/>
    <w:rsid w:val="00A30C29"/>
    <w:rsid w:val="00A34DD6"/>
    <w:rsid w:val="00A36819"/>
    <w:rsid w:val="00A36989"/>
    <w:rsid w:val="00A43628"/>
    <w:rsid w:val="00A44A68"/>
    <w:rsid w:val="00A51F9F"/>
    <w:rsid w:val="00A52658"/>
    <w:rsid w:val="00A54192"/>
    <w:rsid w:val="00A6035E"/>
    <w:rsid w:val="00A6144C"/>
    <w:rsid w:val="00A66617"/>
    <w:rsid w:val="00A671F8"/>
    <w:rsid w:val="00A673A4"/>
    <w:rsid w:val="00A724AE"/>
    <w:rsid w:val="00A73329"/>
    <w:rsid w:val="00A7537F"/>
    <w:rsid w:val="00A82359"/>
    <w:rsid w:val="00A865D2"/>
    <w:rsid w:val="00A94C20"/>
    <w:rsid w:val="00A96ED6"/>
    <w:rsid w:val="00AA227F"/>
    <w:rsid w:val="00AA3BC7"/>
    <w:rsid w:val="00AA754A"/>
    <w:rsid w:val="00AB099E"/>
    <w:rsid w:val="00AB4328"/>
    <w:rsid w:val="00AB5FA0"/>
    <w:rsid w:val="00AD4A1A"/>
    <w:rsid w:val="00AE0A2E"/>
    <w:rsid w:val="00AE354C"/>
    <w:rsid w:val="00AF4B07"/>
    <w:rsid w:val="00AF6186"/>
    <w:rsid w:val="00AF7A3A"/>
    <w:rsid w:val="00B160DB"/>
    <w:rsid w:val="00B20836"/>
    <w:rsid w:val="00B235BB"/>
    <w:rsid w:val="00B27A44"/>
    <w:rsid w:val="00B30BBF"/>
    <w:rsid w:val="00B33C03"/>
    <w:rsid w:val="00B44E56"/>
    <w:rsid w:val="00B46543"/>
    <w:rsid w:val="00B47D33"/>
    <w:rsid w:val="00B52BE0"/>
    <w:rsid w:val="00B54133"/>
    <w:rsid w:val="00B637B9"/>
    <w:rsid w:val="00B701ED"/>
    <w:rsid w:val="00B8086C"/>
    <w:rsid w:val="00B861B4"/>
    <w:rsid w:val="00B86DFE"/>
    <w:rsid w:val="00B90990"/>
    <w:rsid w:val="00B922FF"/>
    <w:rsid w:val="00B9281E"/>
    <w:rsid w:val="00B93925"/>
    <w:rsid w:val="00B95187"/>
    <w:rsid w:val="00BA2D55"/>
    <w:rsid w:val="00BA393C"/>
    <w:rsid w:val="00BA71B1"/>
    <w:rsid w:val="00BB0637"/>
    <w:rsid w:val="00BB345F"/>
    <w:rsid w:val="00BB5883"/>
    <w:rsid w:val="00BB68EA"/>
    <w:rsid w:val="00BC1C27"/>
    <w:rsid w:val="00BC6BBF"/>
    <w:rsid w:val="00BD1572"/>
    <w:rsid w:val="00BE14E3"/>
    <w:rsid w:val="00BE3774"/>
    <w:rsid w:val="00BE41E5"/>
    <w:rsid w:val="00BF0BBB"/>
    <w:rsid w:val="00BF4109"/>
    <w:rsid w:val="00BF4CC3"/>
    <w:rsid w:val="00C054C7"/>
    <w:rsid w:val="00C057B5"/>
    <w:rsid w:val="00C22687"/>
    <w:rsid w:val="00C30346"/>
    <w:rsid w:val="00C32E4D"/>
    <w:rsid w:val="00C333A0"/>
    <w:rsid w:val="00C36A81"/>
    <w:rsid w:val="00C41974"/>
    <w:rsid w:val="00C447AD"/>
    <w:rsid w:val="00C53F4A"/>
    <w:rsid w:val="00C54125"/>
    <w:rsid w:val="00C55B54"/>
    <w:rsid w:val="00C5754E"/>
    <w:rsid w:val="00C6098E"/>
    <w:rsid w:val="00C6152C"/>
    <w:rsid w:val="00C621C2"/>
    <w:rsid w:val="00C74810"/>
    <w:rsid w:val="00C807D3"/>
    <w:rsid w:val="00C90D68"/>
    <w:rsid w:val="00C939FE"/>
    <w:rsid w:val="00CA4BDA"/>
    <w:rsid w:val="00CB1F66"/>
    <w:rsid w:val="00CB2951"/>
    <w:rsid w:val="00CD282B"/>
    <w:rsid w:val="00CD4C35"/>
    <w:rsid w:val="00CD7369"/>
    <w:rsid w:val="00CE0B0E"/>
    <w:rsid w:val="00CE3831"/>
    <w:rsid w:val="00CF64A4"/>
    <w:rsid w:val="00D00ABB"/>
    <w:rsid w:val="00D02EEC"/>
    <w:rsid w:val="00D03551"/>
    <w:rsid w:val="00D06A63"/>
    <w:rsid w:val="00D07E0E"/>
    <w:rsid w:val="00D11478"/>
    <w:rsid w:val="00D15ED0"/>
    <w:rsid w:val="00D20C14"/>
    <w:rsid w:val="00D21B3E"/>
    <w:rsid w:val="00D21FED"/>
    <w:rsid w:val="00D22D4F"/>
    <w:rsid w:val="00D24251"/>
    <w:rsid w:val="00D343E2"/>
    <w:rsid w:val="00D361A2"/>
    <w:rsid w:val="00D44C2E"/>
    <w:rsid w:val="00D45414"/>
    <w:rsid w:val="00D53C0F"/>
    <w:rsid w:val="00D566BD"/>
    <w:rsid w:val="00D57A4D"/>
    <w:rsid w:val="00D60AA7"/>
    <w:rsid w:val="00D60D87"/>
    <w:rsid w:val="00D635C8"/>
    <w:rsid w:val="00D6435F"/>
    <w:rsid w:val="00D75E28"/>
    <w:rsid w:val="00D772C2"/>
    <w:rsid w:val="00D8008E"/>
    <w:rsid w:val="00D82C45"/>
    <w:rsid w:val="00D908A8"/>
    <w:rsid w:val="00D977B6"/>
    <w:rsid w:val="00DA4A31"/>
    <w:rsid w:val="00DA7B04"/>
    <w:rsid w:val="00DB36C2"/>
    <w:rsid w:val="00DB7196"/>
    <w:rsid w:val="00DC169B"/>
    <w:rsid w:val="00DC2AB9"/>
    <w:rsid w:val="00DC63F0"/>
    <w:rsid w:val="00DD6EE5"/>
    <w:rsid w:val="00DE0AE7"/>
    <w:rsid w:val="00DE386C"/>
    <w:rsid w:val="00DE4D35"/>
    <w:rsid w:val="00DF0549"/>
    <w:rsid w:val="00DF098B"/>
    <w:rsid w:val="00DF11C4"/>
    <w:rsid w:val="00DF210C"/>
    <w:rsid w:val="00DF3F23"/>
    <w:rsid w:val="00DF4B6A"/>
    <w:rsid w:val="00E02C09"/>
    <w:rsid w:val="00E04D59"/>
    <w:rsid w:val="00E07DA1"/>
    <w:rsid w:val="00E123CB"/>
    <w:rsid w:val="00E1557C"/>
    <w:rsid w:val="00E20E13"/>
    <w:rsid w:val="00E21DBC"/>
    <w:rsid w:val="00E275D7"/>
    <w:rsid w:val="00E27DBE"/>
    <w:rsid w:val="00E32AB1"/>
    <w:rsid w:val="00E36C71"/>
    <w:rsid w:val="00E40404"/>
    <w:rsid w:val="00E459C6"/>
    <w:rsid w:val="00E47589"/>
    <w:rsid w:val="00E64915"/>
    <w:rsid w:val="00E661D4"/>
    <w:rsid w:val="00E70091"/>
    <w:rsid w:val="00E720F5"/>
    <w:rsid w:val="00E76D47"/>
    <w:rsid w:val="00E849F7"/>
    <w:rsid w:val="00E8723E"/>
    <w:rsid w:val="00E90302"/>
    <w:rsid w:val="00E9597F"/>
    <w:rsid w:val="00E95F85"/>
    <w:rsid w:val="00E97396"/>
    <w:rsid w:val="00EA185E"/>
    <w:rsid w:val="00EA592A"/>
    <w:rsid w:val="00EB14E4"/>
    <w:rsid w:val="00EB32A5"/>
    <w:rsid w:val="00EB34ED"/>
    <w:rsid w:val="00EB477C"/>
    <w:rsid w:val="00EB6FE9"/>
    <w:rsid w:val="00EB7BE0"/>
    <w:rsid w:val="00EC315E"/>
    <w:rsid w:val="00EC3B60"/>
    <w:rsid w:val="00ED077C"/>
    <w:rsid w:val="00ED1190"/>
    <w:rsid w:val="00ED6544"/>
    <w:rsid w:val="00EE0277"/>
    <w:rsid w:val="00EE1DA9"/>
    <w:rsid w:val="00EE3E00"/>
    <w:rsid w:val="00EE5DD2"/>
    <w:rsid w:val="00EF41F1"/>
    <w:rsid w:val="00EF4F08"/>
    <w:rsid w:val="00F00A79"/>
    <w:rsid w:val="00F00E86"/>
    <w:rsid w:val="00F00F8B"/>
    <w:rsid w:val="00F013AE"/>
    <w:rsid w:val="00F07C1E"/>
    <w:rsid w:val="00F105DB"/>
    <w:rsid w:val="00F132BC"/>
    <w:rsid w:val="00F13D80"/>
    <w:rsid w:val="00F16AAA"/>
    <w:rsid w:val="00F21161"/>
    <w:rsid w:val="00F218EF"/>
    <w:rsid w:val="00F21BC7"/>
    <w:rsid w:val="00F266A2"/>
    <w:rsid w:val="00F32269"/>
    <w:rsid w:val="00F42D23"/>
    <w:rsid w:val="00F4457E"/>
    <w:rsid w:val="00F5125C"/>
    <w:rsid w:val="00F56A6F"/>
    <w:rsid w:val="00F5709C"/>
    <w:rsid w:val="00F64EF1"/>
    <w:rsid w:val="00F8765F"/>
    <w:rsid w:val="00F90767"/>
    <w:rsid w:val="00FA685B"/>
    <w:rsid w:val="00FA7B94"/>
    <w:rsid w:val="00FB0C01"/>
    <w:rsid w:val="00FC18F2"/>
    <w:rsid w:val="00FC39E5"/>
    <w:rsid w:val="00FC3A78"/>
    <w:rsid w:val="00FC53DD"/>
    <w:rsid w:val="00FC5FFE"/>
    <w:rsid w:val="00FD0EAB"/>
    <w:rsid w:val="00FD1005"/>
    <w:rsid w:val="00FD3180"/>
    <w:rsid w:val="00FD6C75"/>
    <w:rsid w:val="00FE5AF2"/>
    <w:rsid w:val="00FE71B3"/>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A96ED6"/>
    <w:pPr>
      <w:jc w:val="both"/>
    </w:pPr>
    <w:rPr>
      <w:rFonts w:eastAsiaTheme="minorEastAsia"/>
      <w:sz w:val="24"/>
    </w:rPr>
  </w:style>
  <w:style w:type="paragraph" w:styleId="Heading1">
    <w:name w:val="heading 1"/>
    <w:basedOn w:val="Normal"/>
    <w:next w:val="Normal"/>
    <w:link w:val="Heading1Char"/>
    <w:uiPriority w:val="99"/>
    <w:semiHidden/>
    <w:rsid w:val="00A96ED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A96ED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A96ED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A96ED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A96ED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A96ED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A96ED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A96ED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A96ED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96ED6"/>
    <w:rPr>
      <w:rFonts w:ascii="Tahoma" w:hAnsi="Tahoma" w:cs="Tahoma"/>
      <w:sz w:val="16"/>
      <w:szCs w:val="16"/>
    </w:rPr>
  </w:style>
  <w:style w:type="character" w:customStyle="1" w:styleId="BalloonTextChar">
    <w:name w:val="Balloon Text Char"/>
    <w:basedOn w:val="DefaultParagraphFont"/>
    <w:link w:val="BalloonText"/>
    <w:uiPriority w:val="99"/>
    <w:semiHidden/>
    <w:rsid w:val="00A96ED6"/>
    <w:rPr>
      <w:rFonts w:ascii="Tahoma" w:eastAsiaTheme="minorEastAsia" w:hAnsi="Tahoma" w:cs="Tahoma"/>
      <w:sz w:val="16"/>
      <w:szCs w:val="16"/>
    </w:rPr>
  </w:style>
  <w:style w:type="character" w:styleId="BookTitle">
    <w:name w:val="Book Title"/>
    <w:uiPriority w:val="99"/>
    <w:semiHidden/>
    <w:qFormat/>
    <w:rsid w:val="00A96ED6"/>
    <w:rPr>
      <w:i/>
      <w:iCs/>
      <w:smallCaps/>
      <w:spacing w:val="5"/>
    </w:rPr>
  </w:style>
  <w:style w:type="paragraph" w:customStyle="1" w:styleId="ECHRHeader">
    <w:name w:val="ECHR_Header"/>
    <w:aliases w:val="Ju_Header"/>
    <w:basedOn w:val="Header"/>
    <w:uiPriority w:val="4"/>
    <w:qFormat/>
    <w:rsid w:val="00A96ED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A96ED6"/>
    <w:pPr>
      <w:jc w:val="left"/>
    </w:pPr>
    <w:rPr>
      <w:sz w:val="8"/>
    </w:rPr>
  </w:style>
  <w:style w:type="character" w:styleId="Strong">
    <w:name w:val="Strong"/>
    <w:uiPriority w:val="99"/>
    <w:semiHidden/>
    <w:qFormat/>
    <w:rsid w:val="00A96ED6"/>
    <w:rPr>
      <w:b/>
      <w:bCs/>
    </w:rPr>
  </w:style>
  <w:style w:type="paragraph" w:styleId="NoSpacing">
    <w:name w:val="No Spacing"/>
    <w:basedOn w:val="Normal"/>
    <w:link w:val="NoSpacingChar"/>
    <w:semiHidden/>
    <w:qFormat/>
    <w:rsid w:val="00A96ED6"/>
    <w:rPr>
      <w:sz w:val="22"/>
    </w:rPr>
  </w:style>
  <w:style w:type="character" w:customStyle="1" w:styleId="NoSpacingChar">
    <w:name w:val="No Spacing Char"/>
    <w:basedOn w:val="DefaultParagraphFont"/>
    <w:link w:val="NoSpacing"/>
    <w:semiHidden/>
    <w:rsid w:val="00A96ED6"/>
    <w:rPr>
      <w:rFonts w:eastAsiaTheme="minorEastAsia"/>
    </w:rPr>
  </w:style>
  <w:style w:type="paragraph" w:customStyle="1" w:styleId="ECHRFooterLine">
    <w:name w:val="ECHR_Footer_Line"/>
    <w:aliases w:val="Footer_Line"/>
    <w:basedOn w:val="Normal"/>
    <w:next w:val="ECHRFooter"/>
    <w:uiPriority w:val="57"/>
    <w:semiHidden/>
    <w:rsid w:val="00A96ED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A96ED6"/>
    <w:pPr>
      <w:numPr>
        <w:numId w:val="14"/>
      </w:numPr>
      <w:jc w:val="left"/>
    </w:pPr>
    <w:rPr>
      <w:b/>
    </w:rPr>
  </w:style>
  <w:style w:type="paragraph" w:customStyle="1" w:styleId="OpiPara">
    <w:name w:val="Opi_Para"/>
    <w:basedOn w:val="ECHRPara"/>
    <w:uiPriority w:val="46"/>
    <w:qFormat/>
    <w:rsid w:val="00A96ED6"/>
  </w:style>
  <w:style w:type="paragraph" w:customStyle="1" w:styleId="JuParaSub">
    <w:name w:val="Ju_Para_Sub"/>
    <w:basedOn w:val="ECHRPara"/>
    <w:uiPriority w:val="13"/>
    <w:qFormat/>
    <w:rsid w:val="00A96ED6"/>
    <w:pPr>
      <w:ind w:left="284"/>
    </w:pPr>
  </w:style>
  <w:style w:type="paragraph" w:customStyle="1" w:styleId="ECHRTitleCentre3">
    <w:name w:val="ECHR_Title_Centre_3"/>
    <w:aliases w:val="Ju_H_Article"/>
    <w:basedOn w:val="Normal"/>
    <w:next w:val="ECHRParaQuote"/>
    <w:uiPriority w:val="27"/>
    <w:qFormat/>
    <w:rsid w:val="00A96ED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A96ED6"/>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A96ED6"/>
  </w:style>
  <w:style w:type="paragraph" w:customStyle="1" w:styleId="OpiQuot">
    <w:name w:val="Opi_Quot"/>
    <w:basedOn w:val="ECHRParaQuote"/>
    <w:uiPriority w:val="48"/>
    <w:qFormat/>
    <w:rsid w:val="00A96ED6"/>
  </w:style>
  <w:style w:type="paragraph" w:customStyle="1" w:styleId="OpiQuotSub">
    <w:name w:val="Opi_Quot_Sub"/>
    <w:basedOn w:val="JuQuotSub"/>
    <w:uiPriority w:val="49"/>
    <w:qFormat/>
    <w:rsid w:val="00A96ED6"/>
  </w:style>
  <w:style w:type="paragraph" w:customStyle="1" w:styleId="ECHRTitleCentre2">
    <w:name w:val="ECHR_Title_Centre_2"/>
    <w:aliases w:val="Dec_H_Case"/>
    <w:basedOn w:val="Normal"/>
    <w:next w:val="ECHRPara"/>
    <w:uiPriority w:val="8"/>
    <w:rsid w:val="00A96ED6"/>
    <w:pPr>
      <w:spacing w:after="240"/>
      <w:jc w:val="center"/>
      <w:outlineLvl w:val="0"/>
    </w:pPr>
    <w:rPr>
      <w:rFonts w:asciiTheme="majorHAnsi" w:hAnsiTheme="majorHAnsi"/>
    </w:rPr>
  </w:style>
  <w:style w:type="paragraph" w:customStyle="1" w:styleId="JuTitle">
    <w:name w:val="Ju_Title"/>
    <w:basedOn w:val="Normal"/>
    <w:next w:val="ECHRPara"/>
    <w:uiPriority w:val="3"/>
    <w:rsid w:val="00A96ED6"/>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A96ED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A96ED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A96ED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A96ED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A96ED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A96ED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A96ED6"/>
    <w:pPr>
      <w:keepNext/>
      <w:keepLines/>
      <w:spacing w:before="240" w:after="120"/>
      <w:ind w:left="1236"/>
    </w:pPr>
    <w:rPr>
      <w:sz w:val="20"/>
    </w:rPr>
  </w:style>
  <w:style w:type="paragraph" w:customStyle="1" w:styleId="JuQuotSub">
    <w:name w:val="Ju_Quot_Sub"/>
    <w:basedOn w:val="ECHRParaQuote"/>
    <w:uiPriority w:val="15"/>
    <w:qFormat/>
    <w:rsid w:val="00A96ED6"/>
    <w:pPr>
      <w:ind w:left="567"/>
    </w:pPr>
  </w:style>
  <w:style w:type="paragraph" w:customStyle="1" w:styleId="JuInitialled">
    <w:name w:val="Ju_Initialled"/>
    <w:basedOn w:val="Normal"/>
    <w:uiPriority w:val="31"/>
    <w:qFormat/>
    <w:rsid w:val="00A96ED6"/>
    <w:pPr>
      <w:tabs>
        <w:tab w:val="center" w:pos="6407"/>
      </w:tabs>
      <w:spacing w:before="720"/>
      <w:jc w:val="right"/>
    </w:pPr>
  </w:style>
  <w:style w:type="paragraph" w:customStyle="1" w:styleId="OpiHA">
    <w:name w:val="Opi_H_A"/>
    <w:basedOn w:val="ECHRHeading1"/>
    <w:next w:val="OpiPara"/>
    <w:uiPriority w:val="41"/>
    <w:qFormat/>
    <w:rsid w:val="00A96ED6"/>
    <w:pPr>
      <w:tabs>
        <w:tab w:val="clear" w:pos="357"/>
      </w:tabs>
      <w:outlineLvl w:val="1"/>
    </w:pPr>
    <w:rPr>
      <w:b/>
    </w:rPr>
  </w:style>
  <w:style w:type="paragraph" w:styleId="Header">
    <w:name w:val="header"/>
    <w:basedOn w:val="Normal"/>
    <w:link w:val="HeaderChar"/>
    <w:uiPriority w:val="57"/>
    <w:semiHidden/>
    <w:rsid w:val="00A96ED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A96ED6"/>
    <w:rPr>
      <w:sz w:val="24"/>
    </w:rPr>
  </w:style>
  <w:style w:type="character" w:customStyle="1" w:styleId="Heading1Char">
    <w:name w:val="Heading 1 Char"/>
    <w:basedOn w:val="DefaultParagraphFont"/>
    <w:link w:val="Heading1"/>
    <w:uiPriority w:val="99"/>
    <w:semiHidden/>
    <w:rsid w:val="00A96ED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A96ED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uiPriority w:val="20"/>
    <w:qFormat/>
    <w:rsid w:val="00A96ED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A96ED6"/>
    <w:rPr>
      <w:rFonts w:asciiTheme="majorHAnsi" w:eastAsiaTheme="majorEastAsia" w:hAnsiTheme="majorHAnsi" w:cstheme="majorBidi"/>
      <w:b/>
      <w:bCs/>
      <w:color w:val="4D4D4D"/>
      <w:sz w:val="26"/>
      <w:szCs w:val="26"/>
    </w:rPr>
  </w:style>
  <w:style w:type="character" w:customStyle="1" w:styleId="JUNAMES">
    <w:name w:val="JU_NAMES"/>
    <w:uiPriority w:val="17"/>
    <w:qFormat/>
    <w:rsid w:val="00A96ED6"/>
    <w:rPr>
      <w:caps w:val="0"/>
      <w:smallCaps/>
    </w:rPr>
  </w:style>
  <w:style w:type="paragraph" w:customStyle="1" w:styleId="JuCase">
    <w:name w:val="Ju_Case"/>
    <w:basedOn w:val="Normal"/>
    <w:next w:val="ECHRPara"/>
    <w:uiPriority w:val="10"/>
    <w:rsid w:val="00A96ED6"/>
    <w:pPr>
      <w:ind w:firstLine="284"/>
    </w:pPr>
    <w:rPr>
      <w:b/>
    </w:rPr>
  </w:style>
  <w:style w:type="character" w:customStyle="1" w:styleId="Heading3Char">
    <w:name w:val="Heading 3 Char"/>
    <w:basedOn w:val="DefaultParagraphFont"/>
    <w:link w:val="Heading3"/>
    <w:uiPriority w:val="99"/>
    <w:semiHidden/>
    <w:rsid w:val="00A96ED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A96ED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A96ED6"/>
    <w:rPr>
      <w:rFonts w:asciiTheme="majorHAnsi" w:eastAsiaTheme="majorEastAsia" w:hAnsiTheme="majorHAnsi" w:cstheme="majorBidi"/>
      <w:b/>
      <w:bCs/>
      <w:color w:val="808080"/>
    </w:rPr>
  </w:style>
  <w:style w:type="character" w:styleId="SubtleEmphasis">
    <w:name w:val="Subtle Emphasis"/>
    <w:uiPriority w:val="99"/>
    <w:semiHidden/>
    <w:qFormat/>
    <w:rsid w:val="00A96ED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Title_L_1"/>
    <w:basedOn w:val="Normal"/>
    <w:next w:val="ECHRPara"/>
    <w:uiPriority w:val="18"/>
    <w:qFormat/>
    <w:rsid w:val="00A96ED6"/>
    <w:pPr>
      <w:keepNext/>
      <w:keepLines/>
      <w:spacing w:before="720" w:after="240"/>
      <w:outlineLvl w:val="0"/>
    </w:pPr>
    <w:rPr>
      <w:rFonts w:asciiTheme="majorHAnsi" w:hAnsiTheme="majorHAnsi"/>
      <w:sz w:val="28"/>
    </w:rPr>
  </w:style>
  <w:style w:type="character" w:styleId="Emphasis">
    <w:name w:val="Emphasis"/>
    <w:uiPriority w:val="99"/>
    <w:semiHidden/>
    <w:qFormat/>
    <w:rsid w:val="00A96ED6"/>
    <w:rPr>
      <w:b/>
      <w:bCs/>
      <w:i/>
      <w:iCs/>
      <w:spacing w:val="10"/>
      <w:bdr w:val="none" w:sz="0" w:space="0" w:color="auto"/>
      <w:shd w:val="clear" w:color="auto" w:fill="auto"/>
    </w:rPr>
  </w:style>
  <w:style w:type="paragraph" w:styleId="Footer">
    <w:name w:val="footer"/>
    <w:basedOn w:val="Normal"/>
    <w:link w:val="FooterChar"/>
    <w:uiPriority w:val="57"/>
    <w:semiHidden/>
    <w:rsid w:val="00A96ED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A96ED6"/>
    <w:rPr>
      <w:sz w:val="24"/>
    </w:rPr>
  </w:style>
  <w:style w:type="character" w:styleId="FootnoteReference">
    <w:name w:val="footnote reference"/>
    <w:basedOn w:val="DefaultParagraphFont"/>
    <w:uiPriority w:val="99"/>
    <w:semiHidden/>
    <w:rsid w:val="00A96ED6"/>
    <w:rPr>
      <w:vertAlign w:val="superscript"/>
    </w:rPr>
  </w:style>
  <w:style w:type="paragraph" w:styleId="FootnoteText">
    <w:name w:val="footnote text"/>
    <w:basedOn w:val="Normal"/>
    <w:link w:val="FootnoteTextChar"/>
    <w:uiPriority w:val="99"/>
    <w:semiHidden/>
    <w:rsid w:val="00A96ED6"/>
    <w:rPr>
      <w:sz w:val="20"/>
      <w:szCs w:val="20"/>
    </w:rPr>
  </w:style>
  <w:style w:type="character" w:customStyle="1" w:styleId="FootnoteTextChar">
    <w:name w:val="Footnote Text Char"/>
    <w:basedOn w:val="DefaultParagraphFont"/>
    <w:link w:val="FootnoteText"/>
    <w:uiPriority w:val="99"/>
    <w:semiHidden/>
    <w:rsid w:val="00A96ED6"/>
    <w:rPr>
      <w:rFonts w:eastAsiaTheme="minorEastAsia"/>
      <w:sz w:val="20"/>
      <w:szCs w:val="20"/>
    </w:rPr>
  </w:style>
  <w:style w:type="character" w:customStyle="1" w:styleId="Heading6Char">
    <w:name w:val="Heading 6 Char"/>
    <w:basedOn w:val="DefaultParagraphFont"/>
    <w:link w:val="Heading6"/>
    <w:uiPriority w:val="99"/>
    <w:semiHidden/>
    <w:rsid w:val="00A96ED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A96ED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A96ED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A96ED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A96ED6"/>
    <w:rPr>
      <w:color w:val="0072BC" w:themeColor="hyperlink"/>
      <w:u w:val="single"/>
    </w:rPr>
  </w:style>
  <w:style w:type="character" w:styleId="IntenseEmphasis">
    <w:name w:val="Intense Emphasis"/>
    <w:uiPriority w:val="99"/>
    <w:semiHidden/>
    <w:qFormat/>
    <w:rsid w:val="00A96ED6"/>
    <w:rPr>
      <w:b/>
      <w:bCs/>
    </w:rPr>
  </w:style>
  <w:style w:type="paragraph" w:styleId="IntenseQuote">
    <w:name w:val="Intense Quote"/>
    <w:basedOn w:val="Normal"/>
    <w:next w:val="Normal"/>
    <w:link w:val="IntenseQuoteChar"/>
    <w:uiPriority w:val="99"/>
    <w:semiHidden/>
    <w:qFormat/>
    <w:rsid w:val="00A96ED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A96ED6"/>
    <w:rPr>
      <w:rFonts w:eastAsiaTheme="minorEastAsia"/>
      <w:b/>
      <w:bCs/>
      <w:i/>
      <w:iCs/>
      <w:lang w:bidi="en-US"/>
    </w:rPr>
  </w:style>
  <w:style w:type="character" w:styleId="IntenseReference">
    <w:name w:val="Intense Reference"/>
    <w:uiPriority w:val="99"/>
    <w:semiHidden/>
    <w:qFormat/>
    <w:rsid w:val="00A96ED6"/>
    <w:rPr>
      <w:smallCaps/>
      <w:spacing w:val="5"/>
      <w:u w:val="single"/>
    </w:rPr>
  </w:style>
  <w:style w:type="paragraph" w:styleId="ListParagraph">
    <w:name w:val="List Paragraph"/>
    <w:basedOn w:val="Normal"/>
    <w:uiPriority w:val="99"/>
    <w:semiHidden/>
    <w:qFormat/>
    <w:rsid w:val="00A96ED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A96ED6"/>
    <w:pPr>
      <w:spacing w:before="200"/>
      <w:ind w:left="360" w:right="360"/>
    </w:pPr>
    <w:rPr>
      <w:i/>
      <w:iCs/>
      <w:sz w:val="22"/>
      <w:lang w:bidi="en-US"/>
    </w:rPr>
  </w:style>
  <w:style w:type="character" w:customStyle="1" w:styleId="QuoteChar">
    <w:name w:val="Quote Char"/>
    <w:basedOn w:val="DefaultParagraphFont"/>
    <w:link w:val="Quote"/>
    <w:uiPriority w:val="99"/>
    <w:semiHidden/>
    <w:rsid w:val="00A96ED6"/>
    <w:rPr>
      <w:rFonts w:eastAsiaTheme="minorEastAsia"/>
      <w:i/>
      <w:iCs/>
      <w:lang w:bidi="en-US"/>
    </w:rPr>
  </w:style>
  <w:style w:type="character" w:styleId="SubtleReference">
    <w:name w:val="Subtle Reference"/>
    <w:uiPriority w:val="99"/>
    <w:semiHidden/>
    <w:qFormat/>
    <w:rsid w:val="00A96ED6"/>
    <w:rPr>
      <w:smallCaps/>
    </w:rPr>
  </w:style>
  <w:style w:type="table" w:styleId="TableGrid">
    <w:name w:val="Table Grid"/>
    <w:basedOn w:val="TableNormal"/>
    <w:uiPriority w:val="59"/>
    <w:semiHidden/>
    <w:rsid w:val="00A96ED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A96ED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A96ED6"/>
    <w:pPr>
      <w:spacing w:after="60"/>
      <w:ind w:left="680" w:right="340" w:hanging="340"/>
    </w:pPr>
  </w:style>
  <w:style w:type="paragraph" w:styleId="TOC3">
    <w:name w:val="toc 3"/>
    <w:basedOn w:val="Normal"/>
    <w:next w:val="Normal"/>
    <w:autoRedefine/>
    <w:uiPriority w:val="99"/>
    <w:semiHidden/>
    <w:rsid w:val="00A96ED6"/>
    <w:pPr>
      <w:spacing w:after="60"/>
      <w:ind w:left="1020" w:right="340" w:hanging="340"/>
    </w:pPr>
  </w:style>
  <w:style w:type="paragraph" w:styleId="TOC4">
    <w:name w:val="toc 4"/>
    <w:basedOn w:val="Normal"/>
    <w:next w:val="Normal"/>
    <w:autoRedefine/>
    <w:uiPriority w:val="99"/>
    <w:semiHidden/>
    <w:rsid w:val="00A96ED6"/>
    <w:pPr>
      <w:tabs>
        <w:tab w:val="right" w:leader="dot" w:pos="9017"/>
      </w:tabs>
      <w:spacing w:after="60"/>
      <w:ind w:left="1361" w:right="340" w:hanging="340"/>
    </w:pPr>
  </w:style>
  <w:style w:type="paragraph" w:styleId="TOC5">
    <w:name w:val="toc 5"/>
    <w:basedOn w:val="Normal"/>
    <w:next w:val="Normal"/>
    <w:autoRedefine/>
    <w:uiPriority w:val="99"/>
    <w:semiHidden/>
    <w:rsid w:val="00A96ED6"/>
    <w:pPr>
      <w:spacing w:after="60"/>
      <w:ind w:left="1701" w:right="340" w:hanging="340"/>
    </w:pPr>
  </w:style>
  <w:style w:type="paragraph" w:styleId="TOCHeading">
    <w:name w:val="TOC Heading"/>
    <w:basedOn w:val="Heading1"/>
    <w:next w:val="Normal"/>
    <w:uiPriority w:val="99"/>
    <w:semiHidden/>
    <w:qFormat/>
    <w:rsid w:val="00A96ED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A96ED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Para_Quote"/>
    <w:basedOn w:val="Normal"/>
    <w:qFormat/>
    <w:rsid w:val="00A96ED6"/>
    <w:pPr>
      <w:spacing w:before="120" w:after="120"/>
      <w:ind w:left="425" w:firstLine="142"/>
    </w:pPr>
    <w:rPr>
      <w:sz w:val="20"/>
    </w:rPr>
  </w:style>
  <w:style w:type="paragraph" w:customStyle="1" w:styleId="ECHRPara">
    <w:name w:val="ECHR_Para"/>
    <w:aliases w:val="Ju_Para,Left,First line:  0 cm,Para"/>
    <w:basedOn w:val="Normal"/>
    <w:link w:val="ECHRParaChar"/>
    <w:uiPriority w:val="12"/>
    <w:qFormat/>
    <w:rsid w:val="00A96ED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A96ED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A96ED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A96ED6"/>
    <w:pPr>
      <w:ind w:left="340" w:hanging="340"/>
    </w:pPr>
  </w:style>
  <w:style w:type="paragraph" w:customStyle="1" w:styleId="JuSigned">
    <w:name w:val="Ju_Signed"/>
    <w:basedOn w:val="Normal"/>
    <w:next w:val="JuParaLast"/>
    <w:uiPriority w:val="32"/>
    <w:qFormat/>
    <w:rsid w:val="00A96ED6"/>
    <w:pPr>
      <w:tabs>
        <w:tab w:val="center" w:pos="851"/>
        <w:tab w:val="center" w:pos="6407"/>
      </w:tabs>
      <w:spacing w:before="720"/>
      <w:jc w:val="left"/>
    </w:pPr>
  </w:style>
  <w:style w:type="paragraph" w:customStyle="1" w:styleId="JuParaLast">
    <w:name w:val="Ju_Para_Last"/>
    <w:basedOn w:val="Normal"/>
    <w:next w:val="ECHRPara"/>
    <w:uiPriority w:val="30"/>
    <w:qFormat/>
    <w:rsid w:val="00A96ED6"/>
    <w:pPr>
      <w:keepNext/>
      <w:keepLines/>
      <w:spacing w:before="240"/>
      <w:ind w:firstLine="284"/>
    </w:pPr>
  </w:style>
  <w:style w:type="paragraph" w:customStyle="1" w:styleId="JuCourt">
    <w:name w:val="Ju_Court"/>
    <w:basedOn w:val="Normal"/>
    <w:next w:val="Normal"/>
    <w:uiPriority w:val="16"/>
    <w:qFormat/>
    <w:rsid w:val="00A96ED6"/>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A96ED6"/>
    <w:pPr>
      <w:ind w:left="346" w:firstLine="0"/>
    </w:pPr>
  </w:style>
  <w:style w:type="paragraph" w:customStyle="1" w:styleId="JuListi">
    <w:name w:val="Ju_List_i"/>
    <w:basedOn w:val="Normal"/>
    <w:next w:val="JuLista"/>
    <w:uiPriority w:val="28"/>
    <w:qFormat/>
    <w:rsid w:val="00A96ED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uiPriority w:val="99"/>
    <w:semiHidden/>
    <w:rsid w:val="00014566"/>
    <w:rPr>
      <w:sz w:val="20"/>
    </w:rPr>
  </w:style>
  <w:style w:type="character" w:customStyle="1" w:styleId="CommentTextChar">
    <w:name w:val="Comment Text Char"/>
    <w:basedOn w:val="DefaultParagraphFont"/>
    <w:link w:val="CommentText"/>
    <w:uiPriority w:val="99"/>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A96ED6"/>
    <w:rPr>
      <w:vanish w:val="0"/>
      <w:color w:val="auto"/>
      <w:sz w:val="14"/>
    </w:rPr>
  </w:style>
  <w:style w:type="paragraph" w:styleId="Subtitle">
    <w:name w:val="Subtitle"/>
    <w:basedOn w:val="Normal"/>
    <w:next w:val="Normal"/>
    <w:link w:val="SubtitleChar"/>
    <w:uiPriority w:val="99"/>
    <w:semiHidden/>
    <w:qFormat/>
    <w:rsid w:val="00A96ED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A96ED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A96ED6"/>
    <w:pPr>
      <w:jc w:val="center"/>
      <w:outlineLvl w:val="0"/>
    </w:pPr>
    <w:rPr>
      <w:i/>
    </w:rPr>
  </w:style>
  <w:style w:type="paragraph" w:customStyle="1" w:styleId="DecHTitle">
    <w:name w:val="Dec_H_Title"/>
    <w:basedOn w:val="ECHRTitleCentre1"/>
    <w:uiPriority w:val="7"/>
    <w:rsid w:val="00A96ED6"/>
  </w:style>
  <w:style w:type="paragraph" w:customStyle="1" w:styleId="DecList">
    <w:name w:val="Dec_List"/>
    <w:basedOn w:val="Normal"/>
    <w:uiPriority w:val="9"/>
    <w:rsid w:val="00A96ED6"/>
    <w:pPr>
      <w:spacing w:before="240"/>
      <w:ind w:left="284"/>
    </w:pPr>
  </w:style>
  <w:style w:type="paragraph" w:customStyle="1" w:styleId="OpiH1">
    <w:name w:val="Opi_H_1"/>
    <w:basedOn w:val="ECHRHeading2"/>
    <w:uiPriority w:val="42"/>
    <w:qFormat/>
    <w:rsid w:val="00A96ED6"/>
    <w:pPr>
      <w:ind w:left="635" w:hanging="357"/>
      <w:outlineLvl w:val="2"/>
    </w:pPr>
  </w:style>
  <w:style w:type="paragraph" w:customStyle="1" w:styleId="OpiHa0">
    <w:name w:val="Opi_H_a"/>
    <w:basedOn w:val="ECHRHeading3"/>
    <w:uiPriority w:val="43"/>
    <w:qFormat/>
    <w:rsid w:val="00A96ED6"/>
    <w:pPr>
      <w:ind w:left="833" w:hanging="357"/>
      <w:outlineLvl w:val="3"/>
    </w:pPr>
    <w:rPr>
      <w:b/>
      <w:i w:val="0"/>
      <w:sz w:val="20"/>
    </w:rPr>
  </w:style>
  <w:style w:type="paragraph" w:customStyle="1" w:styleId="OpiHi">
    <w:name w:val="Opi_H_i"/>
    <w:basedOn w:val="ECHRHeading4"/>
    <w:uiPriority w:val="44"/>
    <w:qFormat/>
    <w:rsid w:val="00A96ED6"/>
    <w:pPr>
      <w:ind w:left="1037" w:hanging="357"/>
      <w:outlineLvl w:val="4"/>
    </w:pPr>
    <w:rPr>
      <w:b w:val="0"/>
      <w:i/>
    </w:rPr>
  </w:style>
  <w:style w:type="paragraph" w:customStyle="1" w:styleId="DummyStyle">
    <w:name w:val="Dummy_Style"/>
    <w:basedOn w:val="Normal"/>
    <w:semiHidden/>
    <w:qFormat/>
    <w:rsid w:val="00A96ED6"/>
    <w:rPr>
      <w:color w:val="00B050"/>
    </w:rPr>
  </w:style>
  <w:style w:type="numbering" w:customStyle="1" w:styleId="1111111">
    <w:name w:val="1 / 1.1 / 1.1.11"/>
    <w:basedOn w:val="NoList"/>
    <w:next w:val="111111"/>
    <w:uiPriority w:val="99"/>
    <w:semiHidden/>
    <w:rsid w:val="004F659D"/>
    <w:pPr>
      <w:numPr>
        <w:numId w:val="15"/>
      </w:numPr>
    </w:pPr>
  </w:style>
  <w:style w:type="numbering" w:customStyle="1" w:styleId="1ai1">
    <w:name w:val="1 / a / i1"/>
    <w:basedOn w:val="NoList"/>
    <w:next w:val="1ai"/>
    <w:uiPriority w:val="99"/>
    <w:semiHidden/>
    <w:rsid w:val="004F659D"/>
    <w:pPr>
      <w:numPr>
        <w:numId w:val="16"/>
      </w:numPr>
    </w:pPr>
  </w:style>
  <w:style w:type="numbering" w:customStyle="1" w:styleId="ArticleSection1">
    <w:name w:val="Article / Section1"/>
    <w:basedOn w:val="NoList"/>
    <w:next w:val="ArticleSection"/>
    <w:uiPriority w:val="99"/>
    <w:semiHidden/>
    <w:rsid w:val="004F659D"/>
    <w:pPr>
      <w:numPr>
        <w:numId w:val="17"/>
      </w:numPr>
    </w:pPr>
  </w:style>
  <w:style w:type="table" w:customStyle="1" w:styleId="Table3Deffects11">
    <w:name w:val="Table 3D effects 11"/>
    <w:basedOn w:val="TableNormal"/>
    <w:next w:val="Table3Deffects1"/>
    <w:uiPriority w:val="99"/>
    <w:semiHidden/>
    <w:rsid w:val="004F659D"/>
    <w:pPr>
      <w:jc w:val="both"/>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rsid w:val="004F659D"/>
    <w:pPr>
      <w:jc w:val="both"/>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rsid w:val="004F659D"/>
    <w:pPr>
      <w:jc w:val="both"/>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rsid w:val="004F659D"/>
    <w:pPr>
      <w:jc w:val="both"/>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rsid w:val="004F659D"/>
    <w:pPr>
      <w:jc w:val="both"/>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rsid w:val="004F659D"/>
    <w:pPr>
      <w:jc w:val="both"/>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rsid w:val="004F659D"/>
    <w:pPr>
      <w:jc w:val="both"/>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rsid w:val="004F659D"/>
    <w:pPr>
      <w:jc w:val="both"/>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rsid w:val="004F659D"/>
    <w:pPr>
      <w:jc w:val="both"/>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rsid w:val="004F659D"/>
    <w:pPr>
      <w:jc w:val="both"/>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rsid w:val="004F659D"/>
    <w:pPr>
      <w:jc w:val="both"/>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rsid w:val="004F659D"/>
    <w:pPr>
      <w:jc w:val="both"/>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rsid w:val="004F659D"/>
    <w:pPr>
      <w:jc w:val="both"/>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rsid w:val="004F659D"/>
    <w:pPr>
      <w:jc w:val="both"/>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rsid w:val="004F659D"/>
    <w:pPr>
      <w:jc w:val="both"/>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rsid w:val="004F659D"/>
    <w:pPr>
      <w:jc w:val="both"/>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rsid w:val="004F659D"/>
    <w:pPr>
      <w:jc w:val="both"/>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rsid w:val="004F659D"/>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rsid w:val="004F659D"/>
    <w:pPr>
      <w:jc w:val="both"/>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rsid w:val="004F659D"/>
    <w:pPr>
      <w:jc w:val="both"/>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rsid w:val="004F659D"/>
    <w:pPr>
      <w:jc w:val="both"/>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rsid w:val="004F659D"/>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rsid w:val="004F659D"/>
    <w:pPr>
      <w:jc w:val="both"/>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rsid w:val="004F659D"/>
    <w:pPr>
      <w:jc w:val="both"/>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rsid w:val="004F659D"/>
    <w:pPr>
      <w:jc w:val="both"/>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rsid w:val="004F659D"/>
    <w:pPr>
      <w:jc w:val="both"/>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rsid w:val="004F659D"/>
    <w:pPr>
      <w:jc w:val="both"/>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rsid w:val="004F659D"/>
    <w:pPr>
      <w:jc w:val="both"/>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rsid w:val="004F659D"/>
    <w:pPr>
      <w:jc w:val="both"/>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rsid w:val="004F659D"/>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rsid w:val="004F659D"/>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rsid w:val="004F659D"/>
    <w:pPr>
      <w:jc w:val="both"/>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rsid w:val="004F659D"/>
    <w:pPr>
      <w:jc w:val="both"/>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rsid w:val="004F659D"/>
    <w:pPr>
      <w:jc w:val="both"/>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rsid w:val="004F659D"/>
    <w:pPr>
      <w:jc w:val="both"/>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uiPriority w:val="99"/>
    <w:semiHidden/>
    <w:rsid w:val="004F659D"/>
    <w:pPr>
      <w:jc w:val="both"/>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uiPriority w:val="99"/>
    <w:semiHidden/>
    <w:rsid w:val="004F659D"/>
    <w:pPr>
      <w:jc w:val="both"/>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rsid w:val="004F659D"/>
    <w:pPr>
      <w:jc w:val="both"/>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rsid w:val="004F659D"/>
    <w:pPr>
      <w:jc w:val="both"/>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rsid w:val="004F659D"/>
    <w:pPr>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rsid w:val="004F659D"/>
    <w:pPr>
      <w:jc w:val="both"/>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rsid w:val="004F659D"/>
    <w:pPr>
      <w:jc w:val="both"/>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rsid w:val="004F659D"/>
    <w:pPr>
      <w:jc w:val="both"/>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ECHRParaChar">
    <w:name w:val="ECHR_Para Char"/>
    <w:aliases w:val="Ju_Para Char"/>
    <w:link w:val="ECHRPara"/>
    <w:uiPriority w:val="12"/>
    <w:rsid w:val="004F659D"/>
    <w:rPr>
      <w:rFonts w:eastAsiaTheme="minorEastAsia"/>
      <w:sz w:val="24"/>
    </w:rPr>
  </w:style>
  <w:style w:type="paragraph" w:styleId="Revision">
    <w:name w:val="Revision"/>
    <w:hidden/>
    <w:uiPriority w:val="99"/>
    <w:semiHidden/>
    <w:rsid w:val="004F659D"/>
    <w:rPr>
      <w:rFonts w:eastAsiaTheme="minorEastAsia"/>
      <w:sz w:val="24"/>
    </w:rPr>
  </w:style>
  <w:style w:type="paragraph" w:customStyle="1" w:styleId="jupara">
    <w:name w:val="jupara"/>
    <w:basedOn w:val="Normal"/>
    <w:rsid w:val="004F659D"/>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4F659D"/>
    <w:pPr>
      <w:ind w:firstLine="284"/>
    </w:pPr>
    <w:rPr>
      <w:rFonts w:ascii="Times New Roman" w:eastAsia="Times New Roman" w:hAnsi="Times New Roman" w:cs="Times New Roman"/>
      <w:b/>
      <w:bCs/>
      <w:szCs w:val="24"/>
      <w:lang w:val="en-GB" w:eastAsia="en-GB"/>
    </w:rPr>
  </w:style>
  <w:style w:type="character" w:customStyle="1" w:styleId="JuParaCar">
    <w:name w:val="Ju_Para Car"/>
    <w:uiPriority w:val="12"/>
    <w:rsid w:val="00C5754E"/>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1661">
      <w:bodyDiv w:val="1"/>
      <w:marLeft w:val="0"/>
      <w:marRight w:val="0"/>
      <w:marTop w:val="0"/>
      <w:marBottom w:val="0"/>
      <w:divBdr>
        <w:top w:val="none" w:sz="0" w:space="0" w:color="auto"/>
        <w:left w:val="none" w:sz="0" w:space="0" w:color="auto"/>
        <w:bottom w:val="none" w:sz="0" w:space="0" w:color="auto"/>
        <w:right w:val="none" w:sz="0" w:space="0" w:color="auto"/>
      </w:divBdr>
      <w:divsChild>
        <w:div w:id="1394893601">
          <w:marLeft w:val="0"/>
          <w:marRight w:val="0"/>
          <w:marTop w:val="0"/>
          <w:marBottom w:val="0"/>
          <w:divBdr>
            <w:top w:val="none" w:sz="0" w:space="0" w:color="auto"/>
            <w:left w:val="none" w:sz="0" w:space="0" w:color="auto"/>
            <w:bottom w:val="none" w:sz="0" w:space="0" w:color="auto"/>
            <w:right w:val="none" w:sz="0" w:space="0" w:color="auto"/>
          </w:divBdr>
          <w:divsChild>
            <w:div w:id="1693989467">
              <w:marLeft w:val="0"/>
              <w:marRight w:val="0"/>
              <w:marTop w:val="0"/>
              <w:marBottom w:val="0"/>
              <w:divBdr>
                <w:top w:val="none" w:sz="0" w:space="0" w:color="auto"/>
                <w:left w:val="none" w:sz="0" w:space="0" w:color="auto"/>
                <w:bottom w:val="none" w:sz="0" w:space="0" w:color="auto"/>
                <w:right w:val="none" w:sz="0" w:space="0" w:color="auto"/>
              </w:divBdr>
              <w:divsChild>
                <w:div w:id="1296369320">
                  <w:marLeft w:val="0"/>
                  <w:marRight w:val="0"/>
                  <w:marTop w:val="0"/>
                  <w:marBottom w:val="0"/>
                  <w:divBdr>
                    <w:top w:val="none" w:sz="0" w:space="0" w:color="auto"/>
                    <w:left w:val="none" w:sz="0" w:space="0" w:color="auto"/>
                    <w:bottom w:val="none" w:sz="0" w:space="0" w:color="auto"/>
                    <w:right w:val="none" w:sz="0" w:space="0" w:color="auto"/>
                  </w:divBdr>
                  <w:divsChild>
                    <w:div w:id="220362652">
                      <w:marLeft w:val="0"/>
                      <w:marRight w:val="0"/>
                      <w:marTop w:val="0"/>
                      <w:marBottom w:val="0"/>
                      <w:divBdr>
                        <w:top w:val="none" w:sz="0" w:space="0" w:color="auto"/>
                        <w:left w:val="none" w:sz="0" w:space="0" w:color="auto"/>
                        <w:bottom w:val="none" w:sz="0" w:space="0" w:color="auto"/>
                        <w:right w:val="none" w:sz="0" w:space="0" w:color="auto"/>
                      </w:divBdr>
                      <w:divsChild>
                        <w:div w:id="159471312">
                          <w:marLeft w:val="0"/>
                          <w:marRight w:val="0"/>
                          <w:marTop w:val="0"/>
                          <w:marBottom w:val="0"/>
                          <w:divBdr>
                            <w:top w:val="none" w:sz="0" w:space="0" w:color="auto"/>
                            <w:left w:val="none" w:sz="0" w:space="0" w:color="auto"/>
                            <w:bottom w:val="none" w:sz="0" w:space="0" w:color="auto"/>
                            <w:right w:val="none" w:sz="0" w:space="0" w:color="auto"/>
                          </w:divBdr>
                          <w:divsChild>
                            <w:div w:id="1011031262">
                              <w:marLeft w:val="0"/>
                              <w:marRight w:val="0"/>
                              <w:marTop w:val="0"/>
                              <w:marBottom w:val="0"/>
                              <w:divBdr>
                                <w:top w:val="none" w:sz="0" w:space="0" w:color="auto"/>
                                <w:left w:val="none" w:sz="0" w:space="0" w:color="auto"/>
                                <w:bottom w:val="none" w:sz="0" w:space="0" w:color="auto"/>
                                <w:right w:val="none" w:sz="0" w:space="0" w:color="auto"/>
                              </w:divBdr>
                              <w:divsChild>
                                <w:div w:id="201284743">
                                  <w:marLeft w:val="0"/>
                                  <w:marRight w:val="0"/>
                                  <w:marTop w:val="0"/>
                                  <w:marBottom w:val="0"/>
                                  <w:divBdr>
                                    <w:top w:val="none" w:sz="0" w:space="0" w:color="auto"/>
                                    <w:left w:val="none" w:sz="0" w:space="0" w:color="auto"/>
                                    <w:bottom w:val="none" w:sz="0" w:space="0" w:color="auto"/>
                                    <w:right w:val="none" w:sz="0" w:space="0" w:color="auto"/>
                                  </w:divBdr>
                                  <w:divsChild>
                                    <w:div w:id="1553037531">
                                      <w:marLeft w:val="0"/>
                                      <w:marRight w:val="0"/>
                                      <w:marTop w:val="0"/>
                                      <w:marBottom w:val="0"/>
                                      <w:divBdr>
                                        <w:top w:val="none" w:sz="0" w:space="0" w:color="auto"/>
                                        <w:left w:val="none" w:sz="0" w:space="0" w:color="auto"/>
                                        <w:bottom w:val="none" w:sz="0" w:space="0" w:color="auto"/>
                                        <w:right w:val="none" w:sz="0" w:space="0" w:color="auto"/>
                                      </w:divBdr>
                                      <w:divsChild>
                                        <w:div w:id="1687831753">
                                          <w:marLeft w:val="0"/>
                                          <w:marRight w:val="0"/>
                                          <w:marTop w:val="0"/>
                                          <w:marBottom w:val="0"/>
                                          <w:divBdr>
                                            <w:top w:val="none" w:sz="0" w:space="0" w:color="auto"/>
                                            <w:left w:val="none" w:sz="0" w:space="0" w:color="auto"/>
                                            <w:bottom w:val="none" w:sz="0" w:space="0" w:color="auto"/>
                                            <w:right w:val="none" w:sz="0" w:space="0" w:color="auto"/>
                                          </w:divBdr>
                                          <w:divsChild>
                                            <w:div w:id="15692097">
                                              <w:marLeft w:val="0"/>
                                              <w:marRight w:val="0"/>
                                              <w:marTop w:val="0"/>
                                              <w:marBottom w:val="0"/>
                                              <w:divBdr>
                                                <w:top w:val="none" w:sz="0" w:space="0" w:color="auto"/>
                                                <w:left w:val="none" w:sz="0" w:space="0" w:color="auto"/>
                                                <w:bottom w:val="none" w:sz="0" w:space="0" w:color="auto"/>
                                                <w:right w:val="none" w:sz="0" w:space="0" w:color="auto"/>
                                              </w:divBdr>
                                              <w:divsChild>
                                                <w:div w:id="126975178">
                                                  <w:marLeft w:val="0"/>
                                                  <w:marRight w:val="0"/>
                                                  <w:marTop w:val="0"/>
                                                  <w:marBottom w:val="0"/>
                                                  <w:divBdr>
                                                    <w:top w:val="none" w:sz="0" w:space="0" w:color="auto"/>
                                                    <w:left w:val="none" w:sz="0" w:space="0" w:color="auto"/>
                                                    <w:bottom w:val="none" w:sz="0" w:space="0" w:color="auto"/>
                                                    <w:right w:val="none" w:sz="0" w:space="0" w:color="auto"/>
                                                  </w:divBdr>
                                                  <w:divsChild>
                                                    <w:div w:id="1193616303">
                                                      <w:marLeft w:val="0"/>
                                                      <w:marRight w:val="0"/>
                                                      <w:marTop w:val="0"/>
                                                      <w:marBottom w:val="0"/>
                                                      <w:divBdr>
                                                        <w:top w:val="none" w:sz="0" w:space="0" w:color="auto"/>
                                                        <w:left w:val="none" w:sz="0" w:space="0" w:color="auto"/>
                                                        <w:bottom w:val="none" w:sz="0" w:space="0" w:color="auto"/>
                                                        <w:right w:val="none" w:sz="0" w:space="0" w:color="auto"/>
                                                      </w:divBdr>
                                                      <w:divsChild>
                                                        <w:div w:id="13665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9532098">
      <w:bodyDiv w:val="1"/>
      <w:marLeft w:val="0"/>
      <w:marRight w:val="0"/>
      <w:marTop w:val="0"/>
      <w:marBottom w:val="0"/>
      <w:divBdr>
        <w:top w:val="none" w:sz="0" w:space="0" w:color="auto"/>
        <w:left w:val="none" w:sz="0" w:space="0" w:color="auto"/>
        <w:bottom w:val="none" w:sz="0" w:space="0" w:color="auto"/>
        <w:right w:val="none" w:sz="0" w:space="0" w:color="auto"/>
      </w:divBdr>
      <w:divsChild>
        <w:div w:id="847906488">
          <w:marLeft w:val="0"/>
          <w:marRight w:val="0"/>
          <w:marTop w:val="0"/>
          <w:marBottom w:val="0"/>
          <w:divBdr>
            <w:top w:val="none" w:sz="0" w:space="0" w:color="auto"/>
            <w:left w:val="none" w:sz="0" w:space="0" w:color="auto"/>
            <w:bottom w:val="none" w:sz="0" w:space="0" w:color="auto"/>
            <w:right w:val="none" w:sz="0" w:space="0" w:color="auto"/>
          </w:divBdr>
          <w:divsChild>
            <w:div w:id="1210997444">
              <w:marLeft w:val="0"/>
              <w:marRight w:val="0"/>
              <w:marTop w:val="0"/>
              <w:marBottom w:val="0"/>
              <w:divBdr>
                <w:top w:val="none" w:sz="0" w:space="0" w:color="auto"/>
                <w:left w:val="none" w:sz="0" w:space="0" w:color="auto"/>
                <w:bottom w:val="none" w:sz="0" w:space="0" w:color="auto"/>
                <w:right w:val="none" w:sz="0" w:space="0" w:color="auto"/>
              </w:divBdr>
              <w:divsChild>
                <w:div w:id="363605611">
                  <w:marLeft w:val="0"/>
                  <w:marRight w:val="0"/>
                  <w:marTop w:val="0"/>
                  <w:marBottom w:val="0"/>
                  <w:divBdr>
                    <w:top w:val="none" w:sz="0" w:space="0" w:color="auto"/>
                    <w:left w:val="none" w:sz="0" w:space="0" w:color="auto"/>
                    <w:bottom w:val="none" w:sz="0" w:space="0" w:color="auto"/>
                    <w:right w:val="none" w:sz="0" w:space="0" w:color="auto"/>
                  </w:divBdr>
                  <w:divsChild>
                    <w:div w:id="977106199">
                      <w:marLeft w:val="0"/>
                      <w:marRight w:val="0"/>
                      <w:marTop w:val="0"/>
                      <w:marBottom w:val="0"/>
                      <w:divBdr>
                        <w:top w:val="none" w:sz="0" w:space="0" w:color="auto"/>
                        <w:left w:val="none" w:sz="0" w:space="0" w:color="auto"/>
                        <w:bottom w:val="none" w:sz="0" w:space="0" w:color="auto"/>
                        <w:right w:val="none" w:sz="0" w:space="0" w:color="auto"/>
                      </w:divBdr>
                      <w:divsChild>
                        <w:div w:id="1916815119">
                          <w:marLeft w:val="0"/>
                          <w:marRight w:val="0"/>
                          <w:marTop w:val="0"/>
                          <w:marBottom w:val="0"/>
                          <w:divBdr>
                            <w:top w:val="none" w:sz="0" w:space="0" w:color="auto"/>
                            <w:left w:val="none" w:sz="0" w:space="0" w:color="auto"/>
                            <w:bottom w:val="none" w:sz="0" w:space="0" w:color="auto"/>
                            <w:right w:val="none" w:sz="0" w:space="0" w:color="auto"/>
                          </w:divBdr>
                          <w:divsChild>
                            <w:div w:id="291983662">
                              <w:marLeft w:val="0"/>
                              <w:marRight w:val="0"/>
                              <w:marTop w:val="0"/>
                              <w:marBottom w:val="0"/>
                              <w:divBdr>
                                <w:top w:val="none" w:sz="0" w:space="0" w:color="auto"/>
                                <w:left w:val="none" w:sz="0" w:space="0" w:color="auto"/>
                                <w:bottom w:val="none" w:sz="0" w:space="0" w:color="auto"/>
                                <w:right w:val="none" w:sz="0" w:space="0" w:color="auto"/>
                              </w:divBdr>
                              <w:divsChild>
                                <w:div w:id="491335857">
                                  <w:marLeft w:val="0"/>
                                  <w:marRight w:val="0"/>
                                  <w:marTop w:val="0"/>
                                  <w:marBottom w:val="0"/>
                                  <w:divBdr>
                                    <w:top w:val="none" w:sz="0" w:space="0" w:color="auto"/>
                                    <w:left w:val="none" w:sz="0" w:space="0" w:color="auto"/>
                                    <w:bottom w:val="none" w:sz="0" w:space="0" w:color="auto"/>
                                    <w:right w:val="none" w:sz="0" w:space="0" w:color="auto"/>
                                  </w:divBdr>
                                  <w:divsChild>
                                    <w:div w:id="545989298">
                                      <w:marLeft w:val="0"/>
                                      <w:marRight w:val="0"/>
                                      <w:marTop w:val="0"/>
                                      <w:marBottom w:val="0"/>
                                      <w:divBdr>
                                        <w:top w:val="none" w:sz="0" w:space="0" w:color="auto"/>
                                        <w:left w:val="none" w:sz="0" w:space="0" w:color="auto"/>
                                        <w:bottom w:val="none" w:sz="0" w:space="0" w:color="auto"/>
                                        <w:right w:val="none" w:sz="0" w:space="0" w:color="auto"/>
                                      </w:divBdr>
                                      <w:divsChild>
                                        <w:div w:id="225847430">
                                          <w:marLeft w:val="0"/>
                                          <w:marRight w:val="0"/>
                                          <w:marTop w:val="0"/>
                                          <w:marBottom w:val="0"/>
                                          <w:divBdr>
                                            <w:top w:val="none" w:sz="0" w:space="0" w:color="auto"/>
                                            <w:left w:val="none" w:sz="0" w:space="0" w:color="auto"/>
                                            <w:bottom w:val="none" w:sz="0" w:space="0" w:color="auto"/>
                                            <w:right w:val="none" w:sz="0" w:space="0" w:color="auto"/>
                                          </w:divBdr>
                                          <w:divsChild>
                                            <w:div w:id="1380939471">
                                              <w:marLeft w:val="0"/>
                                              <w:marRight w:val="0"/>
                                              <w:marTop w:val="0"/>
                                              <w:marBottom w:val="0"/>
                                              <w:divBdr>
                                                <w:top w:val="none" w:sz="0" w:space="0" w:color="auto"/>
                                                <w:left w:val="none" w:sz="0" w:space="0" w:color="auto"/>
                                                <w:bottom w:val="none" w:sz="0" w:space="0" w:color="auto"/>
                                                <w:right w:val="none" w:sz="0" w:space="0" w:color="auto"/>
                                              </w:divBdr>
                                              <w:divsChild>
                                                <w:div w:id="1553227738">
                                                  <w:marLeft w:val="0"/>
                                                  <w:marRight w:val="0"/>
                                                  <w:marTop w:val="0"/>
                                                  <w:marBottom w:val="0"/>
                                                  <w:divBdr>
                                                    <w:top w:val="none" w:sz="0" w:space="0" w:color="auto"/>
                                                    <w:left w:val="none" w:sz="0" w:space="0" w:color="auto"/>
                                                    <w:bottom w:val="none" w:sz="0" w:space="0" w:color="auto"/>
                                                    <w:right w:val="none" w:sz="0" w:space="0" w:color="auto"/>
                                                  </w:divBdr>
                                                  <w:divsChild>
                                                    <w:div w:id="1948390537">
                                                      <w:marLeft w:val="0"/>
                                                      <w:marRight w:val="0"/>
                                                      <w:marTop w:val="0"/>
                                                      <w:marBottom w:val="0"/>
                                                      <w:divBdr>
                                                        <w:top w:val="none" w:sz="0" w:space="0" w:color="auto"/>
                                                        <w:left w:val="none" w:sz="0" w:space="0" w:color="auto"/>
                                                        <w:bottom w:val="none" w:sz="0" w:space="0" w:color="auto"/>
                                                        <w:right w:val="none" w:sz="0" w:space="0" w:color="auto"/>
                                                      </w:divBdr>
                                                      <w:divsChild>
                                                        <w:div w:id="1131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 w:id="2112779923">
      <w:bodyDiv w:val="1"/>
      <w:marLeft w:val="0"/>
      <w:marRight w:val="0"/>
      <w:marTop w:val="0"/>
      <w:marBottom w:val="0"/>
      <w:divBdr>
        <w:top w:val="none" w:sz="0" w:space="0" w:color="auto"/>
        <w:left w:val="none" w:sz="0" w:space="0" w:color="auto"/>
        <w:bottom w:val="none" w:sz="0" w:space="0" w:color="auto"/>
        <w:right w:val="none" w:sz="0" w:space="0" w:color="auto"/>
      </w:divBdr>
      <w:divsChild>
        <w:div w:id="1356073070">
          <w:marLeft w:val="0"/>
          <w:marRight w:val="0"/>
          <w:marTop w:val="0"/>
          <w:marBottom w:val="0"/>
          <w:divBdr>
            <w:top w:val="none" w:sz="0" w:space="0" w:color="auto"/>
            <w:left w:val="none" w:sz="0" w:space="0" w:color="auto"/>
            <w:bottom w:val="none" w:sz="0" w:space="0" w:color="auto"/>
            <w:right w:val="none" w:sz="0" w:space="0" w:color="auto"/>
          </w:divBdr>
          <w:divsChild>
            <w:div w:id="606548801">
              <w:marLeft w:val="0"/>
              <w:marRight w:val="0"/>
              <w:marTop w:val="0"/>
              <w:marBottom w:val="0"/>
              <w:divBdr>
                <w:top w:val="none" w:sz="0" w:space="0" w:color="auto"/>
                <w:left w:val="none" w:sz="0" w:space="0" w:color="auto"/>
                <w:bottom w:val="none" w:sz="0" w:space="0" w:color="auto"/>
                <w:right w:val="none" w:sz="0" w:space="0" w:color="auto"/>
              </w:divBdr>
              <w:divsChild>
                <w:div w:id="204954011">
                  <w:marLeft w:val="0"/>
                  <w:marRight w:val="0"/>
                  <w:marTop w:val="0"/>
                  <w:marBottom w:val="0"/>
                  <w:divBdr>
                    <w:top w:val="none" w:sz="0" w:space="0" w:color="auto"/>
                    <w:left w:val="none" w:sz="0" w:space="0" w:color="auto"/>
                    <w:bottom w:val="none" w:sz="0" w:space="0" w:color="auto"/>
                    <w:right w:val="none" w:sz="0" w:space="0" w:color="auto"/>
                  </w:divBdr>
                  <w:divsChild>
                    <w:div w:id="1402412374">
                      <w:marLeft w:val="0"/>
                      <w:marRight w:val="0"/>
                      <w:marTop w:val="0"/>
                      <w:marBottom w:val="0"/>
                      <w:divBdr>
                        <w:top w:val="none" w:sz="0" w:space="0" w:color="auto"/>
                        <w:left w:val="none" w:sz="0" w:space="0" w:color="auto"/>
                        <w:bottom w:val="none" w:sz="0" w:space="0" w:color="auto"/>
                        <w:right w:val="none" w:sz="0" w:space="0" w:color="auto"/>
                      </w:divBdr>
                      <w:divsChild>
                        <w:div w:id="612441292">
                          <w:marLeft w:val="0"/>
                          <w:marRight w:val="0"/>
                          <w:marTop w:val="0"/>
                          <w:marBottom w:val="0"/>
                          <w:divBdr>
                            <w:top w:val="none" w:sz="0" w:space="0" w:color="auto"/>
                            <w:left w:val="none" w:sz="0" w:space="0" w:color="auto"/>
                            <w:bottom w:val="none" w:sz="0" w:space="0" w:color="auto"/>
                            <w:right w:val="none" w:sz="0" w:space="0" w:color="auto"/>
                          </w:divBdr>
                          <w:divsChild>
                            <w:div w:id="2112778999">
                              <w:marLeft w:val="0"/>
                              <w:marRight w:val="0"/>
                              <w:marTop w:val="0"/>
                              <w:marBottom w:val="0"/>
                              <w:divBdr>
                                <w:top w:val="none" w:sz="0" w:space="0" w:color="auto"/>
                                <w:left w:val="none" w:sz="0" w:space="0" w:color="auto"/>
                                <w:bottom w:val="none" w:sz="0" w:space="0" w:color="auto"/>
                                <w:right w:val="none" w:sz="0" w:space="0" w:color="auto"/>
                              </w:divBdr>
                              <w:divsChild>
                                <w:div w:id="1057821333">
                                  <w:marLeft w:val="0"/>
                                  <w:marRight w:val="0"/>
                                  <w:marTop w:val="0"/>
                                  <w:marBottom w:val="0"/>
                                  <w:divBdr>
                                    <w:top w:val="none" w:sz="0" w:space="0" w:color="auto"/>
                                    <w:left w:val="none" w:sz="0" w:space="0" w:color="auto"/>
                                    <w:bottom w:val="none" w:sz="0" w:space="0" w:color="auto"/>
                                    <w:right w:val="none" w:sz="0" w:space="0" w:color="auto"/>
                                  </w:divBdr>
                                  <w:divsChild>
                                    <w:div w:id="762066456">
                                      <w:marLeft w:val="0"/>
                                      <w:marRight w:val="0"/>
                                      <w:marTop w:val="0"/>
                                      <w:marBottom w:val="0"/>
                                      <w:divBdr>
                                        <w:top w:val="none" w:sz="0" w:space="0" w:color="auto"/>
                                        <w:left w:val="none" w:sz="0" w:space="0" w:color="auto"/>
                                        <w:bottom w:val="none" w:sz="0" w:space="0" w:color="auto"/>
                                        <w:right w:val="none" w:sz="0" w:space="0" w:color="auto"/>
                                      </w:divBdr>
                                      <w:divsChild>
                                        <w:div w:id="124590036">
                                          <w:marLeft w:val="0"/>
                                          <w:marRight w:val="0"/>
                                          <w:marTop w:val="0"/>
                                          <w:marBottom w:val="0"/>
                                          <w:divBdr>
                                            <w:top w:val="none" w:sz="0" w:space="0" w:color="auto"/>
                                            <w:left w:val="none" w:sz="0" w:space="0" w:color="auto"/>
                                            <w:bottom w:val="none" w:sz="0" w:space="0" w:color="auto"/>
                                            <w:right w:val="none" w:sz="0" w:space="0" w:color="auto"/>
                                          </w:divBdr>
                                          <w:divsChild>
                                            <w:div w:id="103615776">
                                              <w:marLeft w:val="0"/>
                                              <w:marRight w:val="0"/>
                                              <w:marTop w:val="0"/>
                                              <w:marBottom w:val="0"/>
                                              <w:divBdr>
                                                <w:top w:val="none" w:sz="0" w:space="0" w:color="auto"/>
                                                <w:left w:val="none" w:sz="0" w:space="0" w:color="auto"/>
                                                <w:bottom w:val="none" w:sz="0" w:space="0" w:color="auto"/>
                                                <w:right w:val="none" w:sz="0" w:space="0" w:color="auto"/>
                                              </w:divBdr>
                                              <w:divsChild>
                                                <w:div w:id="259719819">
                                                  <w:marLeft w:val="0"/>
                                                  <w:marRight w:val="0"/>
                                                  <w:marTop w:val="0"/>
                                                  <w:marBottom w:val="0"/>
                                                  <w:divBdr>
                                                    <w:top w:val="none" w:sz="0" w:space="0" w:color="auto"/>
                                                    <w:left w:val="none" w:sz="0" w:space="0" w:color="auto"/>
                                                    <w:bottom w:val="none" w:sz="0" w:space="0" w:color="auto"/>
                                                    <w:right w:val="none" w:sz="0" w:space="0" w:color="auto"/>
                                                  </w:divBdr>
                                                  <w:divsChild>
                                                    <w:div w:id="1770420903">
                                                      <w:marLeft w:val="0"/>
                                                      <w:marRight w:val="0"/>
                                                      <w:marTop w:val="0"/>
                                                      <w:marBottom w:val="0"/>
                                                      <w:divBdr>
                                                        <w:top w:val="none" w:sz="0" w:space="0" w:color="auto"/>
                                                        <w:left w:val="none" w:sz="0" w:space="0" w:color="auto"/>
                                                        <w:bottom w:val="none" w:sz="0" w:space="0" w:color="auto"/>
                                                        <w:right w:val="none" w:sz="0" w:space="0" w:color="auto"/>
                                                      </w:divBdr>
                                                      <w:divsChild>
                                                        <w:div w:id="23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034B44-0ADF-46F4-B1AB-6F21BAF41F70}"/>
</file>

<file path=customXml/itemProps2.xml><?xml version="1.0" encoding="utf-8"?>
<ds:datastoreItem xmlns:ds="http://schemas.openxmlformats.org/officeDocument/2006/customXml" ds:itemID="{057B55E1-5310-471D-85EC-04C5107FC947}"/>
</file>

<file path=customXml/itemProps3.xml><?xml version="1.0" encoding="utf-8"?>
<ds:datastoreItem xmlns:ds="http://schemas.openxmlformats.org/officeDocument/2006/customXml" ds:itemID="{AB6E25DB-65DB-4252-A25F-31C0AC2626C7}"/>
</file>

<file path=customXml/itemProps4.xml><?xml version="1.0" encoding="utf-8"?>
<ds:datastoreItem xmlns:ds="http://schemas.openxmlformats.org/officeDocument/2006/customXml" ds:itemID="{D16FCC71-FD0B-422E-B2A9-8B33C6171839}"/>
</file>

<file path=docProps/app.xml><?xml version="1.0" encoding="utf-8"?>
<Properties xmlns="http://schemas.openxmlformats.org/officeDocument/2006/extended-properties" xmlns:vt="http://schemas.openxmlformats.org/officeDocument/2006/docPropsVTypes">
  <Template>Normal.dotm</Template>
  <TotalTime>0</TotalTime>
  <Pages>1</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1</cp:revision>
  <dcterms:created xsi:type="dcterms:W3CDTF">2019-01-31T14:33:00Z</dcterms:created>
  <dcterms:modified xsi:type="dcterms:W3CDTF">2019-01-31T14:33:00Z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