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0D" w:rsidP="00E821E3" w:rsidRDefault="000E480D">
      <w:pPr>
        <w:jc w:val="center"/>
      </w:pPr>
      <w:bookmarkStart w:name="_GoBack" w:id="0"/>
      <w:bookmarkEnd w:id="0"/>
    </w:p>
    <w:p w:rsidR="000E480D" w:rsidP="00E821E3" w:rsidRDefault="000E480D">
      <w:pPr>
        <w:jc w:val="center"/>
      </w:pPr>
    </w:p>
    <w:p w:rsidRPr="00676BB6" w:rsidR="00D42D6D" w:rsidP="00E821E3" w:rsidRDefault="00D42D6D">
      <w:pPr>
        <w:jc w:val="center"/>
      </w:pPr>
    </w:p>
    <w:p w:rsidRPr="00676BB6" w:rsidR="00CD49A7" w:rsidP="00E821E3" w:rsidRDefault="00676BB6">
      <w:pPr>
        <w:jc w:val="center"/>
      </w:pPr>
      <w:r w:rsidRPr="00676BB6">
        <w:t>FIRST SECTION</w:t>
      </w:r>
    </w:p>
    <w:p w:rsidR="000E480D" w:rsidP="00E821E3" w:rsidRDefault="000E480D">
      <w:pPr>
        <w:jc w:val="center"/>
      </w:pPr>
    </w:p>
    <w:p w:rsidR="000E480D" w:rsidP="00E821E3" w:rsidRDefault="000E480D">
      <w:pPr>
        <w:jc w:val="center"/>
      </w:pPr>
    </w:p>
    <w:p w:rsidR="000E480D" w:rsidP="00E821E3" w:rsidRDefault="000E480D">
      <w:pPr>
        <w:jc w:val="center"/>
      </w:pPr>
    </w:p>
    <w:p w:rsidR="000E480D" w:rsidP="00E821E3" w:rsidRDefault="000E480D">
      <w:pPr>
        <w:jc w:val="center"/>
      </w:pPr>
    </w:p>
    <w:p w:rsidRPr="00676BB6" w:rsidR="00CD49A7" w:rsidP="00E821E3" w:rsidRDefault="00CD49A7">
      <w:pPr>
        <w:jc w:val="center"/>
      </w:pPr>
    </w:p>
    <w:p w:rsidRPr="00676BB6" w:rsidR="00CD49A7" w:rsidP="00E821E3" w:rsidRDefault="00CD49A7">
      <w:pPr>
        <w:jc w:val="center"/>
        <w:rPr>
          <w:b/>
        </w:rPr>
      </w:pPr>
      <w:r w:rsidRPr="00676BB6">
        <w:rPr>
          <w:b/>
        </w:rPr>
        <w:t xml:space="preserve">CASE OF </w:t>
      </w:r>
      <w:r w:rsidRPr="00676BB6" w:rsidR="00676BB6">
        <w:rPr>
          <w:b/>
        </w:rPr>
        <w:t xml:space="preserve">GANCI v. </w:t>
      </w:r>
      <w:smartTag w:uri="urn:schemas-microsoft-com:office:smarttags" w:element="country-region">
        <w:smartTag w:uri="urn:schemas-microsoft-com:office:smarttags" w:element="place">
          <w:r w:rsidR="00676BB6" w:rsidRPr="00676BB6">
            <w:rPr>
              <w:b/>
            </w:rPr>
            <w:t>ITAL</w:t>
          </w:r>
          <w:r w:rsidR="00D42D6D">
            <w:rPr>
              <w:b/>
            </w:rPr>
            <w:t>Y</w:t>
          </w:r>
        </w:smartTag>
      </w:smartTag>
    </w:p>
    <w:p w:rsidRPr="00676BB6" w:rsidR="00CD49A7" w:rsidP="00E821E3" w:rsidRDefault="00CD49A7">
      <w:pPr>
        <w:jc w:val="center"/>
      </w:pPr>
    </w:p>
    <w:p w:rsidRPr="00676BB6" w:rsidR="00CD49A7" w:rsidP="00E821E3" w:rsidRDefault="00CD49A7">
      <w:pPr>
        <w:jc w:val="center"/>
        <w:rPr>
          <w:i/>
        </w:rPr>
      </w:pPr>
      <w:r w:rsidRPr="00676BB6">
        <w:rPr>
          <w:i/>
        </w:rPr>
        <w:t>(</w:t>
      </w:r>
      <w:r w:rsidRPr="00676BB6" w:rsidR="00676BB6">
        <w:rPr>
          <w:i/>
        </w:rPr>
        <w:t>Application no. 41576/98</w:t>
      </w:r>
      <w:r w:rsidRPr="00676BB6">
        <w:rPr>
          <w:i/>
        </w:rPr>
        <w:t>)</w:t>
      </w:r>
    </w:p>
    <w:p w:rsidR="000E480D" w:rsidP="00E821E3" w:rsidRDefault="000E480D">
      <w:pPr>
        <w:pStyle w:val="JuCase"/>
        <w:ind w:firstLine="0"/>
        <w:jc w:val="center"/>
        <w:rPr>
          <w:b w:val="0"/>
        </w:rPr>
      </w:pP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r>
        <w:t>JUDGMENT</w:t>
      </w:r>
    </w:p>
    <w:p w:rsidR="000E480D" w:rsidP="00E821E3" w:rsidRDefault="000E480D">
      <w:pPr>
        <w:pStyle w:val="JuPara"/>
        <w:ind w:firstLine="0"/>
        <w:jc w:val="center"/>
      </w:pPr>
    </w:p>
    <w:p w:rsidR="000E480D" w:rsidP="00E821E3" w:rsidRDefault="000E480D">
      <w:pPr>
        <w:pStyle w:val="JuPara"/>
        <w:ind w:firstLine="0"/>
        <w:jc w:val="center"/>
      </w:pPr>
    </w:p>
    <w:p w:rsidR="000E480D" w:rsidP="00E821E3" w:rsidRDefault="000E480D">
      <w:pPr>
        <w:pStyle w:val="JuPara"/>
        <w:ind w:firstLine="0"/>
        <w:jc w:val="center"/>
      </w:pPr>
      <w:smartTag w:uri="urn:schemas-microsoft-com:office:smarttags" w:element="City">
        <w:smartTag w:uri="urn:schemas-microsoft-com:office:smarttags" w:element="place">
          <w:r>
            <w:t>STRASBOURG</w:t>
          </w:r>
        </w:smartTag>
      </w:smartTag>
    </w:p>
    <w:p w:rsidR="000E480D" w:rsidP="00E821E3" w:rsidRDefault="000E480D">
      <w:pPr>
        <w:pStyle w:val="JuPara"/>
        <w:ind w:firstLine="0"/>
        <w:jc w:val="center"/>
      </w:pPr>
    </w:p>
    <w:p w:rsidR="000E480D" w:rsidP="00E821E3" w:rsidRDefault="000E480D">
      <w:pPr>
        <w:pStyle w:val="JuPara"/>
        <w:ind w:firstLine="0"/>
        <w:jc w:val="center"/>
      </w:pPr>
      <w:smartTag w:uri="urn:schemas-microsoft-com:office:smarttags" w:element="date">
        <w:smartTagPr>
          <w:attr w:name="Month" w:val="10"/>
          <w:attr w:name="Day" w:val="30"/>
          <w:attr w:name="Year" w:val="2003"/>
        </w:smartTagPr>
        <w:r>
          <w:t>30 October 2003</w:t>
        </w:r>
      </w:smartTag>
    </w:p>
    <w:p w:rsidR="000E480D" w:rsidP="00E821E3" w:rsidRDefault="000E480D">
      <w:pPr>
        <w:pStyle w:val="JuPara"/>
        <w:ind w:firstLine="0"/>
        <w:jc w:val="center"/>
      </w:pPr>
    </w:p>
    <w:p w:rsidR="00E821E3" w:rsidP="00E821E3" w:rsidRDefault="00E821E3">
      <w:pPr>
        <w:jc w:val="center"/>
        <w:rPr>
          <w:color w:val="FF0000"/>
        </w:rPr>
      </w:pPr>
    </w:p>
    <w:p w:rsidR="00E821E3" w:rsidP="00E821E3" w:rsidRDefault="00E821E3">
      <w:pPr>
        <w:jc w:val="center"/>
        <w:rPr>
          <w:b/>
          <w:color w:val="FF0000"/>
          <w:sz w:val="36"/>
          <w:u w:val="single"/>
        </w:rPr>
      </w:pPr>
      <w:r>
        <w:rPr>
          <w:b/>
          <w:color w:val="FF0000"/>
          <w:sz w:val="36"/>
          <w:u w:val="single"/>
        </w:rPr>
        <w:t>FINAL</w:t>
      </w:r>
    </w:p>
    <w:p w:rsidR="00E821E3" w:rsidP="00E821E3" w:rsidRDefault="00E821E3">
      <w:pPr>
        <w:jc w:val="center"/>
        <w:rPr>
          <w:i/>
          <w:color w:val="FF0000"/>
        </w:rPr>
      </w:pPr>
    </w:p>
    <w:p w:rsidR="00E821E3" w:rsidP="00E821E3" w:rsidRDefault="00E821E3">
      <w:pPr>
        <w:jc w:val="center"/>
        <w:rPr>
          <w:i/>
          <w:color w:val="FF0000"/>
          <w:sz w:val="36"/>
        </w:rPr>
      </w:pPr>
      <w:r>
        <w:rPr>
          <w:i/>
          <w:color w:val="FF0000"/>
          <w:sz w:val="36"/>
        </w:rPr>
        <w:t>30/01/2004</w:t>
      </w:r>
    </w:p>
    <w:p w:rsidR="00E821E3" w:rsidP="00E821E3" w:rsidRDefault="00E821E3">
      <w:pPr>
        <w:jc w:val="center"/>
        <w:rPr>
          <w:color w:val="FF0000"/>
        </w:rPr>
      </w:pPr>
    </w:p>
    <w:p w:rsidR="000E480D" w:rsidP="00E821E3" w:rsidRDefault="000E480D">
      <w:pPr>
        <w:pStyle w:val="JuPara"/>
        <w:ind w:firstLine="0"/>
        <w:jc w:val="center"/>
      </w:pPr>
    </w:p>
    <w:p w:rsidRPr="000E480D" w:rsidR="000E480D" w:rsidP="000E480D" w:rsidRDefault="000E480D">
      <w:pPr>
        <w:pStyle w:val="JuPara"/>
        <w:ind w:firstLine="0"/>
        <w:sectPr w:rsidRPr="000E480D" w:rsidR="000E480D" w:rsidSect="000E480D">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326"/>
        </w:sectPr>
      </w:pPr>
    </w:p>
    <w:p w:rsidR="00676BB6" w:rsidP="00676BB6" w:rsidRDefault="00676BB6">
      <w:pPr>
        <w:pStyle w:val="JuCase"/>
      </w:pPr>
      <w:r>
        <w:t xml:space="preserve">In the case of Ganci v. </w:t>
      </w:r>
      <w:smartTag w:uri="urn:schemas-microsoft-com:office:smarttags" w:element="country-region">
        <w:smartTag w:uri="urn:schemas-microsoft-com:office:smarttags" w:element="place">
          <w:r>
            <w:t>Italy</w:t>
          </w:r>
        </w:smartTag>
      </w:smartTag>
      <w:r>
        <w:t>,</w:t>
      </w:r>
    </w:p>
    <w:p w:rsidRPr="00391F0F" w:rsidR="00676BB6" w:rsidP="00676BB6" w:rsidRDefault="00676BB6">
      <w:pPr>
        <w:pStyle w:val="JuPara"/>
      </w:pPr>
      <w:r w:rsidRPr="00391F0F">
        <w:t>The European Court of Human Rights (First Section), sitting as a Chamber composed of:</w:t>
      </w:r>
    </w:p>
    <w:p w:rsidR="00074056" w:rsidP="00676BB6" w:rsidRDefault="00676BB6">
      <w:pPr>
        <w:pStyle w:val="JuJudges"/>
        <w:rPr>
          <w:rStyle w:val="JuNames"/>
        </w:rPr>
      </w:pPr>
      <w:r w:rsidRPr="00391F0F">
        <w:tab/>
        <w:t>Mr</w:t>
      </w:r>
      <w:r w:rsidRPr="00391F0F">
        <w:tab/>
        <w:t xml:space="preserve">C.L. </w:t>
      </w:r>
      <w:r w:rsidRPr="00391F0F">
        <w:rPr>
          <w:rStyle w:val="JuNames"/>
        </w:rPr>
        <w:t>Rozakis</w:t>
      </w:r>
      <w:r w:rsidRPr="00391F0F">
        <w:t xml:space="preserve">, </w:t>
      </w:r>
      <w:r w:rsidRPr="00391F0F">
        <w:rPr>
          <w:i/>
          <w:iCs/>
        </w:rPr>
        <w:t>President</w:t>
      </w:r>
      <w:r w:rsidRPr="00391F0F">
        <w:t>,</w:t>
      </w:r>
      <w:r w:rsidRPr="00391F0F">
        <w:br/>
      </w:r>
      <w:r w:rsidRPr="00391F0F">
        <w:tab/>
        <w:t>Mrs</w:t>
      </w:r>
      <w:r w:rsidRPr="00391F0F">
        <w:tab/>
        <w:t xml:space="preserve">F. </w:t>
      </w:r>
      <w:r w:rsidRPr="00391F0F">
        <w:rPr>
          <w:rStyle w:val="JuNames"/>
        </w:rPr>
        <w:t>Tulkens</w:t>
      </w:r>
      <w:r w:rsidR="001A3432">
        <w:rPr>
          <w:rStyle w:val="JuNames"/>
        </w:rPr>
        <w:t>,</w:t>
      </w:r>
      <w:r w:rsidRPr="00391F0F">
        <w:br/>
      </w:r>
      <w:r w:rsidRPr="00391F0F">
        <w:tab/>
      </w:r>
      <w:r w:rsidR="00301E68">
        <w:t>Mrs</w:t>
      </w:r>
      <w:r w:rsidRPr="00391F0F">
        <w:tab/>
        <w:t xml:space="preserve">N. </w:t>
      </w:r>
      <w:r w:rsidRPr="00391F0F">
        <w:rPr>
          <w:rStyle w:val="JuNames"/>
        </w:rPr>
        <w:t>Vajić</w:t>
      </w:r>
      <w:r w:rsidRPr="00391F0F">
        <w:t>,</w:t>
      </w:r>
      <w:r w:rsidRPr="00391F0F">
        <w:br/>
      </w:r>
      <w:r w:rsidRPr="00391F0F">
        <w:tab/>
        <w:t>Mr</w:t>
      </w:r>
      <w:r w:rsidRPr="00391F0F">
        <w:tab/>
        <w:t xml:space="preserve">E. </w:t>
      </w:r>
      <w:r w:rsidRPr="00391F0F">
        <w:rPr>
          <w:rStyle w:val="JuNames"/>
        </w:rPr>
        <w:t>Levits</w:t>
      </w:r>
      <w:r w:rsidRPr="00391F0F">
        <w:t>,</w:t>
      </w:r>
      <w:r w:rsidRPr="00391F0F">
        <w:br/>
      </w:r>
      <w:r w:rsidRPr="00391F0F">
        <w:tab/>
        <w:t>M</w:t>
      </w:r>
      <w:r w:rsidR="009F1A90">
        <w:t>r</w:t>
      </w:r>
      <w:r w:rsidRPr="00391F0F">
        <w:t>s</w:t>
      </w:r>
      <w:r w:rsidRPr="00391F0F">
        <w:tab/>
        <w:t xml:space="preserve">S. </w:t>
      </w:r>
      <w:r w:rsidRPr="00391F0F">
        <w:rPr>
          <w:rStyle w:val="JuNames"/>
        </w:rPr>
        <w:t>Botoucharova</w:t>
      </w:r>
      <w:r w:rsidRPr="00391F0F">
        <w:t>,</w:t>
      </w:r>
      <w:r w:rsidRPr="00391F0F">
        <w:br/>
      </w:r>
      <w:r w:rsidRPr="00391F0F">
        <w:tab/>
      </w:r>
      <w:r w:rsidR="00E27526">
        <w:t>Mr</w:t>
      </w:r>
      <w:r w:rsidR="00E27526">
        <w:tab/>
      </w:r>
      <w:r w:rsidRPr="00391F0F">
        <w:rPr>
          <w:rStyle w:val="JuNames"/>
        </w:rPr>
        <w:t>A.</w:t>
      </w:r>
      <w:r w:rsidRPr="00391F0F">
        <w:t xml:space="preserve"> </w:t>
      </w:r>
      <w:r w:rsidRPr="00391F0F">
        <w:rPr>
          <w:rStyle w:val="JuNames"/>
        </w:rPr>
        <w:t>Kovler,</w:t>
      </w:r>
    </w:p>
    <w:p w:rsidRPr="00391F0F" w:rsidR="00676BB6" w:rsidP="00074056" w:rsidRDefault="00074056">
      <w:pPr>
        <w:pStyle w:val="JuJudges"/>
      </w:pPr>
      <w:r>
        <w:rPr>
          <w:rStyle w:val="JuNames"/>
        </w:rPr>
        <w:tab/>
      </w:r>
      <w:r w:rsidRPr="00074056">
        <w:rPr>
          <w:rStyle w:val="JuNames"/>
          <w:smallCaps w:val="0"/>
        </w:rPr>
        <w:t>Mr</w:t>
      </w:r>
      <w:r>
        <w:rPr>
          <w:rStyle w:val="JuNames"/>
          <w:smallCaps w:val="0"/>
        </w:rPr>
        <w:t xml:space="preserve"> </w:t>
      </w:r>
      <w:r>
        <w:rPr>
          <w:rStyle w:val="JuNames"/>
          <w:smallCaps w:val="0"/>
        </w:rPr>
        <w:tab/>
        <w:t xml:space="preserve">V. </w:t>
      </w:r>
      <w:r w:rsidRPr="00074056">
        <w:rPr>
          <w:rStyle w:val="JuNames"/>
        </w:rPr>
        <w:t>Z</w:t>
      </w:r>
      <w:r>
        <w:rPr>
          <w:rStyle w:val="JuNames"/>
        </w:rPr>
        <w:t>agrebelsky</w:t>
      </w:r>
      <w:r>
        <w:rPr>
          <w:rStyle w:val="JuNames"/>
          <w:smallCaps w:val="0"/>
        </w:rPr>
        <w:t>,</w:t>
      </w:r>
      <w:r w:rsidRPr="00391F0F" w:rsidR="00676BB6">
        <w:rPr>
          <w:rStyle w:val="JuNames"/>
        </w:rPr>
        <w:t xml:space="preserve"> </w:t>
      </w:r>
      <w:r w:rsidRPr="00391F0F" w:rsidR="00676BB6">
        <w:rPr>
          <w:i/>
          <w:iCs/>
        </w:rPr>
        <w:t>judges</w:t>
      </w:r>
      <w:r w:rsidRPr="00391F0F" w:rsidR="00676BB6">
        <w:t>,</w:t>
      </w:r>
      <w:r w:rsidRPr="00391F0F" w:rsidR="00676BB6">
        <w:br/>
        <w:t xml:space="preserve">and Mr </w:t>
      </w:r>
      <w:r w:rsidRPr="00391F0F" w:rsidR="00676BB6">
        <w:rPr>
          <w:rStyle w:val="JuNames"/>
        </w:rPr>
        <w:t>E.</w:t>
      </w:r>
      <w:r w:rsidRPr="00391F0F" w:rsidR="00676BB6">
        <w:t xml:space="preserve"> </w:t>
      </w:r>
      <w:r w:rsidRPr="00391F0F" w:rsidR="00676BB6">
        <w:rPr>
          <w:rStyle w:val="JuNames"/>
        </w:rPr>
        <w:t>Fribergh</w:t>
      </w:r>
      <w:r w:rsidRPr="00391F0F" w:rsidR="00676BB6">
        <w:t xml:space="preserve">, </w:t>
      </w:r>
      <w:r w:rsidRPr="00391F0F" w:rsidR="00676BB6">
        <w:rPr>
          <w:i/>
          <w:iCs/>
        </w:rPr>
        <w:t>Section Registrar</w:t>
      </w:r>
      <w:r w:rsidRPr="00391F0F" w:rsidR="00676BB6">
        <w:t>,</w:t>
      </w:r>
    </w:p>
    <w:p w:rsidRPr="00391F0F" w:rsidR="00676BB6" w:rsidP="00676BB6" w:rsidRDefault="00676BB6">
      <w:pPr>
        <w:pStyle w:val="JuPara"/>
      </w:pPr>
      <w:r w:rsidRPr="00391F0F">
        <w:t xml:space="preserve">Having deliberated in private on </w:t>
      </w:r>
      <w:smartTag w:uri="urn:schemas-microsoft-com:office:smarttags" w:element="date">
        <w:smartTagPr>
          <w:attr w:name="Month" w:val="10"/>
          <w:attr w:name="Day" w:val="9"/>
          <w:attr w:name="Year" w:val="2003"/>
        </w:smartTagPr>
        <w:r w:rsidRPr="00391F0F">
          <w:t>9 October 2003</w:t>
        </w:r>
      </w:smartTag>
      <w:r w:rsidRPr="00391F0F">
        <w:t>,</w:t>
      </w:r>
    </w:p>
    <w:p w:rsidR="00676BB6" w:rsidP="00676BB6" w:rsidRDefault="00676BB6">
      <w:pPr>
        <w:pStyle w:val="JuPara"/>
      </w:pPr>
      <w:r>
        <w:t>Delivers the following judgment, which was adopted on th</w:t>
      </w:r>
      <w:r w:rsidR="001A3432">
        <w:t>at</w:t>
      </w:r>
      <w:r>
        <w:t xml:space="preserve"> date:</w:t>
      </w:r>
    </w:p>
    <w:p w:rsidRPr="00391F0F" w:rsidR="00676BB6" w:rsidP="00676BB6" w:rsidRDefault="00676BB6">
      <w:pPr>
        <w:pStyle w:val="JuHHead"/>
      </w:pPr>
      <w:r w:rsidRPr="00391F0F">
        <w:t>PROCEDURE</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1</w:t>
      </w:r>
      <w:r>
        <w:fldChar w:fldCharType="end"/>
      </w:r>
      <w:r w:rsidRPr="00391F0F">
        <w:t>.  </w:t>
      </w:r>
      <w:r>
        <w:t>The case or</w:t>
      </w:r>
      <w:r w:rsidR="00725408">
        <w:t xml:space="preserve">iginated in an application (no. </w:t>
      </w:r>
      <w:r>
        <w:t xml:space="preserve">41576/98)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European Commission of Human Rights (“the Commission”) under former Article 25 of the Convention for the Protection of Human Rights and Fundamental Freedoms (“the Convention”) by an Italian national, Mr </w:t>
      </w:r>
      <w:r w:rsidR="00301E68">
        <w:t>Domenico Ganci</w:t>
      </w:r>
      <w:r>
        <w:t xml:space="preserve"> (“the applicant”), on </w:t>
      </w:r>
      <w:smartTag w:uri="urn:schemas-microsoft-com:office:smarttags" w:element="date">
        <w:smartTagPr>
          <w:attr w:name="Month" w:val="3"/>
          <w:attr w:name="Day" w:val="23"/>
          <w:attr w:name="Year" w:val="1998"/>
        </w:smartTagPr>
        <w:r>
          <w:t>23 March 1998</w:t>
        </w:r>
      </w:smartTag>
      <w:r>
        <w:t>.</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2</w:t>
      </w:r>
      <w:r>
        <w:fldChar w:fldCharType="end"/>
      </w:r>
      <w:r w:rsidRPr="00391F0F">
        <w:t>.  </w:t>
      </w:r>
      <w:r>
        <w:t xml:space="preserve">The applicant was represented before the Court by Mr </w:t>
      </w:r>
      <w:r w:rsidR="005B42A7">
        <w:t>D</w:t>
      </w:r>
      <w:r>
        <w:t xml:space="preserve">. </w:t>
      </w:r>
      <w:r w:rsidR="00301E68">
        <w:t>La Blasca,</w:t>
      </w:r>
      <w:r w:rsidR="005B42A7">
        <w:t xml:space="preserve"> of the Palermo Bar</w:t>
      </w:r>
      <w:r>
        <w:t>.</w:t>
      </w:r>
      <w:r w:rsidRPr="00391F0F">
        <w:rPr>
          <w:noProof/>
        </w:rPr>
        <w:t xml:space="preserve"> </w:t>
      </w:r>
      <w:r>
        <w:t xml:space="preserve">The Italian Government (“the Government”) were represented by their Agent, Mr </w:t>
      </w:r>
      <w:r w:rsidR="00F44802">
        <w:t>I.M. Braguglia</w:t>
      </w:r>
      <w:r>
        <w:t>, and by their co-Agent, Mr </w:t>
      </w:r>
      <w:r w:rsidR="00F44802">
        <w:t>F</w:t>
      </w:r>
      <w:r>
        <w:t>. </w:t>
      </w:r>
      <w:r w:rsidR="00F44802">
        <w:t>Crisafulli</w:t>
      </w:r>
      <w:r>
        <w:t>.</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w:t>
      </w:r>
      <w:r>
        <w:fldChar w:fldCharType="end"/>
      </w:r>
      <w:r w:rsidRPr="00391F0F">
        <w:t>.  </w:t>
      </w:r>
      <w:r>
        <w:t>The applicant alleged, in particular, a violation of Article 6 of the Convention</w:t>
      </w:r>
      <w:r w:rsidR="0025089A">
        <w:t>. He complained</w:t>
      </w:r>
      <w:r>
        <w:t xml:space="preserve"> of the prison regime </w:t>
      </w:r>
      <w:r w:rsidR="0025089A">
        <w:t>provided for in section 41</w:t>
      </w:r>
      <w:r w:rsidR="005741B5">
        <w:t xml:space="preserve"> </w:t>
      </w:r>
      <w:r>
        <w:rPr>
          <w:i/>
          <w:iCs/>
        </w:rPr>
        <w:t>bis</w:t>
      </w:r>
      <w:r>
        <w:t xml:space="preserve"> </w:t>
      </w:r>
      <w:r w:rsidR="005741B5">
        <w:t xml:space="preserve">of the Prison </w:t>
      </w:r>
      <w:r w:rsidR="00BB5AE9">
        <w:t>Administration</w:t>
      </w:r>
      <w:r w:rsidR="005741B5">
        <w:t xml:space="preserve"> Act</w:t>
      </w:r>
      <w:r w:rsidR="00BB5AE9">
        <w:t xml:space="preserve"> a</w:t>
      </w:r>
      <w:r>
        <w:t>nd</w:t>
      </w:r>
      <w:r w:rsidR="00101318">
        <w:t xml:space="preserve"> of</w:t>
      </w:r>
      <w:r>
        <w:t xml:space="preserve"> </w:t>
      </w:r>
      <w:r w:rsidR="005741B5">
        <w:t>the</w:t>
      </w:r>
      <w:r>
        <w:t xml:space="preserve"> delay</w:t>
      </w:r>
      <w:r w:rsidR="0025089A">
        <w:t>s</w:t>
      </w:r>
      <w:r>
        <w:t xml:space="preserve"> by the</w:t>
      </w:r>
      <w:r w:rsidR="0025089A">
        <w:t xml:space="preserve"> court</w:t>
      </w:r>
      <w:r w:rsidR="005741B5">
        <w:t xml:space="preserve"> responsible for the execution of sentences</w:t>
      </w:r>
      <w:r w:rsidR="0025089A">
        <w:t xml:space="preserve"> in examining</w:t>
      </w:r>
      <w:r>
        <w:t xml:space="preserve"> </w:t>
      </w:r>
      <w:r w:rsidR="002525AF">
        <w:t>the</w:t>
      </w:r>
      <w:r>
        <w:t xml:space="preserve"> appeals against the </w:t>
      </w:r>
      <w:r w:rsidR="00C42875">
        <w:t>decrees</w:t>
      </w:r>
      <w:r>
        <w:t xml:space="preserve"> of the Minister </w:t>
      </w:r>
      <w:r w:rsidR="0025089A">
        <w:t>of</w:t>
      </w:r>
      <w:r>
        <w:t xml:space="preserve"> Justice.</w:t>
      </w:r>
    </w:p>
    <w:p w:rsidR="00676BB6"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4</w:t>
      </w:r>
      <w:r>
        <w:rPr>
          <w:noProof/>
        </w:rPr>
        <w:fldChar w:fldCharType="end"/>
      </w:r>
      <w:r w:rsidRPr="00391F0F">
        <w:t>.  </w:t>
      </w:r>
      <w:r>
        <w:t xml:space="preserve">The application was </w:t>
      </w:r>
      <w:r w:rsidR="009F1A90">
        <w:t>transmitted</w:t>
      </w:r>
      <w:r>
        <w:t xml:space="preserve"> to the Court on </w:t>
      </w:r>
      <w:smartTag w:uri="urn:schemas-microsoft-com:office:smarttags" w:element="date">
        <w:smartTagPr>
          <w:attr w:name="Month" w:val="11"/>
          <w:attr w:name="Day" w:val="1"/>
          <w:attr w:name="Year" w:val="1998"/>
        </w:smartTagPr>
        <w:r>
          <w:t>1 November 1998</w:t>
        </w:r>
      </w:smartTag>
      <w:r>
        <w:t xml:space="preserve">, when Protocol No. 11 to the Convention </w:t>
      </w:r>
      <w:r w:rsidR="002525AF">
        <w:t>came into force</w:t>
      </w:r>
      <w:r w:rsidR="009F1A90">
        <w:t>(Article 5 § 2 of Protocol No. 11)</w:t>
      </w:r>
      <w:r>
        <w:t>.</w:t>
      </w:r>
    </w:p>
    <w:p w:rsidR="00676BB6" w:rsidP="00676BB6" w:rsidRDefault="0029181F">
      <w:pPr>
        <w:pStyle w:val="JuPara"/>
      </w:pPr>
      <w:r>
        <w:fldChar w:fldCharType="begin"/>
      </w:r>
      <w:r>
        <w:instrText xml:space="preserve"> SEQ level0 \*arabic </w:instrText>
      </w:r>
      <w:r>
        <w:fldChar w:fldCharType="separate"/>
      </w:r>
      <w:r w:rsidR="00D13761">
        <w:rPr>
          <w:noProof/>
        </w:rPr>
        <w:t>5</w:t>
      </w:r>
      <w:r>
        <w:fldChar w:fldCharType="end"/>
      </w:r>
      <w:r>
        <w:t>.  </w:t>
      </w:r>
      <w:r w:rsidR="00676BB6">
        <w:t xml:space="preserve">The application was allocated to the Second Section of the Court (Rule 52 § 1 of the Rules of Court). Within that Section, the Chamber </w:t>
      </w:r>
      <w:r w:rsidR="009F1A90">
        <w:t>that</w:t>
      </w:r>
      <w:r w:rsidR="00676BB6">
        <w:t xml:space="preserve"> would consider the case (Article 27 § 1 of the Convention) was constituted as provided in Rule 26 § 1.</w:t>
      </w:r>
    </w:p>
    <w:p w:rsidR="00676BB6" w:rsidP="00676BB6" w:rsidRDefault="00676BB6">
      <w:pPr>
        <w:pStyle w:val="JuPara"/>
      </w:pPr>
      <w:r>
        <w:t xml:space="preserve">By a decision of </w:t>
      </w:r>
      <w:smartTag w:uri="urn:schemas-microsoft-com:office:smarttags" w:element="date">
        <w:smartTagPr>
          <w:attr w:name="Month" w:val="9"/>
          <w:attr w:name="Day" w:val="20"/>
          <w:attr w:name="Year" w:val="2001"/>
        </w:smartTagPr>
        <w:r>
          <w:t>20 September 2001</w:t>
        </w:r>
      </w:smartTag>
      <w:r w:rsidR="009F1A90">
        <w:t>,</w:t>
      </w:r>
      <w:r>
        <w:t xml:space="preserve"> the Chamber declared </w:t>
      </w:r>
      <w:r w:rsidR="0025089A">
        <w:t>certain complaints in</w:t>
      </w:r>
      <w:r>
        <w:t>admissible.</w:t>
      </w:r>
    </w:p>
    <w:p w:rsidRPr="00391F0F" w:rsidR="00676BB6" w:rsidP="00676BB6" w:rsidRDefault="00676BB6">
      <w:pPr>
        <w:pStyle w:val="JuPara"/>
        <w:rPr>
          <w:noProof/>
        </w:rPr>
      </w:pPr>
      <w:r>
        <w:fldChar w:fldCharType="begin"/>
      </w:r>
      <w:r w:rsidRPr="00391F0F">
        <w:instrText xml:space="preserve"> SEQ level0 \*arabic </w:instrText>
      </w:r>
      <w:r>
        <w:fldChar w:fldCharType="separate"/>
      </w:r>
      <w:r w:rsidR="00D13761">
        <w:rPr>
          <w:noProof/>
        </w:rPr>
        <w:t>6</w:t>
      </w:r>
      <w:r>
        <w:fldChar w:fldCharType="end"/>
      </w:r>
      <w:r w:rsidRPr="00391F0F">
        <w:t>.  </w:t>
      </w:r>
      <w:r>
        <w:t xml:space="preserve">On </w:t>
      </w:r>
      <w:smartTag w:uri="urn:schemas-microsoft-com:office:smarttags" w:element="date">
        <w:smartTagPr>
          <w:attr w:name="Month" w:val="11"/>
          <w:attr w:name="Day" w:val="1"/>
          <w:attr w:name="Year" w:val="2001"/>
        </w:smartTagPr>
        <w:r>
          <w:t>1 November 2001</w:t>
        </w:r>
      </w:smartTag>
      <w:r>
        <w:t xml:space="preserve"> the Court changed the composition of its Sections (Rule 25 § 1).</w:t>
      </w:r>
      <w:r w:rsidRPr="00391F0F">
        <w:rPr>
          <w:noProof/>
        </w:rPr>
        <w:t xml:space="preserve"> </w:t>
      </w:r>
      <w:r>
        <w:t xml:space="preserve">This case was assigned to the newly composed </w:t>
      </w:r>
      <w:r w:rsidR="0025089A">
        <w:t>First</w:t>
      </w:r>
      <w:r>
        <w:t xml:space="preserve"> Section (Rule 52 § 1).</w:t>
      </w:r>
    </w:p>
    <w:p w:rsidR="00676BB6"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7</w:t>
      </w:r>
      <w:r>
        <w:rPr>
          <w:noProof/>
        </w:rPr>
        <w:fldChar w:fldCharType="end"/>
      </w:r>
      <w:r w:rsidRPr="00391F0F">
        <w:t>.  </w:t>
      </w:r>
      <w:r>
        <w:t xml:space="preserve">By a decision of </w:t>
      </w:r>
      <w:smartTag w:uri="urn:schemas-microsoft-com:office:smarttags" w:element="date">
        <w:smartTagPr>
          <w:attr w:name="Month" w:val="10"/>
          <w:attr w:name="Day" w:val="3"/>
          <w:attr w:name="Year" w:val="2002"/>
        </w:smartTagPr>
        <w:r>
          <w:t>3 October 2002</w:t>
        </w:r>
      </w:smartTag>
      <w:r w:rsidR="009F1A90">
        <w:t>,</w:t>
      </w:r>
      <w:r>
        <w:t xml:space="preserve"> the Chamber declared the </w:t>
      </w:r>
      <w:r w:rsidR="00F6080F">
        <w:t xml:space="preserve">remainder of the </w:t>
      </w:r>
      <w:r>
        <w:t>application admissible.</w:t>
      </w:r>
    </w:p>
    <w:p w:rsidR="00676BB6"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8</w:t>
      </w:r>
      <w:r>
        <w:rPr>
          <w:noProof/>
        </w:rPr>
        <w:fldChar w:fldCharType="end"/>
      </w:r>
      <w:r w:rsidRPr="00391F0F">
        <w:t>.  </w:t>
      </w:r>
      <w:r>
        <w:t xml:space="preserve">The applicant, but not the Government, filed observations on the merits (Rule 59 § 1). The Court decided, after consulting the parties, that no hearing on the merits was required (Rule 59 § 2 </w:t>
      </w:r>
      <w:r>
        <w:rPr>
          <w:i/>
          <w:iCs/>
        </w:rPr>
        <w:t>in fine</w:t>
      </w:r>
      <w:r>
        <w:t>).</w:t>
      </w:r>
    </w:p>
    <w:p w:rsidRPr="00391F0F" w:rsidR="00676BB6" w:rsidP="00676BB6" w:rsidRDefault="00676BB6">
      <w:pPr>
        <w:pStyle w:val="JuHHead"/>
      </w:pPr>
      <w:r w:rsidRPr="00391F0F">
        <w:t>THE FACTS</w:t>
      </w:r>
    </w:p>
    <w:p w:rsidR="00676BB6" w:rsidP="00676BB6" w:rsidRDefault="00676BB6">
      <w:pPr>
        <w:pStyle w:val="JuHIRoman"/>
      </w:pPr>
      <w:r w:rsidRPr="00391F0F">
        <w:t>I.  </w:t>
      </w:r>
      <w:r>
        <w:t>THE CIRCUMSTANCES OF THE CASE</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9</w:t>
      </w:r>
      <w:r>
        <w:fldChar w:fldCharType="end"/>
      </w:r>
      <w:r w:rsidRPr="00391F0F">
        <w:t>.  </w:t>
      </w:r>
      <w:r>
        <w:t>The applicant</w:t>
      </w:r>
      <w:r w:rsidRPr="001A3432" w:rsidR="001A3432">
        <w:t xml:space="preserve"> </w:t>
      </w:r>
      <w:r w:rsidR="001A3432">
        <w:t>is an Italian national</w:t>
      </w:r>
      <w:r>
        <w:t xml:space="preserve"> </w:t>
      </w:r>
      <w:r w:rsidR="001A3432">
        <w:t xml:space="preserve">who was </w:t>
      </w:r>
      <w:r>
        <w:t>born in 1958</w:t>
      </w:r>
      <w:r w:rsidR="001A3432">
        <w:t>.</w:t>
      </w:r>
      <w:r>
        <w:t xml:space="preserve"> </w:t>
      </w:r>
      <w:r w:rsidR="001A3432">
        <w:t xml:space="preserve">He was </w:t>
      </w:r>
      <w:r w:rsidR="00F6080F">
        <w:t>in Spoleto P</w:t>
      </w:r>
      <w:r>
        <w:t>rison when he lodged his application.</w:t>
      </w:r>
    </w:p>
    <w:p w:rsidRPr="00391F0F" w:rsidR="00676BB6" w:rsidP="00676BB6" w:rsidRDefault="002525AF">
      <w:pPr>
        <w:pStyle w:val="JuPara"/>
      </w:pPr>
      <w:r>
        <w:t>A</w:t>
      </w:r>
      <w:r w:rsidRPr="00391F0F">
        <w:t xml:space="preserve">mong other measures, </w:t>
      </w:r>
      <w:r>
        <w:t>he was held in pre-trial detention</w:t>
      </w:r>
      <w:r w:rsidRPr="00391F0F" w:rsidR="00676BB6">
        <w:t xml:space="preserve"> for </w:t>
      </w:r>
      <w:r w:rsidR="00F6080F">
        <w:t xml:space="preserve">his involvement </w:t>
      </w:r>
      <w:r w:rsidRPr="00391F0F" w:rsidR="00676BB6">
        <w:t xml:space="preserve">in the murder of Judge Falcone and his escort on </w:t>
      </w:r>
      <w:smartTag w:uri="urn:schemas-microsoft-com:office:smarttags" w:element="date">
        <w:smartTagPr>
          <w:attr w:name="Month" w:val="9"/>
          <w:attr w:name="Day" w:val="26"/>
          <w:attr w:name="Year" w:val="1997"/>
        </w:smartTagPr>
        <w:r w:rsidR="00676BB6" w:rsidRPr="00391F0F">
          <w:t>26 September 1997</w:t>
        </w:r>
      </w:smartTag>
      <w:r>
        <w:t>. He was subsequently</w:t>
      </w:r>
      <w:r w:rsidRPr="00391F0F" w:rsidR="00676BB6">
        <w:t xml:space="preserve"> sentenced to life imprisonment by the </w:t>
      </w:r>
      <w:smartTag w:uri="urn:schemas-microsoft-com:office:smarttags" w:element="Street">
        <w:smartTag w:uri="urn:schemas-microsoft-com:office:smarttags" w:element="address">
          <w:r w:rsidR="00676BB6" w:rsidRPr="00391F0F">
            <w:t>Caltanissetta Assize Court</w:t>
          </w:r>
        </w:smartTag>
      </w:smartTag>
      <w:r w:rsidRPr="00391F0F" w:rsidR="00676BB6">
        <w:t xml:space="preserve">. On </w:t>
      </w:r>
      <w:smartTag w:uri="urn:schemas-microsoft-com:office:smarttags" w:element="date">
        <w:smartTagPr>
          <w:attr w:name="Month" w:val="11"/>
          <w:attr w:name="Day" w:val="12"/>
          <w:attr w:name="Year" w:val="1997"/>
        </w:smartTagPr>
        <w:r w:rsidR="00676BB6" w:rsidRPr="00391F0F">
          <w:t>12 November 1997</w:t>
        </w:r>
      </w:smartTag>
      <w:r w:rsidRPr="00391F0F" w:rsidR="00676BB6">
        <w:t xml:space="preserve"> he was given a second life sentence, on other charges, by the </w:t>
      </w:r>
      <w:smartTag w:uri="urn:schemas-microsoft-com:office:smarttags" w:element="Street">
        <w:smartTag w:uri="urn:schemas-microsoft-com:office:smarttags" w:element="address">
          <w:r w:rsidR="00676BB6" w:rsidRPr="00391F0F">
            <w:t>Palermo Assize Court</w:t>
          </w:r>
        </w:smartTag>
      </w:smartTag>
      <w:r w:rsidR="00F6080F">
        <w:t>. That</w:t>
      </w:r>
      <w:r w:rsidRPr="00391F0F" w:rsidR="00676BB6">
        <w:t xml:space="preserve"> sentence became final on </w:t>
      </w:r>
      <w:smartTag w:uri="urn:schemas-microsoft-com:office:smarttags" w:element="date">
        <w:smartTagPr>
          <w:attr w:name="Month" w:val="11"/>
          <w:attr w:name="Day" w:val="26"/>
          <w:attr w:name="Year" w:val="1999"/>
        </w:smartTagPr>
        <w:r w:rsidR="00676BB6" w:rsidRPr="00391F0F">
          <w:t>26 November 1999</w:t>
        </w:r>
      </w:smartTag>
      <w:r w:rsidRPr="00391F0F" w:rsidR="00676BB6">
        <w:t>.</w:t>
      </w:r>
    </w:p>
    <w:p w:rsidR="00D13761" w:rsidP="00676BB6" w:rsidRDefault="00676BB6">
      <w:pPr>
        <w:pStyle w:val="JuPara"/>
      </w:pPr>
      <w:r>
        <w:fldChar w:fldCharType="begin"/>
      </w:r>
      <w:r w:rsidRPr="00391F0F">
        <w:instrText xml:space="preserve"> SEQ level0 \*arabic </w:instrText>
      </w:r>
      <w:r>
        <w:fldChar w:fldCharType="separate"/>
      </w:r>
      <w:r w:rsidR="00D13761">
        <w:rPr>
          <w:noProof/>
        </w:rPr>
        <w:t>10</w:t>
      </w:r>
      <w:r>
        <w:fldChar w:fldCharType="end"/>
      </w:r>
      <w:r w:rsidRPr="00391F0F">
        <w:t>.  </w:t>
      </w:r>
      <w:r>
        <w:t xml:space="preserve">After </w:t>
      </w:r>
      <w:r w:rsidR="00F6080F">
        <w:t>his</w:t>
      </w:r>
      <w:r>
        <w:t xml:space="preserve"> arrest on </w:t>
      </w:r>
      <w:smartTag w:uri="urn:schemas-microsoft-com:office:smarttags" w:element="date">
        <w:smartTagPr>
          <w:attr w:name="Month" w:val="6"/>
          <w:attr w:name="Day" w:val="4"/>
          <w:attr w:name="Year" w:val="1993"/>
        </w:smartTagPr>
        <w:r>
          <w:t>4 June 1993</w:t>
        </w:r>
      </w:smartTag>
      <w:r>
        <w:t xml:space="preserve"> the applicant was </w:t>
      </w:r>
      <w:r w:rsidR="009F1A90">
        <w:t>placed</w:t>
      </w:r>
      <w:r>
        <w:t xml:space="preserve"> under the special prison reg</w:t>
      </w:r>
      <w:r w:rsidR="00F6080F">
        <w:t>ime provided for in section 41</w:t>
      </w:r>
      <w:r w:rsidR="002525AF">
        <w:t xml:space="preserve"> </w:t>
      </w:r>
      <w:r>
        <w:rPr>
          <w:i/>
          <w:iCs/>
        </w:rPr>
        <w:t>bis</w:t>
      </w:r>
      <w:r>
        <w:t xml:space="preserve"> of the Prison</w:t>
      </w:r>
      <w:r w:rsidR="001A3432">
        <w:t xml:space="preserve"> Administration </w:t>
      </w:r>
      <w:r>
        <w:t xml:space="preserve">Act, which </w:t>
      </w:r>
      <w:r w:rsidR="002525AF">
        <w:t>derogates</w:t>
      </w:r>
      <w:r>
        <w:t xml:space="preserve"> from the conditions </w:t>
      </w:r>
      <w:r w:rsidR="001A3432">
        <w:t xml:space="preserve">for ordinary detention </w:t>
      </w:r>
      <w:r>
        <w:t>laid down in the Act.</w:t>
      </w:r>
    </w:p>
    <w:p w:rsidRPr="001A3432" w:rsidR="00676BB6" w:rsidP="001A3432" w:rsidRDefault="00676BB6">
      <w:pPr>
        <w:pStyle w:val="JuPara"/>
      </w:pPr>
      <w:r w:rsidRPr="00391F0F">
        <w:t>Between 13 November 1996 and 31 December 2000 the Min</w:t>
      </w:r>
      <w:r w:rsidR="009F1A90">
        <w:t>i</w:t>
      </w:r>
      <w:r w:rsidRPr="00391F0F">
        <w:t xml:space="preserve">ster </w:t>
      </w:r>
      <w:r w:rsidR="002525AF">
        <w:t>of</w:t>
      </w:r>
      <w:r w:rsidRPr="00391F0F">
        <w:t xml:space="preserve"> Justice </w:t>
      </w:r>
      <w:r w:rsidR="001A3432">
        <w:t>issued</w:t>
      </w:r>
      <w:r w:rsidRPr="00391F0F">
        <w:t xml:space="preserve"> nine </w:t>
      </w:r>
      <w:r w:rsidR="00C42875">
        <w:t>decree</w:t>
      </w:r>
      <w:r w:rsidRPr="00391F0F">
        <w:t xml:space="preserve">s, each introducing </w:t>
      </w:r>
      <w:r w:rsidR="00F6080F">
        <w:t>restrictions</w:t>
      </w:r>
      <w:r w:rsidRPr="00391F0F">
        <w:t xml:space="preserve"> for the following </w:t>
      </w:r>
      <w:r w:rsidR="00F6080F">
        <w:t>six-month</w:t>
      </w:r>
      <w:r w:rsidRPr="00391F0F" w:rsidR="00F6080F">
        <w:t xml:space="preserve"> </w:t>
      </w:r>
      <w:r w:rsidR="001A3432">
        <w:t xml:space="preserve">periods: </w:t>
      </w:r>
      <w:r>
        <w:t>13</w:t>
      </w:r>
      <w:r w:rsidR="008D05FA">
        <w:t xml:space="preserve"> November 1996</w:t>
      </w:r>
      <w:r>
        <w:t xml:space="preserve"> </w:t>
      </w:r>
      <w:r w:rsidR="001A3432">
        <w:t>to</w:t>
      </w:r>
      <w:r>
        <w:t xml:space="preserve"> 13 </w:t>
      </w:r>
      <w:r w:rsidR="008D05FA">
        <w:t>May</w:t>
      </w:r>
      <w:r>
        <w:t xml:space="preserve"> 199</w:t>
      </w:r>
      <w:r w:rsidR="008D05FA">
        <w:t>7</w:t>
      </w:r>
      <w:r w:rsidRPr="008D05FA" w:rsidR="008D05FA">
        <w:t xml:space="preserve"> </w:t>
      </w:r>
      <w:r w:rsidR="008D05FA">
        <w:t>(</w:t>
      </w:r>
      <w:r w:rsidR="00C42875">
        <w:t>decree</w:t>
      </w:r>
      <w:r w:rsidR="008D05FA">
        <w:t xml:space="preserve"> no. 1)</w:t>
      </w:r>
      <w:r w:rsidR="001A3432">
        <w:t xml:space="preserve">; </w:t>
      </w:r>
      <w:r w:rsidR="001A6708">
        <w:t>13 </w:t>
      </w:r>
      <w:r w:rsidR="008D6581">
        <w:t xml:space="preserve">May 1997 </w:t>
      </w:r>
      <w:r w:rsidR="001A3432">
        <w:t>to</w:t>
      </w:r>
      <w:r w:rsidR="008D6581">
        <w:t xml:space="preserve"> 13 November 1997 (</w:t>
      </w:r>
      <w:r w:rsidR="00C42875">
        <w:t>decree</w:t>
      </w:r>
      <w:r w:rsidR="008D6581">
        <w:t xml:space="preserve"> no. 2)</w:t>
      </w:r>
      <w:r w:rsidR="001A3432">
        <w:t xml:space="preserve">; </w:t>
      </w:r>
      <w:r w:rsidR="008D6581">
        <w:t>14 November 1997</w:t>
      </w:r>
      <w:r>
        <w:t xml:space="preserve"> </w:t>
      </w:r>
      <w:r w:rsidR="001A3432">
        <w:t>to</w:t>
      </w:r>
      <w:r w:rsidR="001A6708">
        <w:t xml:space="preserve"> 14 </w:t>
      </w:r>
      <w:r w:rsidR="008D6581">
        <w:t>May 1998 (</w:t>
      </w:r>
      <w:r w:rsidR="00C42875">
        <w:t>decree</w:t>
      </w:r>
      <w:r w:rsidR="008D6581">
        <w:t xml:space="preserve"> no. 3)</w:t>
      </w:r>
      <w:r w:rsidR="001A3432">
        <w:t xml:space="preserve">; </w:t>
      </w:r>
      <w:r>
        <w:t>15 May 1998</w:t>
      </w:r>
      <w:r w:rsidR="008D6581">
        <w:t xml:space="preserve"> </w:t>
      </w:r>
      <w:r w:rsidR="001A3432">
        <w:t>to</w:t>
      </w:r>
      <w:r w:rsidR="008D6581">
        <w:t xml:space="preserve"> 15 November 1998 (</w:t>
      </w:r>
      <w:r w:rsidR="00C42875">
        <w:t>decree</w:t>
      </w:r>
      <w:r w:rsidR="001A6708">
        <w:t xml:space="preserve"> no. </w:t>
      </w:r>
      <w:r w:rsidR="008D6581">
        <w:t>4)</w:t>
      </w:r>
      <w:r w:rsidR="001A3432">
        <w:t xml:space="preserve">; </w:t>
      </w:r>
      <w:r>
        <w:t>12 November 1998</w:t>
      </w:r>
      <w:r w:rsidR="008D6581">
        <w:t xml:space="preserve"> </w:t>
      </w:r>
      <w:r w:rsidR="001A3432">
        <w:t>to</w:t>
      </w:r>
      <w:r w:rsidR="008D6581">
        <w:t xml:space="preserve"> 12 May 1999 (</w:t>
      </w:r>
      <w:r w:rsidR="00C42875">
        <w:t>decree</w:t>
      </w:r>
      <w:r w:rsidR="008D6581">
        <w:t xml:space="preserve"> no. 5)</w:t>
      </w:r>
      <w:r w:rsidR="001A3432">
        <w:t xml:space="preserve">; </w:t>
      </w:r>
      <w:r>
        <w:t>11 May 1999</w:t>
      </w:r>
      <w:r w:rsidR="008D6581">
        <w:t xml:space="preserve"> </w:t>
      </w:r>
      <w:r w:rsidR="001A3432">
        <w:t>to</w:t>
      </w:r>
      <w:r w:rsidR="008D6581">
        <w:t xml:space="preserve"> 11 November 1999 (</w:t>
      </w:r>
      <w:r w:rsidR="00C42875">
        <w:t>decree</w:t>
      </w:r>
      <w:r w:rsidR="008D6581">
        <w:t xml:space="preserve"> no. 6)</w:t>
      </w:r>
      <w:r w:rsidR="001A3432">
        <w:t xml:space="preserve">; </w:t>
      </w:r>
      <w:r w:rsidRPr="001A3432">
        <w:t>8 November 1999</w:t>
      </w:r>
      <w:r w:rsidRPr="001A3432" w:rsidR="008D6581">
        <w:t xml:space="preserve"> </w:t>
      </w:r>
      <w:r w:rsidRPr="001A3432" w:rsidR="001A3432">
        <w:t>to</w:t>
      </w:r>
      <w:r w:rsidRPr="001A3432" w:rsidR="008D6581">
        <w:t xml:space="preserve"> 31 December 1999 </w:t>
      </w:r>
      <w:r w:rsidR="008D6581">
        <w:t>(</w:t>
      </w:r>
      <w:r w:rsidR="00C42875">
        <w:t>decree</w:t>
      </w:r>
      <w:r w:rsidR="001A3432">
        <w:t xml:space="preserve"> no. </w:t>
      </w:r>
      <w:r w:rsidR="008D6581">
        <w:t>7)</w:t>
      </w:r>
      <w:r w:rsidR="001A3432">
        <w:t xml:space="preserve">; </w:t>
      </w:r>
      <w:r w:rsidRPr="001A3432">
        <w:t>28 December 1999</w:t>
      </w:r>
      <w:r w:rsidRPr="001A3432" w:rsidR="008D6581">
        <w:t xml:space="preserve"> </w:t>
      </w:r>
      <w:r w:rsidRPr="001A3432" w:rsidR="001A3432">
        <w:t>to</w:t>
      </w:r>
      <w:r w:rsidRPr="001A3432" w:rsidR="008D6581">
        <w:t xml:space="preserve"> 28 June 2000 </w:t>
      </w:r>
      <w:r w:rsidR="008D6581">
        <w:t>(</w:t>
      </w:r>
      <w:r w:rsidR="00C42875">
        <w:t>decree</w:t>
      </w:r>
      <w:r w:rsidR="008D6581">
        <w:t xml:space="preserve"> no. 8)</w:t>
      </w:r>
      <w:r w:rsidR="001A3432">
        <w:t xml:space="preserve">; </w:t>
      </w:r>
      <w:r w:rsidR="009F1A90">
        <w:t xml:space="preserve">and </w:t>
      </w:r>
      <w:r w:rsidRPr="001A3432">
        <w:t>23</w:t>
      </w:r>
      <w:r w:rsidR="009F1A90">
        <w:t> </w:t>
      </w:r>
      <w:r w:rsidRPr="001A3432">
        <w:t>June 2000</w:t>
      </w:r>
      <w:r w:rsidRPr="001A3432" w:rsidR="008D6581">
        <w:t xml:space="preserve"> </w:t>
      </w:r>
      <w:r w:rsidRPr="001A3432" w:rsidR="001A3432">
        <w:t>to</w:t>
      </w:r>
      <w:r w:rsidRPr="001A3432" w:rsidR="008D6581">
        <w:t xml:space="preserve"> 31 December 2000 </w:t>
      </w:r>
      <w:r w:rsidR="008D6581">
        <w:t>(</w:t>
      </w:r>
      <w:r w:rsidR="00C42875">
        <w:t>decree</w:t>
      </w:r>
      <w:r w:rsidR="008D6581">
        <w:t xml:space="preserve"> no. 9)</w:t>
      </w:r>
      <w:r w:rsidR="001A3432">
        <w:t>.</w:t>
      </w:r>
    </w:p>
    <w:p w:rsidR="00676BB6" w:rsidP="00676BB6" w:rsidRDefault="00676BB6">
      <w:pPr>
        <w:pStyle w:val="JuPara"/>
        <w:rPr>
          <w:lang w:val="it-IT"/>
        </w:rPr>
      </w:pPr>
      <w:r w:rsidRPr="003C3935">
        <w:t xml:space="preserve">The applicant indicated that he had </w:t>
      </w:r>
      <w:r w:rsidR="002525AF">
        <w:t>remained</w:t>
      </w:r>
      <w:r w:rsidRPr="003C3935">
        <w:t xml:space="preserve"> under the same regime for the period following </w:t>
      </w:r>
      <w:smartTag w:uri="urn:schemas-microsoft-com:office:smarttags" w:element="date">
        <w:smartTagPr>
          <w:attr w:name="Month" w:val="12"/>
          <w:attr w:name="Day" w:val="31"/>
          <w:attr w:name="Year" w:val="2000"/>
        </w:smartTagPr>
        <w:r w:rsidRPr="003C3935">
          <w:t>31 December 2000</w:t>
        </w:r>
      </w:smartTag>
      <w:r w:rsidRPr="003C3935">
        <w:t>, but did not provide any precise details</w:t>
      </w:r>
      <w:r>
        <w:rPr>
          <w:lang w:val="it-IT"/>
        </w:rPr>
        <w:t>.</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11</w:t>
      </w:r>
      <w:r>
        <w:fldChar w:fldCharType="end"/>
      </w:r>
      <w:r w:rsidRPr="00391F0F">
        <w:t>.  </w:t>
      </w:r>
      <w:r w:rsidR="00C42875">
        <w:t>Decree</w:t>
      </w:r>
      <w:r w:rsidR="001A3432">
        <w:t xml:space="preserve">s nos. </w:t>
      </w:r>
      <w:r>
        <w:t xml:space="preserve">2 to 9 </w:t>
      </w:r>
      <w:r w:rsidR="008D05FA">
        <w:t>were</w:t>
      </w:r>
      <w:r>
        <w:t xml:space="preserve"> not formal extension</w:t>
      </w:r>
      <w:r w:rsidR="008D05FA">
        <w:t>s</w:t>
      </w:r>
      <w:r>
        <w:t xml:space="preserve"> of the previous </w:t>
      </w:r>
      <w:r w:rsidR="00C42875">
        <w:t>decree</w:t>
      </w:r>
      <w:r>
        <w:t xml:space="preserve">, but </w:t>
      </w:r>
      <w:r w:rsidR="008D05FA">
        <w:t>fresh</w:t>
      </w:r>
      <w:r>
        <w:t xml:space="preserve"> decisions that nonetheless reiterated the earlier decision.</w:t>
      </w:r>
    </w:p>
    <w:p w:rsidR="00676BB6" w:rsidP="00676BB6" w:rsidRDefault="00676BB6">
      <w:pPr>
        <w:pStyle w:val="JuPara"/>
        <w:keepNext/>
        <w:keepLines/>
      </w:pPr>
      <w:r>
        <w:fldChar w:fldCharType="begin"/>
      </w:r>
      <w:r w:rsidRPr="00391F0F">
        <w:instrText xml:space="preserve"> SEQ level0 \*arabic </w:instrText>
      </w:r>
      <w:r>
        <w:fldChar w:fldCharType="separate"/>
      </w:r>
      <w:r w:rsidR="00D13761">
        <w:rPr>
          <w:noProof/>
        </w:rPr>
        <w:t>12</w:t>
      </w:r>
      <w:r>
        <w:fldChar w:fldCharType="end"/>
      </w:r>
      <w:r w:rsidRPr="00391F0F">
        <w:t>.  </w:t>
      </w:r>
      <w:r>
        <w:t xml:space="preserve">By virtue of the nine </w:t>
      </w:r>
      <w:r w:rsidR="00C42875">
        <w:t>decree</w:t>
      </w:r>
      <w:r>
        <w:t xml:space="preserve">s, the following </w:t>
      </w:r>
      <w:r w:rsidR="00F44F37">
        <w:t>restrictions</w:t>
      </w:r>
      <w:r>
        <w:t xml:space="preserve"> were </w:t>
      </w:r>
      <w:r w:rsidR="00F44F37">
        <w:t>imposed on</w:t>
      </w:r>
      <w:r>
        <w:t xml:space="preserve"> the applicant:</w:t>
      </w:r>
    </w:p>
    <w:p w:rsidR="00676BB6" w:rsidP="001A3432" w:rsidRDefault="00F44F37">
      <w:pPr>
        <w:pStyle w:val="JuPara"/>
      </w:pPr>
      <w:r>
        <w:t>(a)  </w:t>
      </w:r>
      <w:r w:rsidR="00676BB6">
        <w:t>limits on visits by family members, with a maximum of one visit for one hour per month;</w:t>
      </w:r>
    </w:p>
    <w:p w:rsidR="00676BB6" w:rsidP="001A3432" w:rsidRDefault="00F44F37">
      <w:pPr>
        <w:pStyle w:val="JuPara"/>
      </w:pPr>
      <w:r>
        <w:t>(b)</w:t>
      </w:r>
      <w:r w:rsidR="00676BB6">
        <w:t>  no meetings with third parties;</w:t>
      </w:r>
    </w:p>
    <w:p w:rsidR="00676BB6" w:rsidP="001A3432" w:rsidRDefault="00F44F37">
      <w:pPr>
        <w:pStyle w:val="JuPara"/>
      </w:pPr>
      <w:r>
        <w:t>(c)  </w:t>
      </w:r>
      <w:r w:rsidR="00676BB6">
        <w:t>prohibition on using the telephone, except for one call – to be recorded – per month to members of the family if the applicant had not had a visit;</w:t>
      </w:r>
    </w:p>
    <w:p w:rsidRPr="00391F0F" w:rsidR="00676BB6" w:rsidP="001A3432" w:rsidRDefault="00CB3F46">
      <w:pPr>
        <w:pStyle w:val="JuPara"/>
      </w:pPr>
      <w:r>
        <w:t>(d)  </w:t>
      </w:r>
      <w:r w:rsidRPr="00391F0F" w:rsidR="00676BB6">
        <w:t xml:space="preserve">prohibition on receiving or sending </w:t>
      </w:r>
      <w:r w:rsidRPr="00391F0F" w:rsidR="001A3432">
        <w:t xml:space="preserve">out </w:t>
      </w:r>
      <w:r w:rsidRPr="00391F0F" w:rsidR="00676BB6">
        <w:t>sums of money in excess of a specified amount, except for defence costs or fines;</w:t>
      </w:r>
    </w:p>
    <w:p w:rsidRPr="00391F0F" w:rsidR="00676BB6" w:rsidP="001A3432" w:rsidRDefault="00CB3F46">
      <w:pPr>
        <w:pStyle w:val="JuPara"/>
      </w:pPr>
      <w:r>
        <w:t>(e)  </w:t>
      </w:r>
      <w:r w:rsidRPr="00391F0F" w:rsidR="00676BB6">
        <w:t>no more than two parcels of laundry per month;</w:t>
      </w:r>
    </w:p>
    <w:p w:rsidRPr="00391F0F" w:rsidR="00676BB6" w:rsidP="001A3432" w:rsidRDefault="00CB3F46">
      <w:pPr>
        <w:pStyle w:val="JuPara"/>
      </w:pPr>
      <w:r>
        <w:t>(f)  </w:t>
      </w:r>
      <w:r w:rsidR="00F57FBC">
        <w:t>no</w:t>
      </w:r>
      <w:r w:rsidR="001A3432">
        <w:t xml:space="preserve"> organis</w:t>
      </w:r>
      <w:r w:rsidR="00F57FBC">
        <w:t>ation of</w:t>
      </w:r>
      <w:r w:rsidRPr="00391F0F" w:rsidR="00676BB6">
        <w:t xml:space="preserve"> cultural, recreational or sports activities;</w:t>
      </w:r>
    </w:p>
    <w:p w:rsidRPr="00391F0F" w:rsidR="00676BB6" w:rsidP="001A3432" w:rsidRDefault="00CB3F46">
      <w:pPr>
        <w:pStyle w:val="JuPara"/>
      </w:pPr>
      <w:r>
        <w:t>(g)  </w:t>
      </w:r>
      <w:r w:rsidRPr="00391F0F" w:rsidR="00676BB6">
        <w:t>no right to vote in elections for prisoners</w:t>
      </w:r>
      <w:r w:rsidR="00E821E3">
        <w:t>'</w:t>
      </w:r>
      <w:r w:rsidRPr="00391F0F" w:rsidR="00676BB6">
        <w:t xml:space="preserve"> representatives or to be elected as a representative;</w:t>
      </w:r>
    </w:p>
    <w:p w:rsidRPr="00391F0F" w:rsidR="00676BB6" w:rsidP="001A3432" w:rsidRDefault="00CB3F46">
      <w:pPr>
        <w:pStyle w:val="JuPara"/>
      </w:pPr>
      <w:r>
        <w:t>(h)</w:t>
      </w:r>
      <w:r w:rsidRPr="00391F0F" w:rsidR="00676BB6">
        <w:t>  no handicrafts;</w:t>
      </w:r>
    </w:p>
    <w:p w:rsidRPr="00391F0F" w:rsidR="00676BB6" w:rsidP="001A3432" w:rsidRDefault="00676BB6">
      <w:pPr>
        <w:pStyle w:val="JuPara"/>
      </w:pPr>
      <w:r w:rsidRPr="00391F0F">
        <w:t>(</w:t>
      </w:r>
      <w:r w:rsidR="00CB3F46">
        <w:t>i</w:t>
      </w:r>
      <w:r w:rsidRPr="00391F0F">
        <w:t>)  </w:t>
      </w:r>
      <w:r w:rsidR="00F43E1B">
        <w:t>no</w:t>
      </w:r>
      <w:r w:rsidRPr="00391F0F">
        <w:t xml:space="preserve"> more than two hours</w:t>
      </w:r>
      <w:r w:rsidR="00F43E1B">
        <w:t xml:space="preserve"> per day to be spent</w:t>
      </w:r>
      <w:r w:rsidRPr="00391F0F">
        <w:t xml:space="preserve"> outdoors.</w:t>
      </w:r>
    </w:p>
    <w:p w:rsidRPr="00391F0F" w:rsidR="00676BB6" w:rsidP="00676BB6" w:rsidRDefault="00CB3F46">
      <w:pPr>
        <w:pStyle w:val="JuPara"/>
      </w:pPr>
      <w:r>
        <w:fldChar w:fldCharType="begin"/>
      </w:r>
      <w:r>
        <w:instrText xml:space="preserve"> SEQ level0 \*arabic </w:instrText>
      </w:r>
      <w:r>
        <w:fldChar w:fldCharType="separate"/>
      </w:r>
      <w:r w:rsidR="00D13761">
        <w:rPr>
          <w:noProof/>
        </w:rPr>
        <w:t>13</w:t>
      </w:r>
      <w:r>
        <w:fldChar w:fldCharType="end"/>
      </w:r>
      <w:r>
        <w:t>.  </w:t>
      </w:r>
      <w:r w:rsidRPr="00391F0F" w:rsidR="00676BB6">
        <w:t xml:space="preserve">The applicant appealed </w:t>
      </w:r>
      <w:r w:rsidR="00F43E1B">
        <w:t>against</w:t>
      </w:r>
      <w:r w:rsidRPr="00391F0F" w:rsidR="00676BB6">
        <w:t xml:space="preserve"> </w:t>
      </w:r>
      <w:r w:rsidR="00F43E1B">
        <w:t xml:space="preserve">those </w:t>
      </w:r>
      <w:r w:rsidR="00C42875">
        <w:t>decree</w:t>
      </w:r>
      <w:r w:rsidR="00F43E1B">
        <w:t>s to</w:t>
      </w:r>
      <w:r w:rsidRPr="00391F0F" w:rsidR="00676BB6">
        <w:t xml:space="preserve"> the </w:t>
      </w:r>
      <w:r w:rsidR="00F43E1B">
        <w:t>c</w:t>
      </w:r>
      <w:r w:rsidRPr="00391F0F" w:rsidR="00676BB6">
        <w:t>ourt</w:t>
      </w:r>
      <w:r w:rsidR="00F43E1B">
        <w:t xml:space="preserve"> responsible for the execution of sentences</w:t>
      </w:r>
      <w:r w:rsidRPr="00391F0F" w:rsidR="00676BB6">
        <w:t>. The parties submitted the factual information set out below.</w:t>
      </w:r>
    </w:p>
    <w:p w:rsidR="00676BB6" w:rsidP="00676BB6" w:rsidRDefault="00C42875">
      <w:pPr>
        <w:pStyle w:val="JuPara"/>
      </w:pPr>
      <w:r>
        <w:t>Decree</w:t>
      </w:r>
      <w:r w:rsidR="00725408">
        <w:t xml:space="preserve"> no. </w:t>
      </w:r>
      <w:r w:rsidRPr="00391F0F" w:rsidR="00676BB6">
        <w:t xml:space="preserve">1 – </w:t>
      </w:r>
      <w:r w:rsidR="00F43E1B">
        <w:t>The applicant appealed</w:t>
      </w:r>
      <w:r w:rsidRPr="00391F0F" w:rsidR="00676BB6">
        <w:t xml:space="preserve"> on </w:t>
      </w:r>
      <w:smartTag w:uri="urn:schemas-microsoft-com:office:smarttags" w:element="date">
        <w:smartTagPr>
          <w:attr w:name="Month" w:val="1"/>
          <w:attr w:name="Day" w:val="2"/>
          <w:attr w:name="Year" w:val="1997"/>
        </w:smartTagPr>
        <w:r w:rsidR="00676BB6" w:rsidRPr="00391F0F">
          <w:t>2 January 1997</w:t>
        </w:r>
      </w:smartTag>
      <w:r w:rsidRPr="00391F0F" w:rsidR="00676BB6">
        <w:t xml:space="preserve">. </w:t>
      </w:r>
      <w:r w:rsidR="00676BB6">
        <w:t xml:space="preserve">The </w:t>
      </w:r>
      <w:smartTag w:uri="urn:schemas-microsoft-com:office:smarttags" w:element="City">
        <w:smartTag w:uri="urn:schemas-microsoft-com:office:smarttags" w:element="place">
          <w:r w:rsidR="00676BB6">
            <w:t>Palermo</w:t>
          </w:r>
        </w:smartTag>
      </w:smartTag>
      <w:r w:rsidR="00676BB6">
        <w:t xml:space="preserve"> </w:t>
      </w:r>
      <w:r w:rsidR="002525AF">
        <w:t>c</w:t>
      </w:r>
      <w:r w:rsidR="00676BB6">
        <w:t xml:space="preserve">ourt </w:t>
      </w:r>
      <w:r w:rsidR="00F43E1B">
        <w:t xml:space="preserve">responsible for the execution of sentences </w:t>
      </w:r>
      <w:r w:rsidR="00676BB6">
        <w:t xml:space="preserve">held a hearing on </w:t>
      </w:r>
      <w:smartTag w:uri="urn:schemas-microsoft-com:office:smarttags" w:element="date">
        <w:smartTagPr>
          <w:attr w:name="Month" w:val="3"/>
          <w:attr w:name="Day" w:val="11"/>
          <w:attr w:name="Year" w:val="1997"/>
        </w:smartTagPr>
        <w:r w:rsidR="00676BB6">
          <w:t>11 March 1997</w:t>
        </w:r>
      </w:smartTag>
      <w:r w:rsidR="00676BB6">
        <w:t xml:space="preserve">. In an order of </w:t>
      </w:r>
      <w:smartTag w:uri="urn:schemas-microsoft-com:office:smarttags" w:element="date">
        <w:smartTagPr>
          <w:attr w:name="Month" w:val="3"/>
          <w:attr w:name="Day" w:val="11"/>
          <w:attr w:name="Year" w:val="1997"/>
        </w:smartTagPr>
        <w:r w:rsidR="00676BB6">
          <w:t>11 March 1997</w:t>
        </w:r>
      </w:smartTag>
      <w:r w:rsidR="00676BB6">
        <w:t>, deposite</w:t>
      </w:r>
      <w:r w:rsidR="00F43E1B">
        <w:t xml:space="preserve">d with the registry on </w:t>
      </w:r>
      <w:smartTag w:uri="urn:schemas-microsoft-com:office:smarttags" w:element="date">
        <w:smartTagPr>
          <w:attr w:name="Month" w:val="3"/>
          <w:attr w:name="Day" w:val="15"/>
          <w:attr w:name="Year" w:val="1997"/>
        </w:smartTagPr>
        <w:r w:rsidR="00F43E1B">
          <w:t>15 </w:t>
        </w:r>
        <w:r w:rsidR="00676BB6">
          <w:t>March 1997</w:t>
        </w:r>
      </w:smartTag>
      <w:r w:rsidR="00676BB6">
        <w:t>, the court declared the app</w:t>
      </w:r>
      <w:r w:rsidR="00F43E1B">
        <w:t>eal</w:t>
      </w:r>
      <w:r w:rsidR="00676BB6">
        <w:t xml:space="preserve"> inadmissible in accordance with the restrictive case-law followed at the time to the effect that the </w:t>
      </w:r>
      <w:r w:rsidRPr="002525AF" w:rsidR="00676BB6">
        <w:t>court</w:t>
      </w:r>
      <w:r w:rsidR="00676BB6">
        <w:t xml:space="preserve"> </w:t>
      </w:r>
      <w:r w:rsidR="002525AF">
        <w:t xml:space="preserve">hearing the case </w:t>
      </w:r>
      <w:r w:rsidR="00676BB6">
        <w:t xml:space="preserve">did not have power to examine the merits of the </w:t>
      </w:r>
      <w:r w:rsidR="00F43E1B">
        <w:t>restrictions impose</w:t>
      </w:r>
      <w:r w:rsidR="00676BB6">
        <w:t>d.</w:t>
      </w:r>
    </w:p>
    <w:p w:rsidR="00676BB6" w:rsidP="00676BB6" w:rsidRDefault="00C42875">
      <w:pPr>
        <w:pStyle w:val="JuPara"/>
      </w:pPr>
      <w:r>
        <w:t>Decree</w:t>
      </w:r>
      <w:r w:rsidR="00676BB6">
        <w:t xml:space="preserve"> no.</w:t>
      </w:r>
      <w:r w:rsidR="00F43E1B">
        <w:rPr>
          <w:vertAlign w:val="superscript"/>
        </w:rPr>
        <w:t xml:space="preserve"> </w:t>
      </w:r>
      <w:r w:rsidR="00676BB6">
        <w:t xml:space="preserve">2 – In an order of 29 July 1997, deposited with the registry on 31 July 1997, the Florence </w:t>
      </w:r>
      <w:r w:rsidR="00F43E1B">
        <w:t xml:space="preserve">court responsible for the execution of sentences </w:t>
      </w:r>
      <w:r w:rsidR="00676BB6">
        <w:t xml:space="preserve">declared inoperative the </w:t>
      </w:r>
      <w:r w:rsidR="00F43E1B">
        <w:t>restrictions</w:t>
      </w:r>
      <w:r w:rsidR="00676BB6">
        <w:t xml:space="preserve"> referred to in </w:t>
      </w:r>
      <w:r w:rsidR="00F43E1B">
        <w:t>(</w:t>
      </w:r>
      <w:r w:rsidR="00676BB6">
        <w:t>a</w:t>
      </w:r>
      <w:r w:rsidR="00F43E1B">
        <w:t>), (e) and (f)</w:t>
      </w:r>
      <w:r w:rsidR="00676BB6">
        <w:t xml:space="preserve"> of the </w:t>
      </w:r>
      <w:r w:rsidR="001A3432">
        <w:t>above</w:t>
      </w:r>
      <w:r w:rsidR="00676BB6">
        <w:t xml:space="preserve"> list.</w:t>
      </w:r>
    </w:p>
    <w:p w:rsidR="00676BB6" w:rsidP="00676BB6" w:rsidRDefault="00C42875">
      <w:pPr>
        <w:pStyle w:val="JuPara"/>
        <w:rPr>
          <w:noProof/>
        </w:rPr>
      </w:pPr>
      <w:r>
        <w:t>Decree</w:t>
      </w:r>
      <w:r w:rsidRPr="00391F0F" w:rsidR="00676BB6">
        <w:t xml:space="preserve"> no.</w:t>
      </w:r>
      <w:r w:rsidR="00725408">
        <w:rPr>
          <w:vertAlign w:val="superscript"/>
        </w:rPr>
        <w:t xml:space="preserve"> </w:t>
      </w:r>
      <w:r w:rsidRPr="00391F0F" w:rsidR="00676BB6">
        <w:t xml:space="preserve">3 – </w:t>
      </w:r>
      <w:r w:rsidR="00367316">
        <w:t>O</w:t>
      </w:r>
      <w:r w:rsidRPr="00391F0F" w:rsidR="00367316">
        <w:t xml:space="preserve">n an unknown date </w:t>
      </w:r>
      <w:r w:rsidR="00367316">
        <w:t>t</w:t>
      </w:r>
      <w:r w:rsidRPr="00391F0F" w:rsidR="00676BB6">
        <w:t xml:space="preserve">he applicant </w:t>
      </w:r>
      <w:r w:rsidR="00F43E1B">
        <w:t>appealed</w:t>
      </w:r>
      <w:r w:rsidRPr="00391F0F" w:rsidR="00676BB6">
        <w:t xml:space="preserve"> to the </w:t>
      </w:r>
      <w:smartTag w:uri="urn:schemas-microsoft-com:office:smarttags" w:element="City">
        <w:smartTag w:uri="urn:schemas-microsoft-com:office:smarttags" w:element="place">
          <w:r w:rsidR="00676BB6" w:rsidRPr="00391F0F">
            <w:t>Bologna</w:t>
          </w:r>
        </w:smartTag>
      </w:smartTag>
      <w:r w:rsidRPr="00391F0F" w:rsidR="00676BB6">
        <w:t xml:space="preserve"> </w:t>
      </w:r>
      <w:r w:rsidR="00F43E1B">
        <w:t>c</w:t>
      </w:r>
      <w:r w:rsidRPr="00391F0F" w:rsidR="00676BB6">
        <w:t>ourt</w:t>
      </w:r>
      <w:r w:rsidRPr="00F43E1B" w:rsidR="00F43E1B">
        <w:t xml:space="preserve"> </w:t>
      </w:r>
      <w:r w:rsidR="00F43E1B">
        <w:t>responsible for the execution of sentences</w:t>
      </w:r>
      <w:r w:rsidRPr="00391F0F" w:rsidR="00676BB6">
        <w:t xml:space="preserve">. </w:t>
      </w:r>
      <w:r w:rsidR="00676BB6">
        <w:rPr>
          <w:noProof/>
        </w:rPr>
        <w:t xml:space="preserve">The court held a hearing on </w:t>
      </w:r>
      <w:smartTag w:uri="urn:schemas-microsoft-com:office:smarttags" w:element="date">
        <w:smartTagPr>
          <w:attr w:name="Month" w:val="1"/>
          <w:attr w:name="Day" w:val="27"/>
          <w:attr w:name="Year" w:val="1998"/>
        </w:smartTagPr>
        <w:r w:rsidR="00676BB6">
          <w:rPr>
            <w:noProof/>
          </w:rPr>
          <w:t>27 January 1998</w:t>
        </w:r>
      </w:smartTag>
      <w:r w:rsidR="00676BB6">
        <w:rPr>
          <w:noProof/>
        </w:rPr>
        <w:t xml:space="preserve"> and dismissed the </w:t>
      </w:r>
      <w:r w:rsidR="00367316">
        <w:rPr>
          <w:noProof/>
        </w:rPr>
        <w:t>appeal</w:t>
      </w:r>
      <w:r w:rsidR="00676BB6">
        <w:rPr>
          <w:noProof/>
        </w:rPr>
        <w:t xml:space="preserve"> in an order </w:t>
      </w:r>
      <w:r w:rsidR="006F54E7">
        <w:rPr>
          <w:noProof/>
        </w:rPr>
        <w:t>of</w:t>
      </w:r>
      <w:r w:rsidR="00676BB6">
        <w:rPr>
          <w:noProof/>
        </w:rPr>
        <w:t xml:space="preserve"> the same day</w:t>
      </w:r>
      <w:r w:rsidR="00367316">
        <w:rPr>
          <w:noProof/>
        </w:rPr>
        <w:t>,</w:t>
      </w:r>
      <w:r w:rsidR="00676BB6">
        <w:rPr>
          <w:noProof/>
        </w:rPr>
        <w:t xml:space="preserve"> which was deposited with the registry on </w:t>
      </w:r>
      <w:smartTag w:uri="urn:schemas-microsoft-com:office:smarttags" w:element="date">
        <w:smartTagPr>
          <w:attr w:name="Month" w:val="1"/>
          <w:attr w:name="Day" w:val="30"/>
          <w:attr w:name="Year" w:val="1998"/>
        </w:smartTagPr>
        <w:r w:rsidR="00676BB6">
          <w:rPr>
            <w:noProof/>
          </w:rPr>
          <w:t>30 January 1998</w:t>
        </w:r>
      </w:smartTag>
      <w:r w:rsidR="00367316">
        <w:rPr>
          <w:noProof/>
        </w:rPr>
        <w:t>.</w:t>
      </w:r>
    </w:p>
    <w:p w:rsidR="00676BB6" w:rsidP="00676BB6" w:rsidRDefault="00C42875">
      <w:pPr>
        <w:pStyle w:val="JuPara"/>
      </w:pPr>
      <w:r>
        <w:t>Decree</w:t>
      </w:r>
      <w:r w:rsidR="00725408">
        <w:t xml:space="preserve"> no. </w:t>
      </w:r>
      <w:r w:rsidRPr="00391F0F" w:rsidR="00676BB6">
        <w:t xml:space="preserve">4 – The applicant </w:t>
      </w:r>
      <w:r w:rsidR="00367316">
        <w:t>appealed</w:t>
      </w:r>
      <w:r w:rsidRPr="00391F0F" w:rsidR="00676BB6">
        <w:t xml:space="preserve"> on </w:t>
      </w:r>
      <w:smartTag w:uri="urn:schemas-microsoft-com:office:smarttags" w:element="date">
        <w:smartTagPr>
          <w:attr w:name="Month" w:val="5"/>
          <w:attr w:name="Day" w:val="19"/>
          <w:attr w:name="Year" w:val="1998"/>
        </w:smartTagPr>
        <w:r w:rsidR="00676BB6" w:rsidRPr="00391F0F">
          <w:t>19 May 1998</w:t>
        </w:r>
      </w:smartTag>
      <w:r w:rsidRPr="00391F0F" w:rsidR="00676BB6">
        <w:t xml:space="preserve">. </w:t>
      </w:r>
      <w:r w:rsidR="00367316">
        <w:t xml:space="preserve">On </w:t>
      </w:r>
      <w:smartTag w:uri="urn:schemas-microsoft-com:office:smarttags" w:element="date">
        <w:smartTagPr>
          <w:attr w:name="Month" w:val="10"/>
          <w:attr w:name="Day" w:val="10"/>
          <w:attr w:name="Year" w:val="1998"/>
        </w:smartTagPr>
        <w:r w:rsidR="00676BB6">
          <w:t>10 October 1998</w:t>
        </w:r>
      </w:smartTag>
      <w:r w:rsidR="00676BB6">
        <w:t xml:space="preserve"> the </w:t>
      </w:r>
      <w:smartTag w:uri="urn:schemas-microsoft-com:office:smarttags" w:element="City">
        <w:smartTag w:uri="urn:schemas-microsoft-com:office:smarttags" w:element="place">
          <w:r w:rsidR="00676BB6">
            <w:t>Perugia</w:t>
          </w:r>
        </w:smartTag>
      </w:smartTag>
      <w:r w:rsidR="00676BB6">
        <w:t xml:space="preserve"> </w:t>
      </w:r>
      <w:r w:rsidR="00367316">
        <w:t>c</w:t>
      </w:r>
      <w:r w:rsidR="00676BB6">
        <w:t>ourt</w:t>
      </w:r>
      <w:r w:rsidRPr="00367316" w:rsidR="00367316">
        <w:t xml:space="preserve"> </w:t>
      </w:r>
      <w:r w:rsidR="00367316">
        <w:t>responsible for the execution of sentences</w:t>
      </w:r>
      <w:r w:rsidR="00676BB6">
        <w:t xml:space="preserve"> set the case down for hearing on </w:t>
      </w:r>
      <w:smartTag w:uri="urn:schemas-microsoft-com:office:smarttags" w:element="date">
        <w:smartTagPr>
          <w:attr w:name="Month" w:val="11"/>
          <w:attr w:name="Day" w:val="12"/>
          <w:attr w:name="Year" w:val="1998"/>
        </w:smartTagPr>
        <w:r w:rsidR="00676BB6">
          <w:t>12 November 1998</w:t>
        </w:r>
      </w:smartTag>
      <w:r w:rsidR="00676BB6">
        <w:t xml:space="preserve">. On </w:t>
      </w:r>
      <w:smartTag w:uri="urn:schemas-microsoft-com:office:smarttags" w:element="date">
        <w:smartTagPr>
          <w:attr w:name="Month" w:val="3"/>
          <w:attr w:name="Day" w:val="30"/>
          <w:attr w:name="Year" w:val="1999"/>
        </w:smartTagPr>
        <w:r w:rsidR="00676BB6">
          <w:t>30 March 1999</w:t>
        </w:r>
      </w:smartTag>
      <w:r w:rsidR="00676BB6">
        <w:t xml:space="preserve"> the </w:t>
      </w:r>
      <w:r w:rsidR="006F54E7">
        <w:t>P</w:t>
      </w:r>
      <w:r w:rsidR="00676BB6">
        <w:t xml:space="preserve">resident of the </w:t>
      </w:r>
      <w:r w:rsidR="00367316">
        <w:t>c</w:t>
      </w:r>
      <w:r w:rsidR="00676BB6">
        <w:t>ourt declared the app</w:t>
      </w:r>
      <w:r w:rsidR="00367316">
        <w:t>eal</w:t>
      </w:r>
      <w:r w:rsidR="00676BB6">
        <w:t xml:space="preserve"> inadmissible. </w:t>
      </w:r>
      <w:r w:rsidR="006F54E7">
        <w:t xml:space="preserve">He </w:t>
      </w:r>
      <w:r w:rsidR="00676BB6">
        <w:t xml:space="preserve">noted that the period of </w:t>
      </w:r>
      <w:r w:rsidR="006F54E7">
        <w:t>validity</w:t>
      </w:r>
      <w:r w:rsidR="00676BB6">
        <w:t xml:space="preserve"> of the </w:t>
      </w:r>
      <w:r>
        <w:t>decree</w:t>
      </w:r>
      <w:r w:rsidR="00676BB6">
        <w:t xml:space="preserve"> had expired and that the applicant accordingly no </w:t>
      </w:r>
      <w:r w:rsidR="006F54E7">
        <w:t>longer had any</w:t>
      </w:r>
      <w:r w:rsidR="00D13761">
        <w:t xml:space="preserve"> </w:t>
      </w:r>
      <w:r w:rsidR="00676BB6">
        <w:t>interest in having it examined.</w:t>
      </w:r>
    </w:p>
    <w:p w:rsidR="00676BB6" w:rsidP="00676BB6" w:rsidRDefault="00C42875">
      <w:pPr>
        <w:pStyle w:val="JuPara"/>
      </w:pPr>
      <w:r>
        <w:t>Decree</w:t>
      </w:r>
      <w:r w:rsidR="00725408">
        <w:t xml:space="preserve"> no. </w:t>
      </w:r>
      <w:r w:rsidR="00676BB6">
        <w:t xml:space="preserve">5 – The applicant did not appeal against this </w:t>
      </w:r>
      <w:r>
        <w:t>decree</w:t>
      </w:r>
      <w:r w:rsidR="00676BB6">
        <w:t>.</w:t>
      </w:r>
    </w:p>
    <w:p w:rsidRPr="00391F0F" w:rsidR="00676BB6" w:rsidP="00676BB6" w:rsidRDefault="00C42875">
      <w:pPr>
        <w:pStyle w:val="JuPara"/>
      </w:pPr>
      <w:r>
        <w:t>Decree</w:t>
      </w:r>
      <w:r w:rsidR="00725408">
        <w:t xml:space="preserve"> no. </w:t>
      </w:r>
      <w:r w:rsidRPr="00391F0F" w:rsidR="00676BB6">
        <w:t>6 – The applicant appeal</w:t>
      </w:r>
      <w:r w:rsidR="00367316">
        <w:t>ed</w:t>
      </w:r>
      <w:r w:rsidRPr="00391F0F" w:rsidR="00676BB6">
        <w:t xml:space="preserve"> on </w:t>
      </w:r>
      <w:smartTag w:uri="urn:schemas-microsoft-com:office:smarttags" w:element="date">
        <w:smartTagPr>
          <w:attr w:name="Month" w:val="5"/>
          <w:attr w:name="Day" w:val="14"/>
          <w:attr w:name="Year" w:val="1999"/>
        </w:smartTagPr>
        <w:r w:rsidR="00676BB6" w:rsidRPr="00391F0F">
          <w:t>14 May 1999</w:t>
        </w:r>
      </w:smartTag>
      <w:r w:rsidR="00367316">
        <w:t xml:space="preserve">. On </w:t>
      </w:r>
      <w:smartTag w:uri="urn:schemas-microsoft-com:office:smarttags" w:element="date">
        <w:smartTagPr>
          <w:attr w:name="Month" w:val="6"/>
          <w:attr w:name="Day" w:val="9"/>
          <w:attr w:name="Year" w:val="1999"/>
        </w:smartTagPr>
        <w:r w:rsidR="00676BB6" w:rsidRPr="00391F0F">
          <w:t>9 June 1999</w:t>
        </w:r>
      </w:smartTag>
      <w:r w:rsidRPr="00391F0F" w:rsidR="00676BB6">
        <w:t xml:space="preserve"> the </w:t>
      </w:r>
      <w:r w:rsidR="00367316">
        <w:t>rehabilitation unit of Spoleto P</w:t>
      </w:r>
      <w:r w:rsidRPr="00391F0F" w:rsidR="00676BB6">
        <w:t>rison confirmed a report that had previously been made in connection with ano</w:t>
      </w:r>
      <w:r w:rsidR="00367316">
        <w:t xml:space="preserve">ther appeal. In a request of </w:t>
      </w:r>
      <w:smartTag w:uri="urn:schemas-microsoft-com:office:smarttags" w:element="date">
        <w:smartTagPr>
          <w:attr w:name="Month" w:val="9"/>
          <w:attr w:name="Day" w:val="21"/>
          <w:attr w:name="Year" w:val="1999"/>
        </w:smartTagPr>
        <w:r w:rsidR="00367316">
          <w:t>21 </w:t>
        </w:r>
        <w:r w:rsidR="00676BB6" w:rsidRPr="00391F0F">
          <w:t>September 1999</w:t>
        </w:r>
      </w:smartTag>
      <w:r w:rsidRPr="00391F0F" w:rsidR="00676BB6">
        <w:t xml:space="preserve"> sent to the </w:t>
      </w:r>
      <w:smartTag w:uri="urn:schemas-microsoft-com:office:smarttags" w:element="City">
        <w:smartTag w:uri="urn:schemas-microsoft-com:office:smarttags" w:element="place">
          <w:r w:rsidR="00676BB6" w:rsidRPr="00391F0F">
            <w:t>Perugia</w:t>
          </w:r>
        </w:smartTag>
      </w:smartTag>
      <w:r w:rsidRPr="00391F0F" w:rsidR="00676BB6">
        <w:t xml:space="preserve"> </w:t>
      </w:r>
      <w:r w:rsidR="00367316">
        <w:t>court</w:t>
      </w:r>
      <w:r w:rsidRPr="00367316" w:rsidR="00367316">
        <w:t xml:space="preserve"> </w:t>
      </w:r>
      <w:r w:rsidR="00367316">
        <w:t>responsible for the execution of sentences</w:t>
      </w:r>
      <w:r w:rsidR="001A3432">
        <w:t>,</w:t>
      </w:r>
      <w:r w:rsidRPr="00391F0F" w:rsidR="00676BB6">
        <w:t xml:space="preserve"> the applicant</w:t>
      </w:r>
      <w:r w:rsidR="00E821E3">
        <w:t>'</w:t>
      </w:r>
      <w:r w:rsidRPr="00391F0F" w:rsidR="00676BB6">
        <w:t xml:space="preserve">s lawyer asked for the </w:t>
      </w:r>
      <w:r w:rsidR="00367316">
        <w:t xml:space="preserve">appeal to be heard. On </w:t>
      </w:r>
      <w:smartTag w:uri="urn:schemas-microsoft-com:office:smarttags" w:element="date">
        <w:smartTagPr>
          <w:attr w:name="Month" w:val="12"/>
          <w:attr w:name="Day" w:val="4"/>
          <w:attr w:name="Year" w:val="1999"/>
        </w:smartTagPr>
        <w:r w:rsidR="00367316">
          <w:t>4 </w:t>
        </w:r>
        <w:r w:rsidR="00676BB6" w:rsidRPr="00391F0F">
          <w:t>December 1999</w:t>
        </w:r>
      </w:smartTag>
      <w:r w:rsidRPr="00391F0F" w:rsidR="00676BB6">
        <w:t xml:space="preserve"> the </w:t>
      </w:r>
      <w:r w:rsidR="001A3432">
        <w:t>P</w:t>
      </w:r>
      <w:r w:rsidRPr="00391F0F" w:rsidR="00676BB6">
        <w:t xml:space="preserve">resident of the </w:t>
      </w:r>
      <w:r w:rsidR="00367316">
        <w:t>c</w:t>
      </w:r>
      <w:r w:rsidRPr="00391F0F" w:rsidR="00676BB6">
        <w:t xml:space="preserve">ourt declared the </w:t>
      </w:r>
      <w:r w:rsidR="00367316">
        <w:t>appeal</w:t>
      </w:r>
      <w:r w:rsidRPr="00391F0F" w:rsidR="00676BB6">
        <w:t xml:space="preserve"> inadmissible. </w:t>
      </w:r>
      <w:r w:rsidR="00367316">
        <w:t>He</w:t>
      </w:r>
      <w:r w:rsidRPr="00391F0F" w:rsidR="00676BB6">
        <w:t xml:space="preserve"> noted that the </w:t>
      </w:r>
      <w:r w:rsidR="006F54E7">
        <w:t xml:space="preserve">period of validity </w:t>
      </w:r>
      <w:r w:rsidRPr="00391F0F" w:rsidR="00676BB6">
        <w:t xml:space="preserve">of the </w:t>
      </w:r>
      <w:r>
        <w:t>decree</w:t>
      </w:r>
      <w:r w:rsidRPr="00391F0F" w:rsidR="00676BB6">
        <w:t xml:space="preserve"> had expired and that the applicant accordingly</w:t>
      </w:r>
      <w:r w:rsidR="006F54E7">
        <w:t xml:space="preserve"> no longer</w:t>
      </w:r>
      <w:r w:rsidRPr="00391F0F" w:rsidR="00676BB6">
        <w:t xml:space="preserve"> had </w:t>
      </w:r>
      <w:r w:rsidR="006F54E7">
        <w:t>any</w:t>
      </w:r>
      <w:r w:rsidRPr="00391F0F" w:rsidR="00676BB6">
        <w:t xml:space="preserve"> interest in having it examined.</w:t>
      </w:r>
    </w:p>
    <w:p w:rsidR="00676BB6" w:rsidP="00676BB6" w:rsidRDefault="00C42875">
      <w:pPr>
        <w:pStyle w:val="JuPara"/>
      </w:pPr>
      <w:r>
        <w:t>Decree</w:t>
      </w:r>
      <w:r w:rsidRPr="00391F0F" w:rsidR="00676BB6">
        <w:t xml:space="preserve"> no.</w:t>
      </w:r>
      <w:r w:rsidR="00725408">
        <w:rPr>
          <w:vertAlign w:val="superscript"/>
        </w:rPr>
        <w:t xml:space="preserve"> </w:t>
      </w:r>
      <w:r w:rsidRPr="00391F0F" w:rsidR="00676BB6">
        <w:t xml:space="preserve">7 – The applicant </w:t>
      </w:r>
      <w:r w:rsidR="00367316">
        <w:t>appealed</w:t>
      </w:r>
      <w:r w:rsidRPr="00391F0F" w:rsidR="00676BB6">
        <w:t xml:space="preserve"> on </w:t>
      </w:r>
      <w:smartTag w:uri="urn:schemas-microsoft-com:office:smarttags" w:element="date">
        <w:smartTagPr>
          <w:attr w:name="Month" w:val="11"/>
          <w:attr w:name="Day" w:val="12"/>
          <w:attr w:name="Year" w:val="1999"/>
        </w:smartTagPr>
        <w:r w:rsidR="00676BB6" w:rsidRPr="00391F0F">
          <w:t>12 November 1999</w:t>
        </w:r>
      </w:smartTag>
      <w:r w:rsidRPr="00391F0F" w:rsidR="00676BB6">
        <w:t xml:space="preserve">. </w:t>
      </w:r>
      <w:r w:rsidR="00367316">
        <w:t xml:space="preserve">On </w:t>
      </w:r>
      <w:smartTag w:uri="urn:schemas-microsoft-com:office:smarttags" w:element="date">
        <w:smartTagPr>
          <w:attr w:name="Month" w:val="2"/>
          <w:attr w:name="Day" w:val="12"/>
          <w:attr w:name="Year" w:val="2000"/>
        </w:smartTagPr>
        <w:r w:rsidR="00367316">
          <w:t>12 </w:t>
        </w:r>
        <w:r w:rsidR="00676BB6">
          <w:t>February 2000</w:t>
        </w:r>
      </w:smartTag>
      <w:r w:rsidR="00676BB6">
        <w:t xml:space="preserve"> the </w:t>
      </w:r>
      <w:r w:rsidR="006F54E7">
        <w:t>P</w:t>
      </w:r>
      <w:r w:rsidR="00676BB6">
        <w:t xml:space="preserve">resident of the </w:t>
      </w:r>
      <w:smartTag w:uri="urn:schemas-microsoft-com:office:smarttags" w:element="City">
        <w:smartTag w:uri="urn:schemas-microsoft-com:office:smarttags" w:element="place">
          <w:r w:rsidR="00676BB6">
            <w:t>Perugia</w:t>
          </w:r>
        </w:smartTag>
      </w:smartTag>
      <w:r w:rsidR="00676BB6">
        <w:t xml:space="preserve"> </w:t>
      </w:r>
      <w:r w:rsidR="00367316">
        <w:t>court</w:t>
      </w:r>
      <w:r w:rsidRPr="00367316" w:rsidR="00367316">
        <w:t xml:space="preserve"> </w:t>
      </w:r>
      <w:r w:rsidR="00367316">
        <w:t xml:space="preserve">responsible for the execution of sentences </w:t>
      </w:r>
      <w:r w:rsidR="00676BB6">
        <w:t xml:space="preserve">declared the </w:t>
      </w:r>
      <w:r w:rsidR="00367316">
        <w:t>appeal</w:t>
      </w:r>
      <w:r w:rsidR="00676BB6">
        <w:t xml:space="preserve"> inadmissible. </w:t>
      </w:r>
      <w:r w:rsidR="00367316">
        <w:t>He</w:t>
      </w:r>
      <w:r w:rsidR="00676BB6">
        <w:t xml:space="preserve"> noted that the period of </w:t>
      </w:r>
      <w:r w:rsidR="006F54E7">
        <w:t>validity</w:t>
      </w:r>
      <w:r w:rsidR="00676BB6">
        <w:t xml:space="preserve"> of the </w:t>
      </w:r>
      <w:r>
        <w:t>decree</w:t>
      </w:r>
      <w:r w:rsidR="00676BB6">
        <w:t xml:space="preserve"> had expired and that the applicant accordingly</w:t>
      </w:r>
      <w:r w:rsidR="006F54E7">
        <w:t xml:space="preserve"> no longer</w:t>
      </w:r>
      <w:r w:rsidR="00676BB6">
        <w:t xml:space="preserve"> had </w:t>
      </w:r>
      <w:r w:rsidR="006F54E7">
        <w:t>any</w:t>
      </w:r>
      <w:r w:rsidR="00676BB6">
        <w:t xml:space="preserve"> interest in having it examined.</w:t>
      </w:r>
    </w:p>
    <w:p w:rsidR="00676BB6" w:rsidP="00676BB6" w:rsidRDefault="00C42875">
      <w:pPr>
        <w:pStyle w:val="JuPara"/>
      </w:pPr>
      <w:r>
        <w:t>Decree</w:t>
      </w:r>
      <w:r w:rsidR="00725408">
        <w:t xml:space="preserve"> no. </w:t>
      </w:r>
      <w:r w:rsidRPr="00391F0F" w:rsidR="00676BB6">
        <w:t xml:space="preserve">8 – On </w:t>
      </w:r>
      <w:smartTag w:uri="urn:schemas-microsoft-com:office:smarttags" w:element="date">
        <w:smartTagPr>
          <w:attr w:name="Month" w:val="3"/>
          <w:attr w:name="Day" w:val="28"/>
          <w:attr w:name="Year" w:val="2000"/>
        </w:smartTagPr>
        <w:r w:rsidR="00676BB6" w:rsidRPr="00391F0F">
          <w:t>28 March 2000</w:t>
        </w:r>
      </w:smartTag>
      <w:r w:rsidR="006F54E7">
        <w:t xml:space="preserve"> the P</w:t>
      </w:r>
      <w:r w:rsidRPr="00391F0F" w:rsidR="00676BB6">
        <w:t xml:space="preserve">resident of the </w:t>
      </w:r>
      <w:smartTag w:uri="urn:schemas-microsoft-com:office:smarttags" w:element="City">
        <w:smartTag w:uri="urn:schemas-microsoft-com:office:smarttags" w:element="place">
          <w:r w:rsidR="00676BB6" w:rsidRPr="00391F0F">
            <w:t>Perugia</w:t>
          </w:r>
        </w:smartTag>
      </w:smartTag>
      <w:r w:rsidRPr="00391F0F" w:rsidR="00676BB6">
        <w:t xml:space="preserve"> </w:t>
      </w:r>
      <w:r w:rsidR="009F1A90">
        <w:t>c</w:t>
      </w:r>
      <w:r w:rsidRPr="00391F0F" w:rsidR="00676BB6">
        <w:t xml:space="preserve">ourt </w:t>
      </w:r>
      <w:r w:rsidR="009F1A90">
        <w:t>responsible for the execution of sentences</w:t>
      </w:r>
      <w:r w:rsidRPr="00391F0F" w:rsidR="009F1A90">
        <w:t xml:space="preserve"> </w:t>
      </w:r>
      <w:r w:rsidRPr="00391F0F" w:rsidR="00676BB6">
        <w:t xml:space="preserve">granted the applicant legal aid. On </w:t>
      </w:r>
      <w:smartTag w:uri="urn:schemas-microsoft-com:office:smarttags" w:element="date">
        <w:smartTagPr>
          <w:attr w:name="Month" w:val="4"/>
          <w:attr w:name="Day" w:val="10"/>
          <w:attr w:name="Year" w:val="2000"/>
        </w:smartTagPr>
        <w:r w:rsidR="00676BB6" w:rsidRPr="00391F0F">
          <w:t>10 April 2000</w:t>
        </w:r>
      </w:smartTag>
      <w:r w:rsidRPr="00391F0F" w:rsidR="00676BB6">
        <w:t xml:space="preserve"> </w:t>
      </w:r>
      <w:r w:rsidR="00CA0528">
        <w:t>he</w:t>
      </w:r>
      <w:r w:rsidRPr="00391F0F" w:rsidR="00676BB6">
        <w:t xml:space="preserve"> set the case down for hearing on </w:t>
      </w:r>
      <w:smartTag w:uri="urn:schemas-microsoft-com:office:smarttags" w:element="date">
        <w:smartTagPr>
          <w:attr w:name="Month" w:val="5"/>
          <w:attr w:name="Day" w:val="4"/>
          <w:attr w:name="Year" w:val="2000"/>
        </w:smartTagPr>
        <w:r w:rsidR="00676BB6" w:rsidRPr="00391F0F">
          <w:t>4 May 2000</w:t>
        </w:r>
      </w:smartTag>
      <w:r w:rsidRPr="00391F0F" w:rsidR="00676BB6">
        <w:t xml:space="preserve">. </w:t>
      </w:r>
      <w:r w:rsidR="00676BB6">
        <w:t xml:space="preserve">In an order of the same date, </w:t>
      </w:r>
      <w:r w:rsidRPr="006F54E7" w:rsidR="00CA0528">
        <w:t>deposited</w:t>
      </w:r>
      <w:r w:rsidR="00676BB6">
        <w:t xml:space="preserve"> with the registry on 8 May, the court </w:t>
      </w:r>
      <w:r w:rsidR="00CA0528">
        <w:t xml:space="preserve">allowed the appeal </w:t>
      </w:r>
      <w:r w:rsidR="00676BB6">
        <w:t xml:space="preserve">regarding the </w:t>
      </w:r>
      <w:r w:rsidR="00CA0528">
        <w:t>restriction</w:t>
      </w:r>
      <w:r w:rsidR="00676BB6">
        <w:t xml:space="preserve"> on the applicant</w:t>
      </w:r>
      <w:r w:rsidR="00E821E3">
        <w:t>'</w:t>
      </w:r>
      <w:r w:rsidR="00676BB6">
        <w:t xml:space="preserve">s </w:t>
      </w:r>
      <w:r w:rsidR="00F57FBC">
        <w:t>right</w:t>
      </w:r>
      <w:r w:rsidR="00676BB6">
        <w:t xml:space="preserve"> to receive parcels and dismissed the remainder.</w:t>
      </w:r>
    </w:p>
    <w:p w:rsidR="00676BB6" w:rsidP="00676BB6" w:rsidRDefault="00C42875">
      <w:pPr>
        <w:pStyle w:val="JuPara"/>
      </w:pPr>
      <w:r>
        <w:t>Decree</w:t>
      </w:r>
      <w:r w:rsidR="00725408">
        <w:t xml:space="preserve"> no. </w:t>
      </w:r>
      <w:r w:rsidRPr="00391F0F" w:rsidR="00676BB6">
        <w:t xml:space="preserve">9 – The applicant </w:t>
      </w:r>
      <w:r w:rsidR="009F1A90">
        <w:t>appealed</w:t>
      </w:r>
      <w:r w:rsidRPr="00391F0F" w:rsidR="00676BB6">
        <w:t xml:space="preserve"> on </w:t>
      </w:r>
      <w:smartTag w:uri="urn:schemas-microsoft-com:office:smarttags" w:element="date">
        <w:smartTagPr>
          <w:attr w:name="Month" w:val="6"/>
          <w:attr w:name="Day" w:val="28"/>
          <w:attr w:name="Year" w:val="2000"/>
        </w:smartTagPr>
        <w:r w:rsidR="00676BB6" w:rsidRPr="00391F0F">
          <w:t>28 June 2000</w:t>
        </w:r>
      </w:smartTag>
      <w:r w:rsidRPr="00391F0F" w:rsidR="00676BB6">
        <w:t xml:space="preserve">. </w:t>
      </w:r>
      <w:r w:rsidR="00725408">
        <w:t xml:space="preserve">On </w:t>
      </w:r>
      <w:smartTag w:uri="urn:schemas-microsoft-com:office:smarttags" w:element="date">
        <w:smartTagPr>
          <w:attr w:name="Month" w:val="1"/>
          <w:attr w:name="Day" w:val="8"/>
          <w:attr w:name="Year" w:val="2001"/>
        </w:smartTagPr>
        <w:r w:rsidR="00725408">
          <w:t xml:space="preserve">8 </w:t>
        </w:r>
        <w:r w:rsidR="00676BB6">
          <w:t>January 2001</w:t>
        </w:r>
      </w:smartTag>
      <w:r w:rsidR="00676BB6">
        <w:t xml:space="preserve"> the</w:t>
      </w:r>
      <w:r w:rsidR="006F54E7">
        <w:t xml:space="preserve"> P</w:t>
      </w:r>
      <w:r w:rsidR="00676BB6">
        <w:t>resident of</w:t>
      </w:r>
      <w:r w:rsidR="00CA0528">
        <w:t xml:space="preserve"> the </w:t>
      </w:r>
      <w:smartTag w:uri="urn:schemas-microsoft-com:office:smarttags" w:element="City">
        <w:smartTag w:uri="urn:schemas-microsoft-com:office:smarttags" w:element="place">
          <w:r w:rsidR="00676BB6">
            <w:t>Perugia</w:t>
          </w:r>
        </w:smartTag>
      </w:smartTag>
      <w:r w:rsidR="00676BB6">
        <w:t xml:space="preserve"> </w:t>
      </w:r>
      <w:r w:rsidR="00CA0528">
        <w:t>court</w:t>
      </w:r>
      <w:r w:rsidRPr="00367316" w:rsidR="00CA0528">
        <w:t xml:space="preserve"> </w:t>
      </w:r>
      <w:r w:rsidR="00CA0528">
        <w:t xml:space="preserve">responsible for the execution of sentences </w:t>
      </w:r>
      <w:r w:rsidR="00676BB6">
        <w:t>declared it inadmissible</w:t>
      </w:r>
      <w:r w:rsidR="006F54E7">
        <w:t xml:space="preserve"> on the ground that</w:t>
      </w:r>
      <w:r w:rsidR="00676BB6">
        <w:t xml:space="preserve"> </w:t>
      </w:r>
      <w:r w:rsidR="006F54E7">
        <w:t>the applicant no longer had any</w:t>
      </w:r>
      <w:r w:rsidR="00676BB6">
        <w:t xml:space="preserve"> interest </w:t>
      </w:r>
      <w:r w:rsidR="006F54E7">
        <w:t xml:space="preserve">in having it examined </w:t>
      </w:r>
      <w:r w:rsidR="00676BB6">
        <w:t>since the period of</w:t>
      </w:r>
      <w:r w:rsidR="00CA0528">
        <w:t xml:space="preserve"> validity of</w:t>
      </w:r>
      <w:r w:rsidR="00676BB6">
        <w:t xml:space="preserve"> the </w:t>
      </w:r>
      <w:r>
        <w:t>decree</w:t>
      </w:r>
      <w:r w:rsidR="00676BB6">
        <w:t xml:space="preserve"> had expired on </w:t>
      </w:r>
      <w:smartTag w:uri="urn:schemas-microsoft-com:office:smarttags" w:element="date">
        <w:smartTagPr>
          <w:attr w:name="Month" w:val="12"/>
          <w:attr w:name="Day" w:val="31"/>
          <w:attr w:name="Year" w:val="2000"/>
        </w:smartTagPr>
        <w:r w:rsidR="00676BB6">
          <w:t>31 December 2000</w:t>
        </w:r>
      </w:smartTag>
      <w:r w:rsidR="00676BB6">
        <w:t>.</w:t>
      </w:r>
    </w:p>
    <w:p w:rsidR="00676BB6" w:rsidP="00676BB6" w:rsidRDefault="001A3432">
      <w:pPr>
        <w:pStyle w:val="JuHIRoman"/>
      </w:pPr>
      <w:r>
        <w:t>II.  </w:t>
      </w:r>
      <w:r w:rsidR="00676BB6">
        <w:t>RELEVANT DOMESTIC LAW AND PRACTICE</w:t>
      </w:r>
    </w:p>
    <w:p w:rsidRPr="00391F0F" w:rsidR="00676BB6" w:rsidP="00676BB6" w:rsidRDefault="001A3432">
      <w:pPr>
        <w:pStyle w:val="JuHA"/>
      </w:pPr>
      <w:r>
        <w:t>A.  </w:t>
      </w:r>
      <w:r w:rsidRPr="00391F0F" w:rsidR="00676BB6">
        <w:t>The special prison regime</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14</w:t>
      </w:r>
      <w:r>
        <w:fldChar w:fldCharType="end"/>
      </w:r>
      <w:r w:rsidRPr="00391F0F">
        <w:t>.  </w:t>
      </w:r>
      <w:r>
        <w:t xml:space="preserve">Section 41 </w:t>
      </w:r>
      <w:r>
        <w:rPr>
          <w:i/>
          <w:iCs/>
        </w:rPr>
        <w:t>bis</w:t>
      </w:r>
      <w:r>
        <w:t xml:space="preserve"> of the Prison Administration Act (Law no. 354 of 26 July 1975), as amended by Law no. 356 of 7 August 1992, gives the Minister of Justice the power to suspend application of the ordinary prison regime as laid down in Law no. 354 of 1975 in whole or in part, by means of a </w:t>
      </w:r>
      <w:r w:rsidR="00D13761">
        <w:t xml:space="preserve">reasoned </w:t>
      </w:r>
      <w:r>
        <w:t xml:space="preserve">decision </w:t>
      </w:r>
      <w:r w:rsidR="001A3432">
        <w:t>that</w:t>
      </w:r>
      <w:r>
        <w:t xml:space="preserve"> is subject to judicial review, </w:t>
      </w:r>
      <w:r w:rsidR="00D13761">
        <w:t>on grounds</w:t>
      </w:r>
      <w:r>
        <w:t xml:space="preserve"> of public order and security in cases where the ordinary prison regime would be inadequate to meet these requirements.</w:t>
      </w:r>
    </w:p>
    <w:p w:rsidR="00D13761" w:rsidP="00676BB6" w:rsidRDefault="0019008F">
      <w:pPr>
        <w:pStyle w:val="JuPara"/>
      </w:pPr>
      <w:r>
        <w:t>S</w:t>
      </w:r>
      <w:r w:rsidR="00676BB6">
        <w:t xml:space="preserve">uch a measure can </w:t>
      </w:r>
      <w:r w:rsidR="00D13761">
        <w:t xml:space="preserve">only </w:t>
      </w:r>
      <w:r w:rsidR="00676BB6">
        <w:t>be applied to prisoners charged with</w:t>
      </w:r>
      <w:r w:rsidR="001A3432">
        <w:t>,</w:t>
      </w:r>
      <w:r w:rsidR="00676BB6">
        <w:t xml:space="preserve"> or sentenced for</w:t>
      </w:r>
      <w:r w:rsidR="001A3432">
        <w:t>,</w:t>
      </w:r>
      <w:r w:rsidR="00676BB6">
        <w:t xml:space="preserve"> the offences mentioned in section 4 </w:t>
      </w:r>
      <w:r w:rsidR="00676BB6">
        <w:rPr>
          <w:i/>
          <w:iCs/>
        </w:rPr>
        <w:t>bis</w:t>
      </w:r>
      <w:r w:rsidR="00676BB6">
        <w:t xml:space="preserve"> of the Act, which includes offences relating to Mafia activities.</w:t>
      </w:r>
    </w:p>
    <w:p w:rsidRPr="00391F0F" w:rsidR="00676BB6" w:rsidP="00676BB6" w:rsidRDefault="00676BB6">
      <w:pPr>
        <w:pStyle w:val="JuPara"/>
      </w:pPr>
      <w:r>
        <w:fldChar w:fldCharType="begin"/>
      </w:r>
      <w:r w:rsidRPr="00391F0F">
        <w:instrText xml:space="preserve"> SEQ level0 \*arabic </w:instrText>
      </w:r>
      <w:r>
        <w:fldChar w:fldCharType="separate"/>
      </w:r>
      <w:r w:rsidR="00D13761">
        <w:rPr>
          <w:noProof/>
        </w:rPr>
        <w:t>15</w:t>
      </w:r>
      <w:r>
        <w:fldChar w:fldCharType="end"/>
      </w:r>
      <w:r w:rsidRPr="00391F0F">
        <w:t xml:space="preserve">.  Section 41 </w:t>
      </w:r>
      <w:r w:rsidRPr="00391F0F">
        <w:rPr>
          <w:i/>
          <w:iCs/>
        </w:rPr>
        <w:t>bis</w:t>
      </w:r>
      <w:r w:rsidRPr="00391F0F">
        <w:t xml:space="preserve"> was enacted as a temporary provision. Its applicability was extended several times, until </w:t>
      </w:r>
      <w:smartTag w:uri="urn:schemas-microsoft-com:office:smarttags" w:element="date">
        <w:smartTagPr>
          <w:attr w:name="Month" w:val="12"/>
          <w:attr w:name="Day" w:val="31"/>
          <w:attr w:name="Year" w:val="2002"/>
        </w:smartTagPr>
        <w:r w:rsidRPr="00391F0F">
          <w:t>31 December 2002</w:t>
        </w:r>
      </w:smartTag>
      <w:r w:rsidR="00725408">
        <w:t xml:space="preserve"> (Law no. </w:t>
      </w:r>
      <w:r w:rsidR="0019008F">
        <w:t xml:space="preserve">4 of </w:t>
      </w:r>
      <w:smartTag w:uri="urn:schemas-microsoft-com:office:smarttags" w:element="date">
        <w:smartTagPr>
          <w:attr w:name="Month" w:val="1"/>
          <w:attr w:name="Day" w:val="19"/>
          <w:attr w:name="Year" w:val="2001"/>
        </w:smartTagPr>
        <w:r w:rsidR="0019008F">
          <w:t>19 </w:t>
        </w:r>
        <w:r w:rsidRPr="00391F0F">
          <w:t>January 2001</w:t>
        </w:r>
      </w:smartTag>
      <w:r w:rsidR="00725408">
        <w:t xml:space="preserve">). Law no. </w:t>
      </w:r>
      <w:r w:rsidRPr="00391F0F">
        <w:t xml:space="preserve">279 of </w:t>
      </w:r>
      <w:smartTag w:uri="urn:schemas-microsoft-com:office:smarttags" w:element="date">
        <w:smartTagPr>
          <w:attr w:name="Month" w:val="12"/>
          <w:attr w:name="Day" w:val="23"/>
          <w:attr w:name="Year" w:val="2002"/>
        </w:smartTagPr>
        <w:r w:rsidRPr="00391F0F">
          <w:t>23 December 2002</w:t>
        </w:r>
      </w:smartTag>
      <w:r w:rsidRPr="00391F0F">
        <w:t xml:space="preserve"> made it into a permanent provision.</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16</w:t>
      </w:r>
      <w:r>
        <w:fldChar w:fldCharType="end"/>
      </w:r>
      <w:r w:rsidRPr="00391F0F">
        <w:t>.  </w:t>
      </w:r>
      <w:r>
        <w:t xml:space="preserve">Section 41 </w:t>
      </w:r>
      <w:r>
        <w:rPr>
          <w:i/>
          <w:iCs/>
        </w:rPr>
        <w:t>bis</w:t>
      </w:r>
      <w:r>
        <w:t xml:space="preserve"> </w:t>
      </w:r>
      <w:r w:rsidR="0085624F">
        <w:t xml:space="preserve">does not </w:t>
      </w:r>
      <w:r>
        <w:t>contain</w:t>
      </w:r>
      <w:r w:rsidR="0085624F">
        <w:t xml:space="preserve"> a</w:t>
      </w:r>
      <w:r>
        <w:t xml:space="preserve"> list of the restrictions that may be imposed. The</w:t>
      </w:r>
      <w:r w:rsidR="0085624F">
        <w:t>se</w:t>
      </w:r>
      <w:r>
        <w:t xml:space="preserve"> must be determined by the Minister of Justice.</w:t>
      </w:r>
    </w:p>
    <w:p w:rsidRPr="00391F0F" w:rsidR="00676BB6" w:rsidP="00676BB6" w:rsidRDefault="0019008F">
      <w:pPr>
        <w:pStyle w:val="JuPara"/>
      </w:pPr>
      <w:r>
        <w:fldChar w:fldCharType="begin"/>
      </w:r>
      <w:r>
        <w:instrText xml:space="preserve"> SEQ level0 \*arabic </w:instrText>
      </w:r>
      <w:r>
        <w:fldChar w:fldCharType="separate"/>
      </w:r>
      <w:r w:rsidR="00D13761">
        <w:rPr>
          <w:noProof/>
        </w:rPr>
        <w:t>17</w:t>
      </w:r>
      <w:r>
        <w:fldChar w:fldCharType="end"/>
      </w:r>
      <w:r>
        <w:t xml:space="preserve">.  Under section 14 </w:t>
      </w:r>
      <w:r w:rsidRPr="00391F0F" w:rsidR="00676BB6">
        <w:rPr>
          <w:i/>
          <w:iCs/>
        </w:rPr>
        <w:t>ter</w:t>
      </w:r>
      <w:r w:rsidRPr="00391F0F" w:rsidR="00676BB6">
        <w:t xml:space="preserve"> of the Prison Administration Act</w:t>
      </w:r>
      <w:r w:rsidR="001A3432">
        <w:t>,</w:t>
      </w:r>
      <w:r w:rsidRPr="00391F0F" w:rsidR="00676BB6">
        <w:t xml:space="preserve"> an appeal (</w:t>
      </w:r>
      <w:r w:rsidRPr="00391F0F" w:rsidR="00676BB6">
        <w:rPr>
          <w:i/>
          <w:iCs/>
        </w:rPr>
        <w:t>reclamo</w:t>
      </w:r>
      <w:r w:rsidRPr="00391F0F" w:rsidR="00676BB6">
        <w:t>)</w:t>
      </w:r>
      <w:r w:rsidR="0085624F">
        <w:t xml:space="preserve"> lies</w:t>
      </w:r>
      <w:r w:rsidRPr="00391F0F" w:rsidR="00676BB6">
        <w:t xml:space="preserve"> </w:t>
      </w:r>
      <w:r w:rsidR="0085624F">
        <w:t>to</w:t>
      </w:r>
      <w:r w:rsidRPr="00391F0F" w:rsidR="00676BB6">
        <w:t xml:space="preserve"> the court responsible for the execution of sentences</w:t>
      </w:r>
      <w:r w:rsidRPr="00810A3E" w:rsidR="00810A3E">
        <w:t xml:space="preserve"> </w:t>
      </w:r>
      <w:r w:rsidRPr="00391F0F" w:rsidR="00810A3E">
        <w:t>against a decree of the Minister of Justice imposing the special regime</w:t>
      </w:r>
      <w:r w:rsidR="0085624F">
        <w:t>. The appeal must be lodged</w:t>
      </w:r>
      <w:r w:rsidRPr="00391F0F" w:rsidR="00676BB6">
        <w:t xml:space="preserve"> within ten days from the date on which the person concerned has </w:t>
      </w:r>
      <w:r w:rsidR="0085624F">
        <w:t>been served with</w:t>
      </w:r>
      <w:r w:rsidRPr="00391F0F" w:rsidR="00676BB6">
        <w:t xml:space="preserve"> the decree. </w:t>
      </w:r>
      <w:r w:rsidR="0085624F">
        <w:t>It</w:t>
      </w:r>
      <w:r w:rsidRPr="00391F0F" w:rsidR="00676BB6">
        <w:t xml:space="preserve"> does not have suspensive effect. Paragraph 2 </w:t>
      </w:r>
      <w:r w:rsidRPr="00391F0F" w:rsidR="00676BB6">
        <w:rPr>
          <w:i/>
          <w:iCs/>
        </w:rPr>
        <w:t>bis</w:t>
      </w:r>
      <w:r w:rsidRPr="00391F0F" w:rsidR="00676BB6">
        <w:t xml:space="preserve"> of section 41 </w:t>
      </w:r>
      <w:r w:rsidRPr="00391F0F" w:rsidR="00676BB6">
        <w:rPr>
          <w:i/>
          <w:iCs/>
        </w:rPr>
        <w:t>bis</w:t>
      </w:r>
      <w:r w:rsidR="001A3432">
        <w:t xml:space="preserve">, introduced by Law no. </w:t>
      </w:r>
      <w:r w:rsidR="0085624F">
        <w:t xml:space="preserve">11 of </w:t>
      </w:r>
      <w:smartTag w:uri="urn:schemas-microsoft-com:office:smarttags" w:element="date">
        <w:smartTagPr>
          <w:attr w:name="Month" w:val="1"/>
          <w:attr w:name="Day" w:val="7"/>
          <w:attr w:name="Year" w:val="1998"/>
        </w:smartTagPr>
        <w:r w:rsidR="0085624F">
          <w:t>7 </w:t>
        </w:r>
        <w:r w:rsidR="00676BB6" w:rsidRPr="00391F0F">
          <w:t>January 1998</w:t>
        </w:r>
      </w:smartTag>
      <w:r w:rsidRPr="00391F0F" w:rsidR="00676BB6">
        <w:t>, lays down the rules regarding territorial jurisdiction. It provides:</w:t>
      </w:r>
    </w:p>
    <w:p w:rsidR="00676BB6" w:rsidP="00676BB6" w:rsidRDefault="0019008F">
      <w:pPr>
        <w:pStyle w:val="JuQuot"/>
      </w:pPr>
      <w:r>
        <w:t>“</w:t>
      </w:r>
      <w:r w:rsidR="00676BB6">
        <w:t>The court</w:t>
      </w:r>
      <w:r w:rsidR="0085624F">
        <w:t xml:space="preserve"> responsible for the execution of sentences</w:t>
      </w:r>
      <w:r w:rsidR="00676BB6">
        <w:t xml:space="preserve"> </w:t>
      </w:r>
      <w:r w:rsidR="00810A3E">
        <w:t>that has</w:t>
      </w:r>
      <w:r w:rsidR="00676BB6">
        <w:t xml:space="preserve"> jurisdiction </w:t>
      </w:r>
      <w:r w:rsidR="00810A3E">
        <w:t>for</w:t>
      </w:r>
      <w:r w:rsidR="00676BB6">
        <w:t xml:space="preserve"> the prison in which the prisoner</w:t>
      </w:r>
      <w:r w:rsidR="0085624F">
        <w:t>, detainee</w:t>
      </w:r>
      <w:r w:rsidR="00676BB6">
        <w:t xml:space="preserve"> or defendant is being held has power to </w:t>
      </w:r>
      <w:r w:rsidR="0085624F">
        <w:t>adjudicate</w:t>
      </w:r>
      <w:r w:rsidR="00676BB6">
        <w:t xml:space="preserve"> appeals against </w:t>
      </w:r>
      <w:r w:rsidR="0085624F">
        <w:t>decrees</w:t>
      </w:r>
      <w:r w:rsidR="00676BB6">
        <w:t xml:space="preserve"> of the </w:t>
      </w:r>
      <w:r w:rsidR="00F6080F">
        <w:t>Minister of Justice</w:t>
      </w:r>
      <w:r w:rsidR="00676BB6">
        <w:t xml:space="preserve"> </w:t>
      </w:r>
      <w:r w:rsidR="00D13761">
        <w:t>issued</w:t>
      </w:r>
      <w:r w:rsidR="00676BB6">
        <w:t xml:space="preserve"> under paragraph 2. That power </w:t>
      </w:r>
      <w:r w:rsidR="0085624F">
        <w:t>shall</w:t>
      </w:r>
      <w:r w:rsidR="00676BB6">
        <w:t xml:space="preserve"> not </w:t>
      </w:r>
      <w:r w:rsidR="00CC2359">
        <w:t>change</w:t>
      </w:r>
      <w:r w:rsidR="00676BB6">
        <w:t>, even in the event of removal for one of the reasons listed in section 42.”</w:t>
      </w:r>
    </w:p>
    <w:p w:rsidRPr="00391F0F" w:rsidR="00676BB6" w:rsidP="00676BB6" w:rsidRDefault="00676BB6">
      <w:pPr>
        <w:pStyle w:val="JuPara"/>
      </w:pPr>
      <w:r w:rsidRPr="00391F0F">
        <w:t xml:space="preserve">The court must </w:t>
      </w:r>
      <w:r w:rsidR="00D13761">
        <w:t>m</w:t>
      </w:r>
      <w:r w:rsidRPr="00391F0F">
        <w:t>ake a decision within ten days. An appeal to the Court of Cassation lies against the decision of the court</w:t>
      </w:r>
      <w:r w:rsidRPr="00810A3E" w:rsidR="00810A3E">
        <w:t xml:space="preserve"> </w:t>
      </w:r>
      <w:r w:rsidRPr="00391F0F" w:rsidR="00810A3E">
        <w:t>responsible for the execution of sentences</w:t>
      </w:r>
      <w:r w:rsidRPr="00391F0F">
        <w:t>.</w:t>
      </w:r>
    </w:p>
    <w:p w:rsidRPr="00391F0F" w:rsidR="00676BB6" w:rsidP="00676BB6" w:rsidRDefault="00676BB6">
      <w:pPr>
        <w:pStyle w:val="JuHA"/>
      </w:pPr>
      <w:r w:rsidRPr="00391F0F">
        <w:t>B.  </w:t>
      </w:r>
      <w:r w:rsidR="00D13761">
        <w:t>R</w:t>
      </w:r>
      <w:r w:rsidRPr="00391F0F">
        <w:t>emedies available to prisoners</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18</w:t>
      </w:r>
      <w:r>
        <w:fldChar w:fldCharType="end"/>
      </w:r>
      <w:r w:rsidRPr="00391F0F">
        <w:t>.  </w:t>
      </w:r>
      <w:r>
        <w:t>Section 35 of the aforementioned</w:t>
      </w:r>
      <w:r w:rsidR="0019008F">
        <w:t xml:space="preserve"> Act</w:t>
      </w:r>
      <w:r>
        <w:t xml:space="preserve"> </w:t>
      </w:r>
      <w:r w:rsidR="0019008F">
        <w:t>(</w:t>
      </w:r>
      <w:r w:rsidR="001A3432">
        <w:t xml:space="preserve">Law no. </w:t>
      </w:r>
      <w:r>
        <w:t>354 of 1975</w:t>
      </w:r>
      <w:r w:rsidR="001A3432">
        <w:t>)</w:t>
      </w:r>
      <w:r>
        <w:t xml:space="preserve"> governs the right of appeal of prisoners.</w:t>
      </w:r>
    </w:p>
    <w:p w:rsidRPr="00391F0F" w:rsidR="00676BB6" w:rsidP="00676BB6" w:rsidRDefault="001A3432">
      <w:pPr>
        <w:pStyle w:val="JuPara"/>
      </w:pPr>
      <w:r>
        <w:t xml:space="preserve">In judgment no. </w:t>
      </w:r>
      <w:r w:rsidRPr="00391F0F" w:rsidR="00676BB6">
        <w:t xml:space="preserve">26 of </w:t>
      </w:r>
      <w:smartTag w:uri="urn:schemas-microsoft-com:office:smarttags" w:element="date">
        <w:smartTagPr>
          <w:attr w:name="Month" w:val="2"/>
          <w:attr w:name="Day" w:val="11"/>
          <w:attr w:name="Year" w:val="1999"/>
        </w:smartTagPr>
        <w:r w:rsidR="00676BB6" w:rsidRPr="00391F0F">
          <w:t>11 February 1999</w:t>
        </w:r>
      </w:smartTag>
      <w:r w:rsidR="00D13761">
        <w:t>,</w:t>
      </w:r>
      <w:r w:rsidRPr="00391F0F" w:rsidR="00676BB6">
        <w:t xml:space="preserve"> the </w:t>
      </w:r>
      <w:smartTag w:uri="urn:schemas-microsoft-com:office:smarttags" w:element="Street">
        <w:smartTag w:uri="urn:schemas-microsoft-com:office:smarttags" w:element="address">
          <w:r w:rsidR="00676BB6" w:rsidRPr="00391F0F">
            <w:t>Constitutional Court</w:t>
          </w:r>
        </w:smartTag>
      </w:smartTag>
      <w:r w:rsidRPr="00391F0F" w:rsidR="00676BB6">
        <w:t xml:space="preserve"> </w:t>
      </w:r>
      <w:r w:rsidR="00D13761">
        <w:t>found</w:t>
      </w:r>
      <w:r w:rsidRPr="00391F0F" w:rsidR="00676BB6">
        <w:t xml:space="preserve"> that, regarding restrictions on rights guaranteed by the Constitution, this section </w:t>
      </w:r>
      <w:r w:rsidR="0019008F">
        <w:t>was</w:t>
      </w:r>
      <w:r w:rsidRPr="00391F0F" w:rsidR="00676BB6">
        <w:t xml:space="preserve"> unconstitutional in so far as it </w:t>
      </w:r>
      <w:r w:rsidR="0019008F">
        <w:t>did</w:t>
      </w:r>
      <w:r w:rsidRPr="00391F0F" w:rsidR="00676BB6">
        <w:t xml:space="preserve"> not provide for judicial protection against </w:t>
      </w:r>
      <w:r w:rsidR="0019008F">
        <w:t xml:space="preserve">the </w:t>
      </w:r>
      <w:r w:rsidRPr="00391F0F" w:rsidR="00676BB6">
        <w:t xml:space="preserve">restrictions imposed on prisoners. Since it could not indicate which legal avenue was available to prisoners, the </w:t>
      </w:r>
      <w:smartTag w:uri="urn:schemas-microsoft-com:office:smarttags" w:element="Street">
        <w:smartTag w:uri="urn:schemas-microsoft-com:office:smarttags" w:element="address">
          <w:r w:rsidR="00676BB6" w:rsidRPr="00391F0F">
            <w:t>Constitutional Court</w:t>
          </w:r>
        </w:smartTag>
      </w:smartTag>
      <w:r w:rsidRPr="00391F0F" w:rsidR="00676BB6">
        <w:t xml:space="preserve"> asked the legislature to remedy the situation.</w:t>
      </w:r>
    </w:p>
    <w:p w:rsidRPr="00391F0F" w:rsidR="00676BB6" w:rsidP="00676BB6" w:rsidRDefault="00676BB6">
      <w:pPr>
        <w:pStyle w:val="JuHHead"/>
      </w:pPr>
      <w:r w:rsidRPr="00391F0F">
        <w:t>THE LAW</w:t>
      </w:r>
    </w:p>
    <w:p w:rsidRPr="00391F0F" w:rsidR="00676BB6" w:rsidP="001A3432" w:rsidRDefault="001A3432">
      <w:pPr>
        <w:pStyle w:val="JuHIRoman"/>
        <w:rPr>
          <w:noProof/>
        </w:rPr>
      </w:pPr>
      <w:r>
        <w:t>I.  </w:t>
      </w:r>
      <w:r w:rsidRPr="00391F0F" w:rsidR="00676BB6">
        <w:t>ALLEGED VIOLATION OF ARTICLE 6 OF THE CONVENTION</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19</w:t>
      </w:r>
      <w:r>
        <w:fldChar w:fldCharType="end"/>
      </w:r>
      <w:r w:rsidRPr="00391F0F">
        <w:t>.  </w:t>
      </w:r>
      <w:r>
        <w:t>The applicant complained of delays by the court</w:t>
      </w:r>
      <w:r w:rsidR="0019008F">
        <w:t xml:space="preserve"> responsible for the execution of sentences</w:t>
      </w:r>
      <w:r>
        <w:t xml:space="preserve"> in examining </w:t>
      </w:r>
      <w:r w:rsidR="0019008F">
        <w:t xml:space="preserve">the </w:t>
      </w:r>
      <w:r>
        <w:t xml:space="preserve">appeals </w:t>
      </w:r>
      <w:r w:rsidR="0019008F">
        <w:t xml:space="preserve">lodged </w:t>
      </w:r>
      <w:r>
        <w:t xml:space="preserve">against the </w:t>
      </w:r>
      <w:r w:rsidR="00C42875">
        <w:t>decree</w:t>
      </w:r>
      <w:r>
        <w:t xml:space="preserve">s of the </w:t>
      </w:r>
      <w:r w:rsidR="00F6080F">
        <w:t>Minister of Justice</w:t>
      </w:r>
      <w:r>
        <w:t xml:space="preserve"> under section 41 </w:t>
      </w:r>
      <w:r>
        <w:rPr>
          <w:i/>
          <w:iCs/>
        </w:rPr>
        <w:t>bis</w:t>
      </w:r>
      <w:r>
        <w:t xml:space="preserve"> of the Prison Administration Act. The applicant relied on Article 6 of the Convention, which reads:</w:t>
      </w:r>
    </w:p>
    <w:p w:rsidRPr="00391F0F" w:rsidR="00676BB6" w:rsidP="00676BB6" w:rsidRDefault="00676BB6">
      <w:pPr>
        <w:pStyle w:val="JuQuot"/>
      </w:pPr>
      <w:r w:rsidRPr="00391F0F">
        <w:t>“1.  </w:t>
      </w:r>
      <w:r>
        <w:t>In the determination of his civil rights and obligations or of any criminal charge against him, everyone is entitled to a fair and public hearing within a reasonable time by an independent and impartial tribun</w:t>
      </w:r>
      <w:r w:rsidR="001A3432">
        <w:t xml:space="preserve">al established by law. </w:t>
      </w:r>
      <w:r w:rsidR="0019008F">
        <w:t>...”</w:t>
      </w:r>
    </w:p>
    <w:p w:rsidRPr="00391F0F" w:rsidR="00676BB6" w:rsidP="00676BB6" w:rsidRDefault="00676BB6">
      <w:pPr>
        <w:pStyle w:val="JuPara"/>
      </w:pPr>
      <w:r w:rsidRPr="00391F0F">
        <w:t>The Court notes that in four instances (</w:t>
      </w:r>
      <w:r w:rsidR="00C42875">
        <w:t>decree</w:t>
      </w:r>
      <w:r w:rsidR="001A3432">
        <w:t xml:space="preserve">s nos. </w:t>
      </w:r>
      <w:r w:rsidRPr="00391F0F">
        <w:t>4, 6, 7 and 9)</w:t>
      </w:r>
      <w:r w:rsidR="001A3432">
        <w:t>,</w:t>
      </w:r>
      <w:r w:rsidRPr="00391F0F">
        <w:t xml:space="preserve"> the appeals to the courts </w:t>
      </w:r>
      <w:r w:rsidR="007F7AA2">
        <w:t>responsible for the execution of sentences</w:t>
      </w:r>
      <w:r w:rsidRPr="00391F0F" w:rsidR="007F7AA2">
        <w:t xml:space="preserve"> </w:t>
      </w:r>
      <w:r w:rsidRPr="00391F0F">
        <w:t xml:space="preserve">were declared inadmissible because the applicant no </w:t>
      </w:r>
      <w:r w:rsidR="0085624F">
        <w:t>longer had any</w:t>
      </w:r>
      <w:r w:rsidRPr="00391F0F">
        <w:t xml:space="preserve"> interest in </w:t>
      </w:r>
      <w:r w:rsidR="007F7AA2">
        <w:t xml:space="preserve">obtaining </w:t>
      </w:r>
      <w:r w:rsidRPr="00391F0F">
        <w:t>a decision since the</w:t>
      </w:r>
      <w:r w:rsidR="007F7AA2">
        <w:t xml:space="preserve"> period of</w:t>
      </w:r>
      <w:r w:rsidRPr="00391F0F">
        <w:t xml:space="preserve"> validity of the </w:t>
      </w:r>
      <w:r w:rsidR="00C42875">
        <w:t>decree</w:t>
      </w:r>
      <w:r w:rsidRPr="00391F0F">
        <w:t>s against which he was appealing had expired</w:t>
      </w:r>
      <w:r w:rsidR="001A3432">
        <w:t>,</w:t>
      </w:r>
      <w:r w:rsidRPr="00391F0F">
        <w:t xml:space="preserve"> </w:t>
      </w:r>
      <w:r w:rsidR="00D13761">
        <w:t>due</w:t>
      </w:r>
      <w:r w:rsidRPr="00391F0F">
        <w:t xml:space="preserve"> to delays in examining the appeals.</w:t>
      </w:r>
    </w:p>
    <w:p w:rsidRPr="00391F0F" w:rsidR="00676BB6" w:rsidP="00676BB6" w:rsidRDefault="00676BB6">
      <w:pPr>
        <w:pStyle w:val="JuPara"/>
      </w:pPr>
      <w:r w:rsidRPr="00391F0F">
        <w:t xml:space="preserve">The Court </w:t>
      </w:r>
      <w:r w:rsidR="00D13761">
        <w:t>notes</w:t>
      </w:r>
      <w:r w:rsidRPr="00391F0F">
        <w:t xml:space="preserve"> that it has </w:t>
      </w:r>
      <w:r w:rsidR="00D13761">
        <w:t>previously</w:t>
      </w:r>
      <w:r w:rsidRPr="00391F0F">
        <w:t xml:space="preserve"> found a breach of Article 13 of the Convention in a similar case (see </w:t>
      </w:r>
      <w:smartTag w:uri="urn:schemas-microsoft-com:office:smarttags" w:element="City">
        <w:smartTag w:uri="urn:schemas-microsoft-com:office:smarttags" w:element="place">
          <w:r w:rsidRPr="00391F0F">
            <w:rPr>
              <w:i/>
              <w:iCs/>
            </w:rPr>
            <w:t>Messina</w:t>
          </w:r>
        </w:smartTag>
      </w:smartTag>
      <w:r w:rsidRPr="00391F0F">
        <w:rPr>
          <w:i/>
          <w:iCs/>
        </w:rPr>
        <w:t xml:space="preserve"> v. </w:t>
      </w:r>
      <w:smartTag w:uri="urn:schemas-microsoft-com:office:smarttags" w:element="country-region">
        <w:smartTag w:uri="urn:schemas-microsoft-com:office:smarttags" w:element="place">
          <w:r w:rsidRPr="00391F0F">
            <w:rPr>
              <w:i/>
              <w:iCs/>
            </w:rPr>
            <w:t>Italy</w:t>
          </w:r>
        </w:smartTag>
      </w:smartTag>
      <w:r w:rsidR="001A3432">
        <w:rPr>
          <w:i/>
          <w:iCs/>
        </w:rPr>
        <w:t xml:space="preserve"> (no. </w:t>
      </w:r>
      <w:r w:rsidRPr="00391F0F">
        <w:rPr>
          <w:i/>
          <w:iCs/>
        </w:rPr>
        <w:t>2)</w:t>
      </w:r>
      <w:r w:rsidR="001A3432">
        <w:t xml:space="preserve">, no. </w:t>
      </w:r>
      <w:r w:rsidR="007F7AA2">
        <w:t>25498/94, §§ </w:t>
      </w:r>
      <w:r w:rsidRPr="00391F0F">
        <w:t>84-97, ECHR 2000-X). However, having regard to the applicant</w:t>
      </w:r>
      <w:r w:rsidR="00E821E3">
        <w:t>'</w:t>
      </w:r>
      <w:r w:rsidRPr="00391F0F">
        <w:t xml:space="preserve">s complaint, the Court must now </w:t>
      </w:r>
      <w:r w:rsidR="00D13761">
        <w:t>examine whether</w:t>
      </w:r>
      <w:r w:rsidRPr="00391F0F">
        <w:t xml:space="preserve"> tha</w:t>
      </w:r>
      <w:r w:rsidR="001A3432">
        <w:t>t Article 6 is applicable to th</w:t>
      </w:r>
      <w:r w:rsidR="00D13761">
        <w:t>e</w:t>
      </w:r>
      <w:r w:rsidRPr="00391F0F">
        <w:t xml:space="preserve"> case and, if so, whether the applicant</w:t>
      </w:r>
      <w:r w:rsidR="00E821E3">
        <w:t>'</w:t>
      </w:r>
      <w:r w:rsidRPr="00391F0F">
        <w:t>s right to a court was respected.</w:t>
      </w:r>
    </w:p>
    <w:p w:rsidRPr="00391F0F" w:rsidR="00676BB6" w:rsidP="00676BB6" w:rsidRDefault="00676BB6">
      <w:pPr>
        <w:pStyle w:val="JuHA"/>
        <w:rPr>
          <w:noProof/>
        </w:rPr>
      </w:pPr>
      <w:r w:rsidRPr="00391F0F">
        <w:t>A.  Applicability of Article 6</w:t>
      </w:r>
    </w:p>
    <w:p w:rsidRPr="00391F0F" w:rsidR="00676BB6" w:rsidP="00676BB6" w:rsidRDefault="007F7AA2">
      <w:pPr>
        <w:pStyle w:val="JuPara"/>
        <w:rPr>
          <w:i/>
          <w:iCs/>
          <w:noProof/>
        </w:rPr>
      </w:pPr>
      <w:r>
        <w:fldChar w:fldCharType="begin"/>
      </w:r>
      <w:r>
        <w:instrText xml:space="preserve"> SEQ level0 \*arabic </w:instrText>
      </w:r>
      <w:r>
        <w:fldChar w:fldCharType="separate"/>
      </w:r>
      <w:r w:rsidR="00D13761">
        <w:rPr>
          <w:noProof/>
        </w:rPr>
        <w:t>20</w:t>
      </w:r>
      <w:r>
        <w:fldChar w:fldCharType="end"/>
      </w:r>
      <w:r>
        <w:t>.  </w:t>
      </w:r>
      <w:r w:rsidRPr="00391F0F" w:rsidR="00676BB6">
        <w:t xml:space="preserve">The Government </w:t>
      </w:r>
      <w:r>
        <w:t>contended that</w:t>
      </w:r>
      <w:r w:rsidRPr="00391F0F" w:rsidR="00676BB6">
        <w:t xml:space="preserve"> Article 6</w:t>
      </w:r>
      <w:r>
        <w:t xml:space="preserve"> was inapplicable</w:t>
      </w:r>
      <w:r w:rsidR="0085624F">
        <w:t xml:space="preserve"> to the present case</w:t>
      </w:r>
      <w:r w:rsidRPr="00391F0F" w:rsidR="00676BB6">
        <w:t>. After reiterating that Article 6 applied only to</w:t>
      </w:r>
      <w:r>
        <w:t xml:space="preserve"> proceedings concerning</w:t>
      </w:r>
      <w:r w:rsidRPr="00391F0F" w:rsidR="00676BB6">
        <w:t xml:space="preserve"> the “determination of a criminal charge”, the Government submitted that the provision would not apply to proceedings before a court</w:t>
      </w:r>
      <w:r>
        <w:t xml:space="preserve"> responsible for the execution of sentences</w:t>
      </w:r>
      <w:r w:rsidRPr="00391F0F" w:rsidR="00676BB6">
        <w:t xml:space="preserve">. The role of </w:t>
      </w:r>
      <w:r>
        <w:t>that</w:t>
      </w:r>
      <w:r w:rsidRPr="00391F0F" w:rsidR="00676BB6">
        <w:t xml:space="preserve"> court </w:t>
      </w:r>
      <w:r>
        <w:t>was</w:t>
      </w:r>
      <w:r w:rsidRPr="00391F0F" w:rsidR="00676BB6">
        <w:t xml:space="preserve"> to determine disputes regarding the enforcement of sentences that ha</w:t>
      </w:r>
      <w:r>
        <w:t>d</w:t>
      </w:r>
      <w:r w:rsidRPr="00391F0F" w:rsidR="00676BB6">
        <w:t xml:space="preserve"> already been imposed by the court that </w:t>
      </w:r>
      <w:r>
        <w:t xml:space="preserve">had </w:t>
      </w:r>
      <w:r w:rsidRPr="00391F0F" w:rsidR="00676BB6">
        <w:t xml:space="preserve">determined the criminal charge. Furthermore, the second paragraph of section 41 </w:t>
      </w:r>
      <w:r w:rsidRPr="00391F0F" w:rsidR="00676BB6">
        <w:rPr>
          <w:i/>
          <w:iCs/>
        </w:rPr>
        <w:t>bis</w:t>
      </w:r>
      <w:r w:rsidR="00CE0340">
        <w:t xml:space="preserve"> of </w:t>
      </w:r>
      <w:r w:rsidR="00D13761">
        <w:t>the Prison Administration Act</w:t>
      </w:r>
      <w:r w:rsidRPr="00391F0F" w:rsidR="00676BB6">
        <w:t xml:space="preserve"> allowed the prison </w:t>
      </w:r>
      <w:r w:rsidR="00810A3E">
        <w:t>authorities</w:t>
      </w:r>
      <w:r w:rsidRPr="00391F0F" w:rsidR="00676BB6">
        <w:t>, in the event of serious public-order and safety considerations</w:t>
      </w:r>
      <w:r>
        <w:t xml:space="preserve"> linked to the fight against organised crime</w:t>
      </w:r>
      <w:r w:rsidR="0085624F">
        <w:t>,</w:t>
      </w:r>
      <w:r w:rsidRPr="00391F0F" w:rsidR="00676BB6">
        <w:t xml:space="preserve"> to decide that prisoners sentenced for the offences listed in section 4 </w:t>
      </w:r>
      <w:r w:rsidRPr="00391F0F" w:rsidR="00676BB6">
        <w:rPr>
          <w:i/>
          <w:iCs/>
        </w:rPr>
        <w:t xml:space="preserve">bis </w:t>
      </w:r>
      <w:r w:rsidRPr="00391F0F" w:rsidR="00676BB6">
        <w:t xml:space="preserve">of </w:t>
      </w:r>
      <w:r w:rsidR="002215F3">
        <w:t>the Act w</w:t>
      </w:r>
      <w:r w:rsidRPr="00391F0F" w:rsidR="00676BB6">
        <w:t>ould be placed under a</w:t>
      </w:r>
      <w:r w:rsidR="002215F3">
        <w:t xml:space="preserve"> special </w:t>
      </w:r>
      <w:r w:rsidRPr="00391F0F" w:rsidR="00676BB6">
        <w:t>prison regime.</w:t>
      </w:r>
    </w:p>
    <w:p w:rsidRPr="00391F0F" w:rsidR="00676BB6" w:rsidP="00676BB6" w:rsidRDefault="00676BB6">
      <w:pPr>
        <w:pStyle w:val="JuPara"/>
        <w:rPr>
          <w:noProof/>
        </w:rPr>
      </w:pPr>
      <w:r>
        <w:rPr>
          <w:noProof/>
        </w:rPr>
        <w:fldChar w:fldCharType="begin"/>
      </w:r>
      <w:r w:rsidRPr="00391F0F">
        <w:rPr>
          <w:noProof/>
        </w:rPr>
        <w:instrText xml:space="preserve"> SEQ level0 \*arabic </w:instrText>
      </w:r>
      <w:r>
        <w:rPr>
          <w:noProof/>
        </w:rPr>
        <w:fldChar w:fldCharType="separate"/>
      </w:r>
      <w:r w:rsidR="00D13761">
        <w:rPr>
          <w:noProof/>
        </w:rPr>
        <w:t>21</w:t>
      </w:r>
      <w:r>
        <w:rPr>
          <w:noProof/>
        </w:rPr>
        <w:fldChar w:fldCharType="end"/>
      </w:r>
      <w:r w:rsidRPr="00391F0F">
        <w:t>.  The applicant, for his part, disputed the Government</w:t>
      </w:r>
      <w:r w:rsidR="00E821E3">
        <w:t>'</w:t>
      </w:r>
      <w:r w:rsidRPr="00391F0F">
        <w:t xml:space="preserve">s </w:t>
      </w:r>
      <w:r w:rsidR="002215F3">
        <w:t>contention</w:t>
      </w:r>
      <w:r w:rsidRPr="00391F0F">
        <w:t>.</w:t>
      </w:r>
      <w:r w:rsidRPr="00391F0F">
        <w:rPr>
          <w:noProof/>
        </w:rPr>
        <w:t xml:space="preserve"> </w:t>
      </w:r>
      <w:r w:rsidRPr="00391F0F">
        <w:t xml:space="preserve">In his submission, either the court </w:t>
      </w:r>
      <w:r w:rsidR="002215F3">
        <w:t>responsible for the execution of sentences was</w:t>
      </w:r>
      <w:r w:rsidRPr="00391F0F">
        <w:t xml:space="preserve"> not a court – in which case there had been a wholesa</w:t>
      </w:r>
      <w:r w:rsidR="002215F3">
        <w:t>le breach of all human rights –</w:t>
      </w:r>
      <w:r w:rsidRPr="00391F0F">
        <w:t xml:space="preserve"> or it was bound to comply with the obligations imposed by </w:t>
      </w:r>
      <w:r w:rsidR="002215F3">
        <w:t>statute</w:t>
      </w:r>
      <w:r w:rsidRPr="00391F0F">
        <w:t xml:space="preserve"> and the conventions and, above all, to comply with Article 6 of the Convention.</w:t>
      </w:r>
    </w:p>
    <w:p w:rsidR="00676BB6"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22</w:t>
      </w:r>
      <w:r>
        <w:rPr>
          <w:noProof/>
        </w:rPr>
        <w:fldChar w:fldCharType="end"/>
      </w:r>
      <w:r w:rsidRPr="00391F0F">
        <w:t>.  </w:t>
      </w:r>
      <w:r>
        <w:t xml:space="preserve">The Court </w:t>
      </w:r>
      <w:r w:rsidR="002215F3">
        <w:t xml:space="preserve">agrees with the </w:t>
      </w:r>
      <w:r>
        <w:t>Government</w:t>
      </w:r>
      <w:r w:rsidR="002215F3">
        <w:t xml:space="preserve"> t</w:t>
      </w:r>
      <w:r>
        <w:t xml:space="preserve">hat the criminal head of Article 6 </w:t>
      </w:r>
      <w:r w:rsidR="00D13761">
        <w:t>is</w:t>
      </w:r>
      <w:r>
        <w:t xml:space="preserve"> inapplicable in the instant case: the proceedings in issue did not </w:t>
      </w:r>
      <w:r w:rsidR="002215F3">
        <w:t>involve the determination of</w:t>
      </w:r>
      <w:r>
        <w:t xml:space="preserve"> a criminal charge against the applicant.</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23</w:t>
      </w:r>
      <w:r>
        <w:fldChar w:fldCharType="end"/>
      </w:r>
      <w:r w:rsidRPr="00391F0F">
        <w:t>.  </w:t>
      </w:r>
      <w:r>
        <w:t>However, the Court must consider whether the civil head</w:t>
      </w:r>
      <w:r w:rsidR="00CF504F">
        <w:t xml:space="preserve"> of Article 6</w:t>
      </w:r>
      <w:r>
        <w:t xml:space="preserve"> </w:t>
      </w:r>
      <w:r w:rsidR="00CF504F">
        <w:t>is applicable</w:t>
      </w:r>
      <w:r w:rsidR="00D13761">
        <w:t>,</w:t>
      </w:r>
      <w:r>
        <w:t xml:space="preserve"> since the case di</w:t>
      </w:r>
      <w:r w:rsidR="00CF504F">
        <w:t xml:space="preserve">d concern the “determination of </w:t>
      </w:r>
      <w:r>
        <w:t>civil rights and obligations”.</w:t>
      </w:r>
    </w:p>
    <w:p w:rsidR="00676BB6" w:rsidP="00676BB6" w:rsidRDefault="00676BB6">
      <w:pPr>
        <w:pStyle w:val="JuPara"/>
      </w:pPr>
      <w:r>
        <w:t>The Court notes that</w:t>
      </w:r>
      <w:r w:rsidR="00CF504F">
        <w:t>, in appealing, the applicant was contesting</w:t>
      </w:r>
      <w:r>
        <w:t xml:space="preserve"> the lawfulness of restrictions </w:t>
      </w:r>
      <w:r w:rsidR="00CF504F">
        <w:t xml:space="preserve">imposed </w:t>
      </w:r>
      <w:r>
        <w:t xml:space="preserve">on a series of rights commonly recognised to prisoners. The issue of the applicability of Article 6 § 1 therefore arises under two heads: </w:t>
      </w:r>
      <w:r w:rsidR="0085624F">
        <w:t>whether there was a</w:t>
      </w:r>
      <w:r w:rsidR="000C02C8">
        <w:t xml:space="preserve"> dispute</w:t>
      </w:r>
      <w:r w:rsidRPr="00810A3E" w:rsidR="00810A3E">
        <w:rPr>
          <w:i/>
        </w:rPr>
        <w:t xml:space="preserve"> </w:t>
      </w:r>
      <w:r w:rsidRPr="00810A3E" w:rsidR="00810A3E">
        <w:t>(</w:t>
      </w:r>
      <w:r w:rsidR="00CE0340">
        <w:t>“</w:t>
      </w:r>
      <w:r w:rsidRPr="00CF504F" w:rsidR="00810A3E">
        <w:rPr>
          <w:i/>
        </w:rPr>
        <w:t>contestation</w:t>
      </w:r>
      <w:r w:rsidR="00CE0340">
        <w:t>”</w:t>
      </w:r>
      <w:r w:rsidR="00CF504F">
        <w:t>)</w:t>
      </w:r>
      <w:r>
        <w:t xml:space="preserve"> </w:t>
      </w:r>
      <w:r w:rsidR="000C02C8">
        <w:t>over</w:t>
      </w:r>
      <w:r>
        <w:t xml:space="preserve"> an arguable right under domestic law</w:t>
      </w:r>
      <w:r w:rsidR="00D13761">
        <w:t>,</w:t>
      </w:r>
      <w:r>
        <w:t xml:space="preserve"> and </w:t>
      </w:r>
      <w:r w:rsidR="0085624F">
        <w:t>whether</w:t>
      </w:r>
      <w:r w:rsidRPr="0085624F" w:rsidR="0085624F">
        <w:t xml:space="preserve"> </w:t>
      </w:r>
      <w:r w:rsidR="0073436D">
        <w:t xml:space="preserve">or not </w:t>
      </w:r>
      <w:r w:rsidR="0085624F">
        <w:t>the said right was</w:t>
      </w:r>
      <w:r>
        <w:t xml:space="preserve"> </w:t>
      </w:r>
      <w:r w:rsidR="0073436D">
        <w:t xml:space="preserve">a </w:t>
      </w:r>
      <w:r w:rsidR="00CF504F">
        <w:t>“</w:t>
      </w:r>
      <w:r>
        <w:t>civil</w:t>
      </w:r>
      <w:r w:rsidR="00CF504F">
        <w:t>”</w:t>
      </w:r>
      <w:r w:rsidR="0073436D">
        <w:t xml:space="preserve"> one</w:t>
      </w:r>
      <w:r>
        <w:t>.</w:t>
      </w:r>
    </w:p>
    <w:p w:rsidRPr="00391F0F" w:rsidR="00676BB6" w:rsidP="00676BB6" w:rsidRDefault="00676BB6">
      <w:pPr>
        <w:pStyle w:val="JuPara"/>
      </w:pPr>
      <w:r>
        <w:fldChar w:fldCharType="begin"/>
      </w:r>
      <w:r w:rsidRPr="00391F0F">
        <w:instrText xml:space="preserve"> SEQ level0 \*arabic </w:instrText>
      </w:r>
      <w:r>
        <w:fldChar w:fldCharType="separate"/>
      </w:r>
      <w:r w:rsidR="00D13761">
        <w:rPr>
          <w:noProof/>
        </w:rPr>
        <w:t>24</w:t>
      </w:r>
      <w:r>
        <w:fldChar w:fldCharType="end"/>
      </w:r>
      <w:r w:rsidRPr="00391F0F">
        <w:t xml:space="preserve">.  As to the first condition, the Court reiterates that, in accordance with its established case-law, Article 6 § 1 of the Convention is applicable only if there is a genuine and serious “dispute” (see </w:t>
      </w:r>
      <w:r w:rsidRPr="00391F0F">
        <w:rPr>
          <w:i/>
          <w:iCs/>
        </w:rPr>
        <w:t>Sporrong and Lönnroth v. Sweden</w:t>
      </w:r>
      <w:r w:rsidRPr="00391F0F">
        <w:t>, judgment of 23 Sept</w:t>
      </w:r>
      <w:r w:rsidR="00725408">
        <w:t xml:space="preserve">ember 1982, Series A no. </w:t>
      </w:r>
      <w:r w:rsidRPr="00391F0F">
        <w:t xml:space="preserve">52, p. 30, § 81) over “civil rights and obligations”. The dispute may relate not only to the existence of a right but also to its scope and the manner of its exercise (see, </w:t>
      </w:r>
      <w:r w:rsidRPr="00391F0F">
        <w:rPr>
          <w:i/>
          <w:iCs/>
        </w:rPr>
        <w:t>inter alia</w:t>
      </w:r>
      <w:r w:rsidRPr="00391F0F">
        <w:t xml:space="preserve">, </w:t>
      </w:r>
      <w:r w:rsidRPr="00391F0F">
        <w:rPr>
          <w:i/>
          <w:iCs/>
        </w:rPr>
        <w:t>Zander v.</w:t>
      </w:r>
      <w:r w:rsidR="00CE0340">
        <w:rPr>
          <w:i/>
          <w:iCs/>
        </w:rPr>
        <w:t xml:space="preserve"> </w:t>
      </w:r>
      <w:r w:rsidRPr="00391F0F">
        <w:rPr>
          <w:i/>
          <w:iCs/>
        </w:rPr>
        <w:t>Sweden</w:t>
      </w:r>
      <w:r w:rsidR="00CE0340">
        <w:t xml:space="preserve">, judgment of 25 </w:t>
      </w:r>
      <w:r w:rsidRPr="00391F0F">
        <w:t>November 1993, Series</w:t>
      </w:r>
      <w:r w:rsidR="00CE0340">
        <w:t xml:space="preserve"> </w:t>
      </w:r>
      <w:r w:rsidRPr="00391F0F">
        <w:t>A no. </w:t>
      </w:r>
      <w:r w:rsidR="00CE0340">
        <w:t>279</w:t>
      </w:r>
      <w:r w:rsidR="00CE0340">
        <w:noBreakHyphen/>
        <w:t xml:space="preserve">B, p. </w:t>
      </w:r>
      <w:r w:rsidRPr="00391F0F">
        <w:t>38, §</w:t>
      </w:r>
      <w:r w:rsidR="00CE0340">
        <w:t xml:space="preserve"> </w:t>
      </w:r>
      <w:r w:rsidRPr="00391F0F">
        <w:t xml:space="preserve">22), and the outcome of the proceedings must be directly decisive for the right in question, mere tenuous connections or remote consequences not being sufficient to bring Article 6 § 1 into play (see, </w:t>
      </w:r>
      <w:r w:rsidR="00CE0340">
        <w:rPr>
          <w:i/>
          <w:iCs/>
        </w:rPr>
        <w:t>inter alia</w:t>
      </w:r>
      <w:r w:rsidR="00CE0340">
        <w:rPr>
          <w:iCs/>
        </w:rPr>
        <w:t>,</w:t>
      </w:r>
      <w:r w:rsidRPr="00391F0F">
        <w:t xml:space="preserve"> </w:t>
      </w:r>
      <w:r w:rsidRPr="00391F0F">
        <w:rPr>
          <w:i/>
          <w:iCs/>
        </w:rPr>
        <w:t>Masson and Van Zon v</w:t>
      </w:r>
      <w:r w:rsidR="00CE0340">
        <w:rPr>
          <w:i/>
          <w:iCs/>
        </w:rPr>
        <w:t xml:space="preserve">. </w:t>
      </w:r>
      <w:r w:rsidRPr="00391F0F">
        <w:rPr>
          <w:i/>
          <w:iCs/>
        </w:rPr>
        <w:t>the Netherlands</w:t>
      </w:r>
      <w:r w:rsidR="00CE0340">
        <w:t xml:space="preserve">, judgment of 28 </w:t>
      </w:r>
      <w:r w:rsidRPr="00391F0F">
        <w:t>Septemb</w:t>
      </w:r>
      <w:r w:rsidR="00CE0340">
        <w:t>er 1995, Series A no. 327</w:t>
      </w:r>
      <w:r w:rsidR="00CE0340">
        <w:noBreakHyphen/>
        <w:t>A, p. 17,</w:t>
      </w:r>
      <w:r w:rsidRPr="00391F0F">
        <w:t xml:space="preserve"> § 44, and </w:t>
      </w:r>
      <w:r w:rsidR="00CE0340">
        <w:rPr>
          <w:i/>
          <w:iCs/>
        </w:rPr>
        <w:t xml:space="preserve">Fayed v. </w:t>
      </w:r>
      <w:r w:rsidRPr="00391F0F">
        <w:rPr>
          <w:i/>
          <w:iCs/>
        </w:rPr>
        <w:t>the United Kingdom</w:t>
      </w:r>
      <w:r w:rsidRPr="00391F0F">
        <w:t>, judgme</w:t>
      </w:r>
      <w:r w:rsidR="00CE0340">
        <w:t xml:space="preserve">nt of 21 September 1994, Series </w:t>
      </w:r>
      <w:r w:rsidRPr="00391F0F">
        <w:t>A no.</w:t>
      </w:r>
      <w:r w:rsidR="00CE0340">
        <w:t xml:space="preserve"> </w:t>
      </w:r>
      <w:r w:rsidRPr="00391F0F">
        <w:t>294</w:t>
      </w:r>
      <w:r w:rsidRPr="00391F0F">
        <w:noBreakHyphen/>
        <w:t xml:space="preserve">B, pp. 45-46, § 56). </w:t>
      </w:r>
      <w:r w:rsidR="009954EE">
        <w:t xml:space="preserve">Furthermore, </w:t>
      </w:r>
      <w:r w:rsidR="000C02C8">
        <w:t>“</w:t>
      </w:r>
      <w:r w:rsidR="00CE0340">
        <w:t xml:space="preserve">Article 6 § 1 extends to </w:t>
      </w:r>
      <w:r w:rsidR="00E821E3">
        <w:t>'</w:t>
      </w:r>
      <w:r w:rsidRPr="000C02C8" w:rsidR="009954EE">
        <w:rPr>
          <w:i/>
        </w:rPr>
        <w:t>contestations</w:t>
      </w:r>
      <w:r w:rsidR="00E821E3">
        <w:t>'</w:t>
      </w:r>
      <w:r w:rsidR="009954EE">
        <w:t xml:space="preserve"> (disputes) over </w:t>
      </w:r>
      <w:r w:rsidR="000C02C8">
        <w:t>(</w:t>
      </w:r>
      <w:r w:rsidR="009954EE">
        <w:t>civil</w:t>
      </w:r>
      <w:r w:rsidR="000C02C8">
        <w:t>)</w:t>
      </w:r>
      <w:r w:rsidR="00CE0340">
        <w:t xml:space="preserve"> </w:t>
      </w:r>
      <w:r w:rsidR="00E821E3">
        <w:t>'</w:t>
      </w:r>
      <w:r w:rsidRPr="00391F0F">
        <w:t>rights</w:t>
      </w:r>
      <w:r w:rsidR="00E821E3">
        <w:t>'</w:t>
      </w:r>
      <w:r w:rsidRPr="00391F0F">
        <w:t xml:space="preserve"> which can be said, at least on arguable grounds, to be recognised under domestic law, irrespective of whether they are also protected under the Convention</w:t>
      </w:r>
      <w:r w:rsidR="000C02C8">
        <w:t>”</w:t>
      </w:r>
      <w:r w:rsidRPr="00391F0F">
        <w:t xml:space="preserve"> (see, </w:t>
      </w:r>
      <w:r w:rsidRPr="00391F0F">
        <w:rPr>
          <w:i/>
          <w:iCs/>
        </w:rPr>
        <w:t>inter alia</w:t>
      </w:r>
      <w:r w:rsidR="00CE0340">
        <w:t>,</w:t>
      </w:r>
      <w:r w:rsidRPr="00391F0F">
        <w:t xml:space="preserve"> </w:t>
      </w:r>
      <w:r w:rsidRPr="00391F0F">
        <w:rPr>
          <w:i/>
          <w:iCs/>
        </w:rPr>
        <w:t>Editions Périscope v. France</w:t>
      </w:r>
      <w:r w:rsidR="00CE0340">
        <w:rPr>
          <w:iCs/>
        </w:rPr>
        <w:t>,</w:t>
      </w:r>
      <w:r w:rsidRPr="00391F0F">
        <w:t xml:space="preserve"> judgment of 26 March 1992, Ser</w:t>
      </w:r>
      <w:r w:rsidR="00CE0340">
        <w:t xml:space="preserve">ies A no. 234-B, p. 64, § </w:t>
      </w:r>
      <w:r w:rsidRPr="00391F0F">
        <w:t xml:space="preserve">35, and </w:t>
      </w:r>
      <w:r w:rsidRPr="00391F0F">
        <w:rPr>
          <w:i/>
          <w:iCs/>
        </w:rPr>
        <w:t>Zander</w:t>
      </w:r>
      <w:r w:rsidRPr="00391F0F">
        <w:t>, cited above).</w:t>
      </w:r>
    </w:p>
    <w:p w:rsidRPr="00391F0F" w:rsidR="00676BB6" w:rsidP="00676BB6" w:rsidRDefault="00676BB6">
      <w:pPr>
        <w:pStyle w:val="JuPara"/>
      </w:pPr>
      <w:r w:rsidRPr="00391F0F">
        <w:t xml:space="preserve">The Court notes that, </w:t>
      </w:r>
      <w:r w:rsidR="009954EE">
        <w:t>when</w:t>
      </w:r>
      <w:r w:rsidRPr="00391F0F">
        <w:t xml:space="preserve"> examining the appeals against </w:t>
      </w:r>
      <w:r w:rsidR="00C42875">
        <w:t>decree</w:t>
      </w:r>
      <w:r w:rsidR="00CE0340">
        <w:t xml:space="preserve">s nos. </w:t>
      </w:r>
      <w:r w:rsidRPr="00391F0F">
        <w:t>2 and 8 (see paragraph 13 above), the courts allowed the applicant</w:t>
      </w:r>
      <w:r w:rsidR="00E821E3">
        <w:t>'</w:t>
      </w:r>
      <w:r w:rsidRPr="00391F0F">
        <w:t xml:space="preserve">s </w:t>
      </w:r>
      <w:r w:rsidR="009954EE">
        <w:t>requests</w:t>
      </w:r>
      <w:r w:rsidR="00CE0340">
        <w:t xml:space="preserve"> in part. In its judgment no. </w:t>
      </w:r>
      <w:r w:rsidRPr="00391F0F">
        <w:t xml:space="preserve">26 of 1999 (see paragraph 18 above), the </w:t>
      </w:r>
      <w:smartTag w:uri="urn:schemas-microsoft-com:office:smarttags" w:element="Street">
        <w:smartTag w:uri="urn:schemas-microsoft-com:office:smarttags" w:element="address">
          <w:r w:rsidRPr="00391F0F">
            <w:t>Constitutional Court</w:t>
          </w:r>
        </w:smartTag>
      </w:smartTag>
      <w:r w:rsidRPr="00391F0F">
        <w:t xml:space="preserve"> ruled on the need to ensure judicial protection against the restrictions imposed on prisoners.</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25</w:t>
      </w:r>
      <w:r>
        <w:fldChar w:fldCharType="end"/>
      </w:r>
      <w:r w:rsidRPr="00391F0F">
        <w:t>.  </w:t>
      </w:r>
      <w:r>
        <w:t xml:space="preserve">With regard to the second condition, the Court notes that at least some of the serious restrictions </w:t>
      </w:r>
      <w:r w:rsidR="00D13761">
        <w:t>imposed on the applicant</w:t>
      </w:r>
      <w:r>
        <w:t xml:space="preserve"> by the </w:t>
      </w:r>
      <w:r w:rsidR="00C42875">
        <w:t>decree</w:t>
      </w:r>
      <w:r>
        <w:t xml:space="preserve">s of the </w:t>
      </w:r>
      <w:r w:rsidR="00F6080F">
        <w:t>Minister of Justice</w:t>
      </w:r>
      <w:r>
        <w:t xml:space="preserve"> – such as the one restricting his contact with his family and th</w:t>
      </w:r>
      <w:r w:rsidR="00CE0340">
        <w:t>ose</w:t>
      </w:r>
      <w:r w:rsidR="0073436D">
        <w:t xml:space="preserve"> </w:t>
      </w:r>
      <w:r w:rsidRPr="00CC2359" w:rsidR="0073436D">
        <w:t>affecting</w:t>
      </w:r>
      <w:r w:rsidRPr="00CC2359">
        <w:t xml:space="preserve"> his </w:t>
      </w:r>
      <w:r w:rsidR="007E0A1C">
        <w:t>pecuniary rights</w:t>
      </w:r>
      <w:r>
        <w:t xml:space="preserve"> – </w:t>
      </w:r>
      <w:r w:rsidR="00F57FBC">
        <w:t>clearly</w:t>
      </w:r>
      <w:r>
        <w:t xml:space="preserve"> fell within the sphere of personal rights and were therefore civil in nature.</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26</w:t>
      </w:r>
      <w:r>
        <w:fldChar w:fldCharType="end"/>
      </w:r>
      <w:r w:rsidRPr="00391F0F">
        <w:t>.  </w:t>
      </w:r>
      <w:r>
        <w:t xml:space="preserve">Consequently, </w:t>
      </w:r>
      <w:r w:rsidR="00725408">
        <w:t xml:space="preserve">the Court observes that Article </w:t>
      </w:r>
      <w:r>
        <w:t>6 is applicable in the instant case.</w:t>
      </w:r>
    </w:p>
    <w:p w:rsidRPr="00391F0F" w:rsidR="00676BB6" w:rsidP="00676BB6" w:rsidRDefault="00676BB6">
      <w:pPr>
        <w:pStyle w:val="JuHA"/>
        <w:rPr>
          <w:noProof/>
        </w:rPr>
      </w:pPr>
      <w:r w:rsidRPr="00391F0F">
        <w:t>B.  Compliance with Article 6</w:t>
      </w:r>
    </w:p>
    <w:p w:rsidR="00D13761"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27</w:t>
      </w:r>
      <w:r>
        <w:rPr>
          <w:noProof/>
        </w:rPr>
        <w:fldChar w:fldCharType="end"/>
      </w:r>
      <w:r w:rsidRPr="00391F0F">
        <w:t>.  The applicant submitted that a prisoner should be entitled to effective and not merely formal judicial protection. Consequently</w:t>
      </w:r>
      <w:r w:rsidR="00CE0340">
        <w:t>,</w:t>
      </w:r>
      <w:r w:rsidRPr="00391F0F">
        <w:t xml:space="preserve"> the court </w:t>
      </w:r>
      <w:r w:rsidR="009954EE">
        <w:t xml:space="preserve">responsible for the execution of sentences </w:t>
      </w:r>
      <w:r w:rsidRPr="00391F0F">
        <w:t xml:space="preserve">and the Court of Cassation – </w:t>
      </w:r>
      <w:r w:rsidR="0073436D">
        <w:t>to</w:t>
      </w:r>
      <w:r w:rsidRPr="00391F0F">
        <w:t xml:space="preserve"> which a prisoner </w:t>
      </w:r>
      <w:r w:rsidR="009954EE">
        <w:t>could</w:t>
      </w:r>
      <w:r w:rsidRPr="00391F0F">
        <w:t xml:space="preserve"> </w:t>
      </w:r>
      <w:r w:rsidR="0073436D">
        <w:t>appeal against</w:t>
      </w:r>
      <w:r w:rsidRPr="00391F0F">
        <w:t xml:space="preserve"> the decision of the first court – </w:t>
      </w:r>
      <w:r w:rsidR="009954EE">
        <w:t>had to</w:t>
      </w:r>
      <w:r w:rsidRPr="00391F0F">
        <w:t xml:space="preserve"> give a ruling during the period of validity of the </w:t>
      </w:r>
      <w:r w:rsidR="00C42875">
        <w:t>decree</w:t>
      </w:r>
      <w:r w:rsidRPr="00391F0F">
        <w:t xml:space="preserve"> in questio</w:t>
      </w:r>
      <w:r w:rsidR="009954EE">
        <w:t>n. A prisoner, for his part, had</w:t>
      </w:r>
      <w:r w:rsidRPr="00391F0F">
        <w:t xml:space="preserve"> only ten days in which to apply to </w:t>
      </w:r>
      <w:r w:rsidR="0073436D">
        <w:t>each court</w:t>
      </w:r>
      <w:r w:rsidRPr="00391F0F">
        <w:t>.</w:t>
      </w:r>
    </w:p>
    <w:p w:rsidR="00676BB6"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28</w:t>
      </w:r>
      <w:r>
        <w:rPr>
          <w:noProof/>
        </w:rPr>
        <w:fldChar w:fldCharType="end"/>
      </w:r>
      <w:r w:rsidRPr="00391F0F">
        <w:t>.  </w:t>
      </w:r>
      <w:r>
        <w:t>For their</w:t>
      </w:r>
      <w:r w:rsidR="009954EE">
        <w:t xml:space="preserve"> part, the Government </w:t>
      </w:r>
      <w:r w:rsidR="0073436D">
        <w:t xml:space="preserve">pointed out </w:t>
      </w:r>
      <w:r>
        <w:t>that</w:t>
      </w:r>
      <w:r w:rsidR="0073436D">
        <w:t>,</w:t>
      </w:r>
      <w:r>
        <w:t xml:space="preserve"> when ruling in respect of a similar complaint under Article 13 of the Convention, the Court </w:t>
      </w:r>
      <w:r w:rsidR="009954EE">
        <w:t xml:space="preserve">had </w:t>
      </w:r>
      <w:r>
        <w:t xml:space="preserve">held that merely exceeding a statutory time-limit did not amount to an infringement of the right relied on (see </w:t>
      </w:r>
      <w:r>
        <w:rPr>
          <w:i/>
          <w:iCs/>
        </w:rPr>
        <w:t>Messina (n</w:t>
      </w:r>
      <w:r w:rsidR="00725408">
        <w:rPr>
          <w:i/>
          <w:iCs/>
        </w:rPr>
        <w:t xml:space="preserve">o. </w:t>
      </w:r>
      <w:r>
        <w:rPr>
          <w:i/>
          <w:iCs/>
        </w:rPr>
        <w:t>2)</w:t>
      </w:r>
      <w:r w:rsidR="009954EE">
        <w:t>, cited above,</w:t>
      </w:r>
      <w:r w:rsidR="00CE0340">
        <w:t xml:space="preserve"> § </w:t>
      </w:r>
      <w:r>
        <w:t xml:space="preserve">94). With regard to the progress of the proceedings, the Government submitted a series of comments to the Court concerning, </w:t>
      </w:r>
      <w:r w:rsidR="00D13761">
        <w:t>as</w:t>
      </w:r>
      <w:r>
        <w:t xml:space="preserve"> the case</w:t>
      </w:r>
      <w:r w:rsidR="00D13761">
        <w:t xml:space="preserve"> may be</w:t>
      </w:r>
      <w:r>
        <w:t>, the insufficient number of judges at the relevant court or the fact that certain posts were vacant. They also stressed the increase in the number of proceedings brought before the relevant court (</w:t>
      </w:r>
      <w:r w:rsidR="00C42875">
        <w:t>decree</w:t>
      </w:r>
      <w:r w:rsidR="00725408">
        <w:t xml:space="preserve"> no. </w:t>
      </w:r>
      <w:r>
        <w:t>9).</w:t>
      </w:r>
    </w:p>
    <w:p w:rsidR="00676BB6" w:rsidP="00676BB6" w:rsidRDefault="00676BB6">
      <w:pPr>
        <w:pStyle w:val="JuPara"/>
      </w:pPr>
      <w:r>
        <w:rPr>
          <w:noProof/>
        </w:rPr>
        <w:fldChar w:fldCharType="begin"/>
      </w:r>
      <w:r w:rsidRPr="00391F0F">
        <w:rPr>
          <w:noProof/>
        </w:rPr>
        <w:instrText xml:space="preserve"> SEQ level0 \*arabic </w:instrText>
      </w:r>
      <w:r>
        <w:rPr>
          <w:noProof/>
        </w:rPr>
        <w:fldChar w:fldCharType="separate"/>
      </w:r>
      <w:r w:rsidR="00D13761">
        <w:rPr>
          <w:noProof/>
        </w:rPr>
        <w:t>29</w:t>
      </w:r>
      <w:r>
        <w:rPr>
          <w:noProof/>
        </w:rPr>
        <w:fldChar w:fldCharType="end"/>
      </w:r>
      <w:r w:rsidRPr="00391F0F">
        <w:t>.  </w:t>
      </w:r>
      <w:r>
        <w:t>The Court observes that an appeal without suspensive effect</w:t>
      </w:r>
      <w:r w:rsidRPr="0073436D" w:rsidR="0073436D">
        <w:t xml:space="preserve"> </w:t>
      </w:r>
      <w:r w:rsidR="0073436D">
        <w:t>lies</w:t>
      </w:r>
      <w:r>
        <w:t xml:space="preserve"> to the court responsible for the execution of sentences against decrees of the </w:t>
      </w:r>
      <w:r w:rsidR="00F6080F">
        <w:t>Minister of Justice</w:t>
      </w:r>
      <w:r>
        <w:t xml:space="preserve"> imposing the special regime. </w:t>
      </w:r>
      <w:r w:rsidR="0073436D">
        <w:t>The</w:t>
      </w:r>
      <w:r>
        <w:t xml:space="preserve"> appeal must be lodged within ten days from the date on which the prisoner </w:t>
      </w:r>
      <w:r w:rsidR="0073436D">
        <w:t>is served with</w:t>
      </w:r>
      <w:r>
        <w:t xml:space="preserve"> the decree. In turn, the court must </w:t>
      </w:r>
      <w:r w:rsidR="00D13761">
        <w:t>m</w:t>
      </w:r>
      <w:r>
        <w:t>ake a decision within ten days.</w:t>
      </w:r>
    </w:p>
    <w:p w:rsidR="00676BB6" w:rsidP="00676BB6" w:rsidRDefault="000C02C8">
      <w:pPr>
        <w:pStyle w:val="JuPara"/>
      </w:pPr>
      <w:r>
        <w:t>In the instant case, according to</w:t>
      </w:r>
      <w:r w:rsidR="00676BB6">
        <w:t xml:space="preserve"> the information available to the Court</w:t>
      </w:r>
      <w:r>
        <w:t>,</w:t>
      </w:r>
      <w:r w:rsidR="00676BB6">
        <w:t xml:space="preserve"> the applicant was the subject of at least nine </w:t>
      </w:r>
      <w:r w:rsidR="00C42875">
        <w:t>decree</w:t>
      </w:r>
      <w:r w:rsidR="009954EE">
        <w:t>s</w:t>
      </w:r>
      <w:r w:rsidR="00676BB6">
        <w:t xml:space="preserve"> imposing the special regime and </w:t>
      </w:r>
      <w:r w:rsidR="009954EE">
        <w:t>appealed against</w:t>
      </w:r>
      <w:r w:rsidR="00676BB6">
        <w:t xml:space="preserve"> eight of them. In four cases no decision was given during the </w:t>
      </w:r>
      <w:r>
        <w:t>period</w:t>
      </w:r>
      <w:r w:rsidR="00676BB6">
        <w:t xml:space="preserve"> of validi</w:t>
      </w:r>
      <w:r w:rsidR="00CE0340">
        <w:t>ty of the decrees (decrees nos. 4, 6, 7 and 9 – see paragraph 13</w:t>
      </w:r>
      <w:r w:rsidR="00676BB6">
        <w:t xml:space="preserve"> </w:t>
      </w:r>
      <w:r w:rsidR="00CE0340">
        <w:t>above</w:t>
      </w:r>
      <w:r w:rsidR="00676BB6">
        <w:t xml:space="preserve">) and, consequently, the appeals were declared inadmissible because the applicant </w:t>
      </w:r>
      <w:r w:rsidR="004255BA">
        <w:t xml:space="preserve">no longer </w:t>
      </w:r>
      <w:r w:rsidR="00676BB6">
        <w:t>had any interest in having them heard.</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30</w:t>
      </w:r>
      <w:r>
        <w:fldChar w:fldCharType="end"/>
      </w:r>
      <w:r w:rsidRPr="00391F0F">
        <w:t>.  </w:t>
      </w:r>
      <w:r>
        <w:t xml:space="preserve">Accordingly, the Court must </w:t>
      </w:r>
      <w:r w:rsidR="004255BA">
        <w:t>determine</w:t>
      </w:r>
      <w:r>
        <w:t xml:space="preserve"> whether, in examining the applicant</w:t>
      </w:r>
      <w:r w:rsidR="00E821E3">
        <w:t>'</w:t>
      </w:r>
      <w:r>
        <w:t>s four appeals, the court respected his right to a court.</w:t>
      </w:r>
    </w:p>
    <w:p w:rsidR="00676BB6" w:rsidP="00676BB6" w:rsidRDefault="00676BB6">
      <w:pPr>
        <w:pStyle w:val="JuPara"/>
      </w:pPr>
      <w:r>
        <w:t xml:space="preserve">As the Government </w:t>
      </w:r>
      <w:r w:rsidR="009954EE">
        <w:t>pointed out</w:t>
      </w:r>
      <w:r>
        <w:t xml:space="preserve"> (see paragraph 28 above), the Court has acknowledged that the mere fact of exceeding a statutory time-limit does not amount to an infringement of a guaranteed right. However, in the same judgment it also held that </w:t>
      </w:r>
      <w:r w:rsidR="004255BA">
        <w:t>“</w:t>
      </w:r>
      <w:r>
        <w:t>the time taken to hear an appeal [might] cast doubt on its effectiveness</w:t>
      </w:r>
      <w:r w:rsidR="004255BA">
        <w:t>”</w:t>
      </w:r>
      <w:r>
        <w:t xml:space="preserve"> (ibid.).</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31</w:t>
      </w:r>
      <w:r>
        <w:fldChar w:fldCharType="end"/>
      </w:r>
      <w:r w:rsidRPr="00391F0F">
        <w:t>.  </w:t>
      </w:r>
      <w:r>
        <w:t>The Court notes at the outset that the</w:t>
      </w:r>
      <w:r w:rsidR="007E0A1C">
        <w:t>re is an essential feature in the</w:t>
      </w:r>
      <w:r>
        <w:t xml:space="preserve"> instant case </w:t>
      </w:r>
      <w:r w:rsidR="007E0A1C">
        <w:t>distinguishing</w:t>
      </w:r>
      <w:r>
        <w:t xml:space="preserve"> it from </w:t>
      </w:r>
      <w:smartTag w:uri="urn:schemas-microsoft-com:office:smarttags" w:element="City">
        <w:smartTag w:uri="urn:schemas-microsoft-com:office:smarttags" w:element="place">
          <w:r w:rsidR="009954EE">
            <w:rPr>
              <w:i/>
              <w:iCs/>
            </w:rPr>
            <w:t>Messina</w:t>
          </w:r>
        </w:smartTag>
      </w:smartTag>
      <w:r w:rsidR="00CE0340">
        <w:rPr>
          <w:i/>
          <w:iCs/>
        </w:rPr>
        <w:t xml:space="preserve"> (no.</w:t>
      </w:r>
      <w:r w:rsidR="00D13761">
        <w:rPr>
          <w:i/>
          <w:iCs/>
        </w:rPr>
        <w:t xml:space="preserve"> </w:t>
      </w:r>
      <w:r w:rsidR="00CE0340">
        <w:rPr>
          <w:i/>
          <w:iCs/>
        </w:rPr>
        <w:t>2)</w:t>
      </w:r>
      <w:r w:rsidR="00D13761">
        <w:rPr>
          <w:iCs/>
        </w:rPr>
        <w:t>,</w:t>
      </w:r>
      <w:r w:rsidR="00D13761">
        <w:rPr>
          <w:i/>
          <w:iCs/>
        </w:rPr>
        <w:t xml:space="preserve"> </w:t>
      </w:r>
      <w:r w:rsidR="00D13761">
        <w:rPr>
          <w:iCs/>
        </w:rPr>
        <w:t>cited above</w:t>
      </w:r>
      <w:r>
        <w:t>. In the present case the courts never ruled on the merits of the applicant</w:t>
      </w:r>
      <w:r w:rsidR="00E821E3">
        <w:t>'</w:t>
      </w:r>
      <w:r>
        <w:t>s four appeals</w:t>
      </w:r>
      <w:r w:rsidR="009954EE">
        <w:t>,</w:t>
      </w:r>
      <w:r>
        <w:t xml:space="preserve"> whereas in the case of Mr Messina they </w:t>
      </w:r>
      <w:r w:rsidR="009954EE">
        <w:t>did</w:t>
      </w:r>
      <w:r>
        <w:t xml:space="preserve"> so out of time.</w:t>
      </w:r>
    </w:p>
    <w:p w:rsidR="00D13761" w:rsidP="00676BB6" w:rsidRDefault="00676BB6">
      <w:pPr>
        <w:pStyle w:val="JuPara"/>
      </w:pPr>
      <w:r>
        <w:t>The Court can</w:t>
      </w:r>
      <w:r w:rsidR="00CE0340">
        <w:t xml:space="preserve"> only conclude</w:t>
      </w:r>
      <w:r>
        <w:t xml:space="preserve"> that the lack of any decision on the merits of the appeals nullified the </w:t>
      </w:r>
      <w:r w:rsidR="009954EE">
        <w:t>effect</w:t>
      </w:r>
      <w:r>
        <w:t xml:space="preserve"> of the </w:t>
      </w:r>
      <w:r w:rsidR="009954EE">
        <w:t>courts</w:t>
      </w:r>
      <w:r w:rsidR="00E821E3">
        <w:t>'</w:t>
      </w:r>
      <w:r>
        <w:t xml:space="preserve"> review of the decrees issued by the </w:t>
      </w:r>
      <w:r w:rsidR="00F6080F">
        <w:t>Minister of Justice</w:t>
      </w:r>
      <w:r>
        <w:t>.</w:t>
      </w:r>
    </w:p>
    <w:p w:rsidRPr="00391F0F" w:rsidR="00676BB6" w:rsidP="00676BB6" w:rsidRDefault="00676BB6">
      <w:pPr>
        <w:pStyle w:val="JuPara"/>
        <w:rPr>
          <w:highlight w:val="yellow"/>
        </w:rPr>
      </w:pPr>
      <w:r w:rsidRPr="00391F0F">
        <w:t>In the Court</w:t>
      </w:r>
      <w:r w:rsidR="00E821E3">
        <w:t>'</w:t>
      </w:r>
      <w:r w:rsidRPr="00391F0F">
        <w:t>s opinion, the applicable legislation lays down a time-limit of only ten days for adjudication partly because of the seriousness of the special regime</w:t>
      </w:r>
      <w:r w:rsidR="00E821E3">
        <w:t>'</w:t>
      </w:r>
      <w:r w:rsidRPr="00391F0F">
        <w:t xml:space="preserve">s </w:t>
      </w:r>
      <w:r w:rsidR="000C02C8">
        <w:t>effects</w:t>
      </w:r>
      <w:r w:rsidRPr="00391F0F">
        <w:t xml:space="preserve"> on prisoners</w:t>
      </w:r>
      <w:r w:rsidR="00E821E3">
        <w:t>'</w:t>
      </w:r>
      <w:r w:rsidRPr="00391F0F">
        <w:t xml:space="preserve"> rights and partly because the impugned decision remains valid for only a limited time.</w:t>
      </w:r>
    </w:p>
    <w:p w:rsidR="00D13761" w:rsidP="00676BB6" w:rsidRDefault="00676BB6">
      <w:pPr>
        <w:pStyle w:val="JuPara"/>
      </w:pPr>
      <w:r w:rsidRPr="00391F0F">
        <w:t>In these circumstances</w:t>
      </w:r>
      <w:r w:rsidR="00CE0340">
        <w:t>,</w:t>
      </w:r>
      <w:r w:rsidRPr="00391F0F">
        <w:t xml:space="preserve"> the Court considers that the lack of a decision by the court </w:t>
      </w:r>
      <w:r w:rsidR="009954EE">
        <w:t xml:space="preserve">responsible for the execution of sentences </w:t>
      </w:r>
      <w:r w:rsidRPr="00391F0F">
        <w:t xml:space="preserve">on the appeals lodged against the decrees issued by the </w:t>
      </w:r>
      <w:r w:rsidR="00F6080F">
        <w:t>Minister of Justice</w:t>
      </w:r>
      <w:r w:rsidRPr="00391F0F">
        <w:t xml:space="preserve"> breached the applicant</w:t>
      </w:r>
      <w:r w:rsidR="00E821E3">
        <w:t>'</w:t>
      </w:r>
      <w:r w:rsidRPr="00391F0F">
        <w:t>s right to have his case heard by a court.</w:t>
      </w:r>
    </w:p>
    <w:p w:rsidRPr="00391F0F" w:rsidR="00676BB6" w:rsidP="00676BB6" w:rsidRDefault="00676BB6">
      <w:pPr>
        <w:pStyle w:val="JuPara"/>
      </w:pPr>
      <w:r w:rsidRPr="00391F0F">
        <w:t>Accordingly, there has been a violation of Article 6 of the Convention.</w:t>
      </w:r>
    </w:p>
    <w:p w:rsidRPr="00391F0F" w:rsidR="00676BB6" w:rsidP="00676BB6" w:rsidRDefault="00676BB6">
      <w:pPr>
        <w:pStyle w:val="JuHIRoman"/>
        <w:keepNext/>
        <w:keepLines/>
      </w:pPr>
      <w:r w:rsidRPr="00391F0F">
        <w:t>II.  ALLEGED VIOLATION OF ARTICLE 13 OF THE CONVENTION</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32</w:t>
      </w:r>
      <w:r>
        <w:fldChar w:fldCharType="end"/>
      </w:r>
      <w:r w:rsidRPr="00391F0F">
        <w:t>.  </w:t>
      </w:r>
      <w:r>
        <w:t xml:space="preserve">When the application was communicated to the Government, the Court had also </w:t>
      </w:r>
      <w:r w:rsidR="004255BA">
        <w:t>raised</w:t>
      </w:r>
      <w:r>
        <w:t xml:space="preserve"> the question whether the </w:t>
      </w:r>
      <w:r w:rsidR="005F631A">
        <w:t>requirements</w:t>
      </w:r>
      <w:r>
        <w:t xml:space="preserve"> under Article</w:t>
      </w:r>
      <w:r w:rsidR="00D13761">
        <w:t> </w:t>
      </w:r>
      <w:r>
        <w:t>13</w:t>
      </w:r>
      <w:r w:rsidR="00D13761">
        <w:t xml:space="preserve"> of the Convention</w:t>
      </w:r>
      <w:r>
        <w:t xml:space="preserve"> – which are less strict than those under Article</w:t>
      </w:r>
      <w:r w:rsidR="00D13761">
        <w:t> </w:t>
      </w:r>
      <w:r>
        <w:t xml:space="preserve">6 – had been respected in the instant case. In doing so it had had regard to its case-law in a similar case (see </w:t>
      </w:r>
      <w:smartTag w:uri="urn:schemas-microsoft-com:office:smarttags" w:element="City">
        <w:smartTag w:uri="urn:schemas-microsoft-com:office:smarttags" w:element="place">
          <w:r>
            <w:rPr>
              <w:i/>
              <w:iCs/>
            </w:rPr>
            <w:t>Messina</w:t>
          </w:r>
        </w:smartTag>
      </w:smartTag>
      <w:r>
        <w:t xml:space="preserve"> </w:t>
      </w:r>
      <w:r>
        <w:rPr>
          <w:i/>
          <w:iCs/>
        </w:rPr>
        <w:t>(n</w:t>
      </w:r>
      <w:r w:rsidR="000C02C8">
        <w:rPr>
          <w:i/>
          <w:iCs/>
        </w:rPr>
        <w:t>o</w:t>
      </w:r>
      <w:r w:rsidR="00725408">
        <w:rPr>
          <w:i/>
          <w:iCs/>
        </w:rPr>
        <w:t xml:space="preserve">. </w:t>
      </w:r>
      <w:r>
        <w:rPr>
          <w:i/>
          <w:iCs/>
        </w:rPr>
        <w:t>2)</w:t>
      </w:r>
      <w:r w:rsidR="00CE0340">
        <w:rPr>
          <w:iCs/>
        </w:rPr>
        <w:t>,</w:t>
      </w:r>
      <w:r>
        <w:rPr>
          <w:i/>
          <w:iCs/>
        </w:rPr>
        <w:t xml:space="preserve"> </w:t>
      </w:r>
      <w:r>
        <w:t>cited above) in which the applicant had relied on Article 13 of the Convention.</w:t>
      </w:r>
    </w:p>
    <w:p w:rsidRPr="00391F0F" w:rsidR="00676BB6" w:rsidP="00676BB6" w:rsidRDefault="004255BA">
      <w:pPr>
        <w:pStyle w:val="JuPara"/>
      </w:pPr>
      <w:r>
        <w:fldChar w:fldCharType="begin"/>
      </w:r>
      <w:r>
        <w:instrText xml:space="preserve"> SEQ level0 \*arabic </w:instrText>
      </w:r>
      <w:r>
        <w:fldChar w:fldCharType="separate"/>
      </w:r>
      <w:r w:rsidR="00D13761">
        <w:rPr>
          <w:noProof/>
        </w:rPr>
        <w:t>33</w:t>
      </w:r>
      <w:r>
        <w:fldChar w:fldCharType="end"/>
      </w:r>
      <w:r>
        <w:t>.  </w:t>
      </w:r>
      <w:r w:rsidRPr="00391F0F" w:rsidR="00676BB6">
        <w:t xml:space="preserve">The Court reiterates that where a question of access to a tribunal </w:t>
      </w:r>
      <w:r w:rsidR="00C709D6">
        <w:t>arises</w:t>
      </w:r>
      <w:r w:rsidRPr="00391F0F" w:rsidR="00676BB6">
        <w:t xml:space="preserve">, the </w:t>
      </w:r>
      <w:r>
        <w:t>requirements</w:t>
      </w:r>
      <w:r w:rsidRPr="00391F0F" w:rsidR="00676BB6">
        <w:t xml:space="preserve"> under Article 13 a</w:t>
      </w:r>
      <w:r w:rsidR="00725408">
        <w:t xml:space="preserve">re absorbed by those of Article </w:t>
      </w:r>
      <w:r w:rsidRPr="00391F0F" w:rsidR="00676BB6">
        <w:t xml:space="preserve">6 (see </w:t>
      </w:r>
      <w:r w:rsidRPr="00391F0F" w:rsidR="00676BB6">
        <w:rPr>
          <w:i/>
          <w:iCs/>
        </w:rPr>
        <w:t>Brualla Gómez de la Torre</w:t>
      </w:r>
      <w:r w:rsidRPr="00391F0F" w:rsidR="00676BB6">
        <w:t xml:space="preserve"> </w:t>
      </w:r>
      <w:r w:rsidRPr="00391F0F" w:rsidR="00676BB6">
        <w:rPr>
          <w:i/>
          <w:iCs/>
        </w:rPr>
        <w:t>v. Spain</w:t>
      </w:r>
      <w:r w:rsidR="00CE0340">
        <w:rPr>
          <w:iCs/>
        </w:rPr>
        <w:t>,</w:t>
      </w:r>
      <w:r w:rsidRPr="00391F0F" w:rsidR="00676BB6">
        <w:t xml:space="preserve"> judgment of 19 December 1997, </w:t>
      </w:r>
      <w:r w:rsidRPr="00391F0F" w:rsidR="00676BB6">
        <w:rPr>
          <w:i/>
          <w:iCs/>
        </w:rPr>
        <w:t>Reports</w:t>
      </w:r>
      <w:r w:rsidR="00CE0340">
        <w:rPr>
          <w:i/>
          <w:iCs/>
        </w:rPr>
        <w:t xml:space="preserve"> of Judgments and Decisions</w:t>
      </w:r>
      <w:r w:rsidRPr="00391F0F" w:rsidR="00676BB6">
        <w:t xml:space="preserve"> 1997-VIII, p.</w:t>
      </w:r>
      <w:r w:rsidR="00CE0340">
        <w:t xml:space="preserve"> 2957, § </w:t>
      </w:r>
      <w:r w:rsidRPr="00391F0F" w:rsidR="00676BB6">
        <w:t>41).</w:t>
      </w:r>
    </w:p>
    <w:p w:rsidR="00D13761" w:rsidP="00676BB6" w:rsidRDefault="00676BB6">
      <w:pPr>
        <w:pStyle w:val="JuPara"/>
      </w:pPr>
      <w:r>
        <w:fldChar w:fldCharType="begin"/>
      </w:r>
      <w:r w:rsidRPr="00391F0F">
        <w:instrText xml:space="preserve"> SEQ level0 \*arabic </w:instrText>
      </w:r>
      <w:r>
        <w:fldChar w:fldCharType="separate"/>
      </w:r>
      <w:r w:rsidR="00D13761">
        <w:rPr>
          <w:noProof/>
        </w:rPr>
        <w:t>34</w:t>
      </w:r>
      <w:r>
        <w:fldChar w:fldCharType="end"/>
      </w:r>
      <w:r w:rsidRPr="00391F0F">
        <w:t>.  </w:t>
      </w:r>
      <w:r>
        <w:t xml:space="preserve">Accordingly, having concluded that there has been a breach of Article 6 </w:t>
      </w:r>
      <w:r w:rsidR="00D13761">
        <w:t xml:space="preserve">of the Convention </w:t>
      </w:r>
      <w:r>
        <w:t xml:space="preserve">in the present case, the Court holds that it is not necessary to examine whether there has been a breach of Article 13 (see </w:t>
      </w:r>
      <w:r w:rsidR="00CE0340">
        <w:rPr>
          <w:i/>
          <w:iCs/>
        </w:rPr>
        <w:t xml:space="preserve">Posti and Rahko v. </w:t>
      </w:r>
      <w:r>
        <w:rPr>
          <w:i/>
          <w:iCs/>
        </w:rPr>
        <w:t>Finland</w:t>
      </w:r>
      <w:r>
        <w:t>, no.</w:t>
      </w:r>
      <w:r w:rsidR="00CE0340">
        <w:t xml:space="preserve"> </w:t>
      </w:r>
      <w:r>
        <w:t>27</w:t>
      </w:r>
      <w:r w:rsidR="009954EE">
        <w:t xml:space="preserve">824/95, </w:t>
      </w:r>
      <w:r w:rsidR="00D13761">
        <w:t>§ 89, ECHR 2002-</w:t>
      </w:r>
      <w:r w:rsidR="009954EE">
        <w:t>VII</w:t>
      </w:r>
      <w:r w:rsidR="00CE0340">
        <w:t>.</w:t>
      </w:r>
    </w:p>
    <w:p w:rsidRPr="00391F0F" w:rsidR="00676BB6" w:rsidP="00676BB6" w:rsidRDefault="00725408">
      <w:pPr>
        <w:pStyle w:val="JuHIRoman"/>
      </w:pPr>
      <w:r>
        <w:t xml:space="preserve">III.  APPLICATION OF ARTICLE </w:t>
      </w:r>
      <w:r w:rsidRPr="00391F0F" w:rsidR="00676BB6">
        <w:t>41 OF THE CONVENTION</w:t>
      </w:r>
    </w:p>
    <w:p w:rsidRPr="00391F0F" w:rsidR="00676BB6" w:rsidP="00676BB6" w:rsidRDefault="00676BB6">
      <w:pPr>
        <w:pStyle w:val="JuPara"/>
        <w:keepNext/>
        <w:keepLines/>
      </w:pPr>
      <w:r>
        <w:fldChar w:fldCharType="begin"/>
      </w:r>
      <w:r w:rsidRPr="00391F0F">
        <w:instrText xml:space="preserve"> SEQ level0 \*arabic </w:instrText>
      </w:r>
      <w:r>
        <w:fldChar w:fldCharType="separate"/>
      </w:r>
      <w:r w:rsidR="00D13761">
        <w:rPr>
          <w:noProof/>
        </w:rPr>
        <w:t>35</w:t>
      </w:r>
      <w:r>
        <w:fldChar w:fldCharType="end"/>
      </w:r>
      <w:r w:rsidRPr="00391F0F">
        <w:t>.  Article 41 of the Convention provides:</w:t>
      </w:r>
    </w:p>
    <w:p w:rsidRPr="00391F0F" w:rsidR="00676BB6" w:rsidP="00676BB6" w:rsidRDefault="00676BB6">
      <w:pPr>
        <w:pStyle w:val="JuQuot"/>
        <w:keepNext/>
        <w:keepLines/>
      </w:pPr>
      <w:r w:rsidRPr="00391F0F">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91F0F" w:rsidR="00676BB6" w:rsidP="00676BB6" w:rsidRDefault="00676BB6">
      <w:pPr>
        <w:pStyle w:val="JuPara"/>
      </w:pPr>
      <w:r>
        <w:fldChar w:fldCharType="begin"/>
      </w:r>
      <w:r w:rsidRPr="00391F0F">
        <w:instrText xml:space="preserve"> SEQ level0 \*arabic </w:instrText>
      </w:r>
      <w:r>
        <w:fldChar w:fldCharType="separate"/>
      </w:r>
      <w:r w:rsidR="00D13761">
        <w:rPr>
          <w:noProof/>
        </w:rPr>
        <w:t>36</w:t>
      </w:r>
      <w:r>
        <w:fldChar w:fldCharType="end"/>
      </w:r>
      <w:r w:rsidRPr="00391F0F">
        <w:t xml:space="preserve">.  The applicant claimed </w:t>
      </w:r>
      <w:r w:rsidR="00D13761">
        <w:t>1,000,000</w:t>
      </w:r>
      <w:r w:rsidRPr="00391F0F">
        <w:t xml:space="preserve"> euros. He justified his claim by referring to the suffering </w:t>
      </w:r>
      <w:r w:rsidR="00F57FBC">
        <w:t>he</w:t>
      </w:r>
      <w:r w:rsidRPr="00391F0F">
        <w:t xml:space="preserve"> and his family </w:t>
      </w:r>
      <w:r w:rsidR="00F57FBC">
        <w:t xml:space="preserve">had endured </w:t>
      </w:r>
      <w:r w:rsidR="004255BA">
        <w:t>as a result</w:t>
      </w:r>
      <w:r w:rsidRPr="00391F0F">
        <w:t xml:space="preserve"> of the </w:t>
      </w:r>
      <w:r w:rsidR="000C02C8">
        <w:t xml:space="preserve">application of the </w:t>
      </w:r>
      <w:r w:rsidRPr="00391F0F">
        <w:t xml:space="preserve">regime under section 41 </w:t>
      </w:r>
      <w:r w:rsidRPr="00391F0F">
        <w:rPr>
          <w:i/>
          <w:iCs/>
        </w:rPr>
        <w:t>bis</w:t>
      </w:r>
      <w:r w:rsidRPr="00391F0F">
        <w:t>.</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37</w:t>
      </w:r>
      <w:r>
        <w:fldChar w:fldCharType="end"/>
      </w:r>
      <w:r w:rsidRPr="00391F0F">
        <w:t>.  </w:t>
      </w:r>
      <w:r>
        <w:t>The Government alleged that there was no evidence to support the applicant</w:t>
      </w:r>
      <w:r w:rsidR="00E821E3">
        <w:t>'</w:t>
      </w:r>
      <w:r>
        <w:t>s claims in respect of the pecuniary damage sustained. They submitted</w:t>
      </w:r>
      <w:r w:rsidR="004255BA">
        <w:t xml:space="preserve"> further </w:t>
      </w:r>
      <w:r>
        <w:t>that a finding of a violation could represen</w:t>
      </w:r>
      <w:r w:rsidR="009954EE">
        <w:t>t sufficient just satisfaction for</w:t>
      </w:r>
      <w:r>
        <w:t xml:space="preserve"> the applicant</w:t>
      </w:r>
      <w:r w:rsidR="00E821E3">
        <w:t>'</w:t>
      </w:r>
      <w:r>
        <w:t>s claim in respect of non-pecuniary damage.</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38</w:t>
      </w:r>
      <w:r>
        <w:fldChar w:fldCharType="end"/>
      </w:r>
      <w:r w:rsidRPr="00391F0F">
        <w:t>.  </w:t>
      </w:r>
      <w:r>
        <w:t xml:space="preserve">The Court notes that there is no causal link between the violation complained of and the alleged damage. </w:t>
      </w:r>
      <w:r w:rsidR="009954EE">
        <w:t xml:space="preserve">It rejects </w:t>
      </w:r>
      <w:r w:rsidR="004255BA">
        <w:t>this</w:t>
      </w:r>
      <w:r w:rsidR="009954EE">
        <w:t xml:space="preserve"> claim</w:t>
      </w:r>
      <w:r>
        <w:t>.</w:t>
      </w:r>
    </w:p>
    <w:p w:rsidR="00676BB6" w:rsidP="00676BB6" w:rsidRDefault="00676BB6">
      <w:pPr>
        <w:pStyle w:val="JuPara"/>
      </w:pPr>
      <w:r>
        <w:fldChar w:fldCharType="begin"/>
      </w:r>
      <w:r w:rsidRPr="00391F0F">
        <w:instrText xml:space="preserve"> SEQ level0 \*arabic </w:instrText>
      </w:r>
      <w:r>
        <w:fldChar w:fldCharType="separate"/>
      </w:r>
      <w:r w:rsidR="00D13761">
        <w:rPr>
          <w:noProof/>
        </w:rPr>
        <w:t>39</w:t>
      </w:r>
      <w:r>
        <w:fldChar w:fldCharType="end"/>
      </w:r>
      <w:r w:rsidRPr="00391F0F">
        <w:t>.  </w:t>
      </w:r>
      <w:r>
        <w:t xml:space="preserve">The Court considers that in the circumstances of the case the finding of a violation of the Convention constitutes </w:t>
      </w:r>
      <w:r w:rsidR="00CE0340">
        <w:t xml:space="preserve">in itself </w:t>
      </w:r>
      <w:r>
        <w:t xml:space="preserve">sufficient just satisfaction (see </w:t>
      </w:r>
      <w:smartTag w:uri="urn:schemas-microsoft-com:office:smarttags" w:element="City">
        <w:smartTag w:uri="urn:schemas-microsoft-com:office:smarttags" w:element="place">
          <w:r>
            <w:rPr>
              <w:i/>
              <w:iCs/>
            </w:rPr>
            <w:t>Messina</w:t>
          </w:r>
        </w:smartTag>
      </w:smartTag>
      <w:r w:rsidR="00725408">
        <w:rPr>
          <w:i/>
          <w:iCs/>
        </w:rPr>
        <w:t xml:space="preserve"> (no. </w:t>
      </w:r>
      <w:r>
        <w:rPr>
          <w:i/>
          <w:iCs/>
        </w:rPr>
        <w:t>2)</w:t>
      </w:r>
      <w:r w:rsidR="00CE0340">
        <w:rPr>
          <w:iCs/>
        </w:rPr>
        <w:t>,</w:t>
      </w:r>
      <w:r>
        <w:t xml:space="preserve"> cited above).</w:t>
      </w:r>
    </w:p>
    <w:p w:rsidRPr="00391F0F" w:rsidR="00676BB6" w:rsidP="00676BB6" w:rsidRDefault="00676BB6">
      <w:pPr>
        <w:pStyle w:val="JuHHead"/>
        <w:keepNext/>
        <w:keepLines/>
      </w:pPr>
      <w:r w:rsidRPr="00391F0F">
        <w:t>FOR THESE REASONS, THE COURT UNANIMOUSLY</w:t>
      </w:r>
    </w:p>
    <w:p w:rsidR="00676BB6" w:rsidP="00676BB6" w:rsidRDefault="001A6708">
      <w:pPr>
        <w:pStyle w:val="JuList"/>
      </w:pPr>
      <w:r>
        <w:t>1.  </w:t>
      </w:r>
      <w:r w:rsidR="00676BB6">
        <w:rPr>
          <w:i/>
          <w:iCs/>
        </w:rPr>
        <w:t>Holds</w:t>
      </w:r>
      <w:r w:rsidR="00676BB6">
        <w:t xml:space="preserve"> that Article 6 of the Convention applies in the instant case and that there has been a breach of this provision;</w:t>
      </w:r>
    </w:p>
    <w:p w:rsidR="009954EE" w:rsidP="00676BB6" w:rsidRDefault="009954EE">
      <w:pPr>
        <w:pStyle w:val="JuList"/>
      </w:pPr>
    </w:p>
    <w:p w:rsidR="00676BB6" w:rsidP="00676BB6" w:rsidRDefault="00676BB6">
      <w:pPr>
        <w:pStyle w:val="JuList"/>
      </w:pPr>
      <w:r w:rsidRPr="00391F0F">
        <w:t>2.  </w:t>
      </w:r>
      <w:r>
        <w:rPr>
          <w:i/>
          <w:iCs/>
        </w:rPr>
        <w:t>Holds</w:t>
      </w:r>
      <w:r>
        <w:t xml:space="preserve"> that it is not necessary to examine whether there has been a breach of Article 13 of the Convention;</w:t>
      </w:r>
    </w:p>
    <w:p w:rsidR="009954EE" w:rsidP="00676BB6" w:rsidRDefault="009954EE">
      <w:pPr>
        <w:pStyle w:val="JuList"/>
      </w:pPr>
    </w:p>
    <w:p w:rsidR="00676BB6" w:rsidP="00676BB6" w:rsidRDefault="00676BB6">
      <w:pPr>
        <w:pStyle w:val="JuList"/>
      </w:pPr>
      <w:r w:rsidRPr="00391F0F">
        <w:t>3.  </w:t>
      </w:r>
      <w:r>
        <w:rPr>
          <w:i/>
          <w:iCs/>
        </w:rPr>
        <w:t>Holds</w:t>
      </w:r>
      <w:r>
        <w:t xml:space="preserve"> that the finding of a violation </w:t>
      </w:r>
      <w:r w:rsidR="004255BA">
        <w:t>constitutes</w:t>
      </w:r>
      <w:r>
        <w:t xml:space="preserve"> </w:t>
      </w:r>
      <w:r w:rsidR="00CE0340">
        <w:t>in itself</w:t>
      </w:r>
      <w:r w:rsidRPr="004255BA" w:rsidR="00CE0340">
        <w:t xml:space="preserve"> </w:t>
      </w:r>
      <w:r>
        <w:t>sufficient just satisfaction for the non-pecuniary damage sustained by the applicant.</w:t>
      </w:r>
    </w:p>
    <w:p w:rsidR="00676BB6" w:rsidP="00676BB6" w:rsidRDefault="00676BB6">
      <w:pPr>
        <w:pStyle w:val="JuParaLast"/>
      </w:pPr>
      <w:r>
        <w:t xml:space="preserve">Done in French, and notified in writing on </w:t>
      </w:r>
      <w:smartTag w:uri="urn:schemas-microsoft-com:office:smarttags" w:element="date">
        <w:smartTagPr>
          <w:attr w:name="Month" w:val="10"/>
          <w:attr w:name="Day" w:val="30"/>
          <w:attr w:name="Year" w:val="2003"/>
        </w:smartTagPr>
        <w:r>
          <w:t>30 October 2003</w:t>
        </w:r>
      </w:smartTag>
      <w:r>
        <w:t>, pursuant to Rule 77 §§ 2 and 3 of the Rules of Court.</w:t>
      </w:r>
    </w:p>
    <w:p w:rsidRPr="00676BB6" w:rsidR="00CD49A7" w:rsidP="00676BB6" w:rsidRDefault="00676BB6">
      <w:pPr>
        <w:pStyle w:val="JuSigned"/>
      </w:pPr>
      <w:r>
        <w:tab/>
        <w:t xml:space="preserve">Erik </w:t>
      </w:r>
      <w:r w:rsidRPr="004255BA">
        <w:rPr>
          <w:smallCaps/>
        </w:rPr>
        <w:t>Fribergh</w:t>
      </w:r>
      <w:r>
        <w:rPr>
          <w:noProof/>
        </w:rPr>
        <w:tab/>
      </w:r>
      <w:r>
        <w:t xml:space="preserve">Christos </w:t>
      </w:r>
      <w:r>
        <w:rPr>
          <w:smallCaps/>
        </w:rPr>
        <w:t>Rozakis</w:t>
      </w:r>
      <w:r>
        <w:rPr>
          <w:noProof/>
        </w:rPr>
        <w:br/>
      </w:r>
      <w:r>
        <w:rPr>
          <w:noProof/>
        </w:rPr>
        <w:tab/>
      </w:r>
      <w:r>
        <w:t>Registrar</w:t>
      </w:r>
      <w:r w:rsidR="00CE0340">
        <w:rPr>
          <w:noProof/>
        </w:rPr>
        <w:tab/>
        <w:t>Pre</w:t>
      </w:r>
      <w:r>
        <w:rPr>
          <w:noProof/>
        </w:rPr>
        <w:t>sident</w:t>
      </w:r>
    </w:p>
    <w:sectPr w:rsidRPr="00676BB6" w:rsidR="00CD49A7" w:rsidSect="000E480D">
      <w:headerReference w:type="even" r:id="rId9"/>
      <w:headerReference w:type="default" r:id="rId10"/>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72B7E">
      <w:r>
        <w:separator/>
      </w:r>
    </w:p>
  </w:endnote>
  <w:endnote w:type="continuationSeparator" w:id="0">
    <w:p w:rsidR="00000000" w:rsidRDefault="0057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0CB" w:rsidRDefault="00C200CB">
      <w:r>
        <w:separator/>
      </w:r>
    </w:p>
  </w:footnote>
  <w:footnote w:type="continuationSeparator" w:id="0">
    <w:p w:rsidR="00000000" w:rsidRDefault="00572B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CB" w:rsidRPr="000E480D" w:rsidRDefault="00C200CB" w:rsidP="000E48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CB" w:rsidRDefault="00C200CB">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C200CB" w:rsidRPr="000E480D" w:rsidRDefault="00C200CB" w:rsidP="000E480D">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CB" w:rsidRDefault="00C200CB">
    <w:pPr>
      <w:pStyle w:val="JuHeader"/>
    </w:pPr>
    <w:r>
      <w:rPr>
        <w:rStyle w:val="PageNumber"/>
      </w:rPr>
      <w:fldChar w:fldCharType="begin"/>
    </w:r>
    <w:r>
      <w:rPr>
        <w:rStyle w:val="PageNumber"/>
      </w:rPr>
      <w:instrText xml:space="preserve"> PAGE </w:instrText>
    </w:r>
    <w:r>
      <w:rPr>
        <w:rStyle w:val="PageNumber"/>
      </w:rPr>
      <w:fldChar w:fldCharType="separate"/>
    </w:r>
    <w:r w:rsidR="00E821E3">
      <w:rPr>
        <w:rStyle w:val="PageNumber"/>
        <w:noProof/>
      </w:rPr>
      <w:t>10</w:t>
    </w:r>
    <w:r>
      <w:rPr>
        <w:rStyle w:val="PageNumber"/>
      </w:rPr>
      <w:fldChar w:fldCharType="end"/>
    </w:r>
    <w:r>
      <w:tab/>
      <w:t xml:space="preserve">GANCI v. </w:t>
    </w:r>
    <w:smartTag w:uri="urn:schemas-microsoft-com:office:smarttags" w:element="country-region">
      <w:smartTag w:uri="urn:schemas-microsoft-com:office:smarttags" w:element="place">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0CB" w:rsidRDefault="00C200CB">
    <w:pPr>
      <w:pStyle w:val="JuHeader"/>
      <w:rPr>
        <w:rStyle w:val="PageNumber"/>
      </w:rPr>
    </w:pPr>
    <w:r>
      <w:tab/>
      <w:t xml:space="preserve">GANCI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E821E3">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74056"/>
    <w:rsid w:val="000C02C8"/>
    <w:rsid w:val="000E480D"/>
    <w:rsid w:val="00101318"/>
    <w:rsid w:val="00124DE8"/>
    <w:rsid w:val="00136071"/>
    <w:rsid w:val="00165232"/>
    <w:rsid w:val="0019008F"/>
    <w:rsid w:val="001A3432"/>
    <w:rsid w:val="001A6708"/>
    <w:rsid w:val="002215F3"/>
    <w:rsid w:val="0025089A"/>
    <w:rsid w:val="002525AF"/>
    <w:rsid w:val="00283F8B"/>
    <w:rsid w:val="0029181F"/>
    <w:rsid w:val="002C1DE0"/>
    <w:rsid w:val="002D5258"/>
    <w:rsid w:val="00301E68"/>
    <w:rsid w:val="0032554A"/>
    <w:rsid w:val="00367316"/>
    <w:rsid w:val="00371E6C"/>
    <w:rsid w:val="003C3935"/>
    <w:rsid w:val="004255BA"/>
    <w:rsid w:val="00572B7E"/>
    <w:rsid w:val="005741B5"/>
    <w:rsid w:val="00587536"/>
    <w:rsid w:val="005877BE"/>
    <w:rsid w:val="005B42A7"/>
    <w:rsid w:val="005F631A"/>
    <w:rsid w:val="00676BB6"/>
    <w:rsid w:val="006F54E7"/>
    <w:rsid w:val="00716079"/>
    <w:rsid w:val="00725408"/>
    <w:rsid w:val="0072703B"/>
    <w:rsid w:val="0073436D"/>
    <w:rsid w:val="0079559F"/>
    <w:rsid w:val="007A1778"/>
    <w:rsid w:val="007D3D2D"/>
    <w:rsid w:val="007E0A1C"/>
    <w:rsid w:val="007F7AA2"/>
    <w:rsid w:val="00810A3E"/>
    <w:rsid w:val="0085624F"/>
    <w:rsid w:val="008D05FA"/>
    <w:rsid w:val="008D6581"/>
    <w:rsid w:val="008E36F2"/>
    <w:rsid w:val="009954EE"/>
    <w:rsid w:val="009A0233"/>
    <w:rsid w:val="009F1A90"/>
    <w:rsid w:val="00A16917"/>
    <w:rsid w:val="00AF139E"/>
    <w:rsid w:val="00B21A76"/>
    <w:rsid w:val="00B71C55"/>
    <w:rsid w:val="00B97214"/>
    <w:rsid w:val="00BA30DB"/>
    <w:rsid w:val="00BB5AE9"/>
    <w:rsid w:val="00C200CB"/>
    <w:rsid w:val="00C42875"/>
    <w:rsid w:val="00C709D6"/>
    <w:rsid w:val="00CA0528"/>
    <w:rsid w:val="00CB3F46"/>
    <w:rsid w:val="00CC2359"/>
    <w:rsid w:val="00CD49A7"/>
    <w:rsid w:val="00CE0340"/>
    <w:rsid w:val="00CF504F"/>
    <w:rsid w:val="00D13761"/>
    <w:rsid w:val="00D42D6D"/>
    <w:rsid w:val="00D90F55"/>
    <w:rsid w:val="00DC20FF"/>
    <w:rsid w:val="00E27526"/>
    <w:rsid w:val="00E821E3"/>
    <w:rsid w:val="00F43E1B"/>
    <w:rsid w:val="00F44802"/>
    <w:rsid w:val="00F44F37"/>
    <w:rsid w:val="00F57FBC"/>
    <w:rsid w:val="00F6080F"/>
    <w:rsid w:val="00F843B7"/>
    <w:rsid w:val="00F92A55"/>
    <w:rsid w:val="00FA43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date"/>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BalloonText">
    <w:name w:val="Balloon Text"/>
    <w:basedOn w:val="Normal"/>
    <w:semiHidden/>
    <w:rsid w:val="00283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4B2595-3517-49AF-A856-CB8EB3606B00}"/>
</file>

<file path=customXml/itemProps2.xml><?xml version="1.0" encoding="utf-8"?>
<ds:datastoreItem xmlns:ds="http://schemas.openxmlformats.org/officeDocument/2006/customXml" ds:itemID="{6388E57C-6AA5-4604-A967-77CC1DA7C022}"/>
</file>

<file path=customXml/itemProps3.xml><?xml version="1.0" encoding="utf-8"?>
<ds:datastoreItem xmlns:ds="http://schemas.openxmlformats.org/officeDocument/2006/customXml" ds:itemID="{D3BC4576-21CA-495E-BB09-FFC257584B5D}"/>
</file>

<file path=docProps/app.xml><?xml version="1.0" encoding="utf-8"?>
<Properties xmlns="http://schemas.openxmlformats.org/officeDocument/2006/extended-properties" xmlns:vt="http://schemas.openxmlformats.org/officeDocument/2006/docPropsVTypes">
  <Template>Normal.dotm</Template>
  <TotalTime>395</TotalTime>
  <Pages>1</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LAMBERTD</dc:creator>
  <cp:keywords/>
  <dc:description/>
  <cp:lastModifiedBy/>
  <cp:revision>3</cp:revision>
  <cp:lastPrinted>2004-05-28T10:45:00Z</cp:lastPrinted>
  <dcterms:created xsi:type="dcterms:W3CDTF">2018-07-25T09:24:00Z</dcterms:created>
  <dcterms:modified xsi:type="dcterms:W3CDTF">2018-07-25T09:24:00Z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ContentTypeId">
    <vt:lpwstr>0x010100558EB02BDB9E204AB350EDD385B68E10</vt:lpwstr>
  </property>
</Properties>
</file>