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5.xml" ContentType="application/vnd.openxmlformats-officedocument.wordprocessingml.header+xml"/>
  <Override PartName="/word/header4.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3855" w:rsidP="00E652BE" w:rsidRDefault="00F43855">
      <w:pPr>
        <w:jc w:val="center"/>
      </w:pPr>
      <w:bookmarkStart w:name="_GoBack" w:id="0"/>
      <w:bookmarkEnd w:id="0"/>
    </w:p>
    <w:p w:rsidR="00DB4544" w:rsidP="00E652BE" w:rsidRDefault="00DB4544">
      <w:pPr>
        <w:jc w:val="center"/>
      </w:pPr>
    </w:p>
    <w:p w:rsidR="00DB4544" w:rsidP="00E652BE" w:rsidRDefault="00DB4544">
      <w:pPr>
        <w:jc w:val="center"/>
      </w:pPr>
    </w:p>
    <w:p w:rsidR="00DB4544" w:rsidP="00E652BE" w:rsidRDefault="00DB4544">
      <w:pPr>
        <w:jc w:val="center"/>
      </w:pPr>
    </w:p>
    <w:p w:rsidR="00F43855" w:rsidP="00E652BE" w:rsidRDefault="00F43855">
      <w:pPr>
        <w:jc w:val="center"/>
      </w:pPr>
    </w:p>
    <w:p w:rsidRPr="00F43855" w:rsidR="00CD49A7" w:rsidP="00E652BE" w:rsidRDefault="00CD49A7">
      <w:pPr>
        <w:jc w:val="center"/>
      </w:pPr>
    </w:p>
    <w:p w:rsidRPr="00F43855" w:rsidR="00CD49A7" w:rsidP="00E652BE" w:rsidRDefault="00F43855">
      <w:pPr>
        <w:jc w:val="center"/>
      </w:pPr>
      <w:r w:rsidRPr="00F43855">
        <w:t>FIRST SECTION</w:t>
      </w:r>
    </w:p>
    <w:p w:rsidR="00F43855" w:rsidP="00E652BE" w:rsidRDefault="00F43855">
      <w:pPr>
        <w:jc w:val="center"/>
      </w:pPr>
    </w:p>
    <w:p w:rsidRPr="00F43855" w:rsidR="00CD49A7" w:rsidP="00E652BE" w:rsidRDefault="00CD49A7">
      <w:pPr>
        <w:jc w:val="center"/>
      </w:pPr>
    </w:p>
    <w:p w:rsidRPr="00F43855" w:rsidR="00CD49A7" w:rsidP="00E652BE" w:rsidRDefault="00CD49A7">
      <w:pPr>
        <w:jc w:val="center"/>
        <w:rPr>
          <w:b/>
        </w:rPr>
      </w:pPr>
      <w:r w:rsidRPr="00F43855">
        <w:rPr>
          <w:b/>
        </w:rPr>
        <w:t xml:space="preserve">CASE OF </w:t>
      </w:r>
      <w:r w:rsidRPr="00F43855" w:rsidR="00F43855">
        <w:rPr>
          <w:b/>
        </w:rPr>
        <w:t xml:space="preserve">LO TUFO v. </w:t>
      </w:r>
      <w:smartTag w:uri="urn:schemas-microsoft-com:office:smarttags" w:element="place">
        <w:smartTag w:uri="urn:schemas-microsoft-com:office:smarttags" w:element="country-region">
          <w:r w:rsidR="00F43855" w:rsidRPr="00F43855">
            <w:rPr>
              <w:b/>
            </w:rPr>
            <w:t>ITALY</w:t>
          </w:r>
        </w:smartTag>
      </w:smartTag>
    </w:p>
    <w:p w:rsidR="00CD49A7" w:rsidP="00E652BE" w:rsidRDefault="00CD49A7">
      <w:pPr>
        <w:jc w:val="center"/>
      </w:pPr>
    </w:p>
    <w:p w:rsidRPr="00F43855" w:rsidR="00DB4544" w:rsidP="00E652BE" w:rsidRDefault="00DB4544">
      <w:pPr>
        <w:jc w:val="center"/>
      </w:pPr>
    </w:p>
    <w:p w:rsidRPr="00F43855" w:rsidR="00CD49A7" w:rsidP="00E652BE" w:rsidRDefault="00CD49A7">
      <w:pPr>
        <w:jc w:val="center"/>
        <w:rPr>
          <w:i/>
        </w:rPr>
      </w:pPr>
      <w:r w:rsidRPr="00F43855">
        <w:rPr>
          <w:i/>
        </w:rPr>
        <w:t>(</w:t>
      </w:r>
      <w:r w:rsidRPr="00F43855" w:rsidR="00F43855">
        <w:rPr>
          <w:i/>
        </w:rPr>
        <w:t>Application no. 64663/01</w:t>
      </w:r>
      <w:r w:rsidRPr="00F43855">
        <w:rPr>
          <w:i/>
        </w:rPr>
        <w:t>)</w:t>
      </w:r>
    </w:p>
    <w:p w:rsidR="00F43855" w:rsidP="00E652BE" w:rsidRDefault="00F43855">
      <w:pPr>
        <w:pStyle w:val="JuCase"/>
        <w:ind w:firstLine="0"/>
        <w:jc w:val="center"/>
        <w:rPr>
          <w:b w:val="0"/>
        </w:rPr>
      </w:pPr>
    </w:p>
    <w:p w:rsidR="00DB4544" w:rsidP="00E652BE" w:rsidRDefault="00DB4544">
      <w:pPr>
        <w:pStyle w:val="JuPara"/>
        <w:ind w:firstLine="0"/>
        <w:jc w:val="center"/>
      </w:pPr>
    </w:p>
    <w:p w:rsidRPr="00DB4544" w:rsidR="00DB4544" w:rsidP="00E652BE" w:rsidRDefault="00DB4544">
      <w:pPr>
        <w:pStyle w:val="JuPara"/>
        <w:ind w:firstLine="0"/>
        <w:jc w:val="center"/>
      </w:pPr>
    </w:p>
    <w:p w:rsidR="00F43855" w:rsidP="00E652BE" w:rsidRDefault="00F43855">
      <w:pPr>
        <w:pStyle w:val="JuPara"/>
        <w:ind w:firstLine="0"/>
        <w:jc w:val="center"/>
      </w:pPr>
    </w:p>
    <w:p w:rsidR="00F43855" w:rsidP="00E652BE" w:rsidRDefault="00F43855">
      <w:pPr>
        <w:pStyle w:val="JuPara"/>
        <w:ind w:firstLine="0"/>
        <w:jc w:val="center"/>
      </w:pPr>
    </w:p>
    <w:p w:rsidR="00F43855" w:rsidP="00E652BE" w:rsidRDefault="00F43855">
      <w:pPr>
        <w:pStyle w:val="JuPara"/>
        <w:ind w:firstLine="0"/>
        <w:jc w:val="center"/>
      </w:pPr>
    </w:p>
    <w:p w:rsidR="00F43855" w:rsidP="00E652BE" w:rsidRDefault="00F43855">
      <w:pPr>
        <w:pStyle w:val="JuPara"/>
        <w:ind w:firstLine="0"/>
        <w:jc w:val="center"/>
      </w:pPr>
    </w:p>
    <w:p w:rsidR="00F43855" w:rsidP="00E652BE" w:rsidRDefault="00F43855">
      <w:pPr>
        <w:pStyle w:val="JuPara"/>
        <w:ind w:firstLine="0"/>
        <w:jc w:val="center"/>
      </w:pPr>
      <w:r>
        <w:t>JUDGMENT</w:t>
      </w:r>
    </w:p>
    <w:p w:rsidR="00F43855" w:rsidP="00E652BE" w:rsidRDefault="00F43855">
      <w:pPr>
        <w:pStyle w:val="JuPara"/>
        <w:ind w:firstLine="0"/>
        <w:jc w:val="center"/>
      </w:pPr>
    </w:p>
    <w:p w:rsidR="00F43855" w:rsidP="00E652BE" w:rsidRDefault="00F43855">
      <w:pPr>
        <w:pStyle w:val="JuPara"/>
        <w:ind w:firstLine="0"/>
        <w:jc w:val="center"/>
      </w:pPr>
    </w:p>
    <w:p w:rsidR="00F43855" w:rsidP="00E652BE" w:rsidRDefault="00F43855">
      <w:pPr>
        <w:pStyle w:val="JuPara"/>
        <w:ind w:firstLine="0"/>
        <w:jc w:val="center"/>
      </w:pPr>
    </w:p>
    <w:p w:rsidR="00DB4544" w:rsidP="00E652BE" w:rsidRDefault="00DB4544">
      <w:pPr>
        <w:pStyle w:val="JuPara"/>
        <w:ind w:firstLine="0"/>
        <w:jc w:val="center"/>
      </w:pPr>
    </w:p>
    <w:p w:rsidR="00F43855" w:rsidP="00E652BE" w:rsidRDefault="00F43855">
      <w:pPr>
        <w:pStyle w:val="JuPara"/>
        <w:ind w:firstLine="0"/>
        <w:jc w:val="center"/>
      </w:pPr>
      <w:smartTag w:uri="urn:schemas-microsoft-com:office:smarttags" w:element="place">
        <w:smartTag w:uri="urn:schemas-microsoft-com:office:smarttags" w:element="City">
          <w:r>
            <w:t>STRASBOURG</w:t>
          </w:r>
        </w:smartTag>
      </w:smartTag>
    </w:p>
    <w:p w:rsidR="00F43855" w:rsidP="00E652BE" w:rsidRDefault="00F43855">
      <w:pPr>
        <w:pStyle w:val="JuPara"/>
        <w:ind w:firstLine="0"/>
        <w:jc w:val="center"/>
      </w:pPr>
    </w:p>
    <w:p w:rsidR="00DB4544" w:rsidP="00E652BE" w:rsidRDefault="00DB4544">
      <w:pPr>
        <w:pStyle w:val="JuPara"/>
        <w:ind w:firstLine="0"/>
        <w:jc w:val="center"/>
      </w:pPr>
    </w:p>
    <w:p w:rsidR="00977E3A" w:rsidP="00E652BE" w:rsidRDefault="00642D52">
      <w:pPr>
        <w:pStyle w:val="JuPara"/>
        <w:ind w:firstLine="0"/>
        <w:jc w:val="center"/>
      </w:pPr>
      <w:r>
        <w:t>21 April 2005</w:t>
      </w:r>
    </w:p>
    <w:p w:rsidR="00E652BE" w:rsidP="00E652BE" w:rsidRDefault="00E652BE">
      <w:pPr>
        <w:pStyle w:val="JuPara"/>
        <w:ind w:firstLine="0"/>
        <w:jc w:val="center"/>
      </w:pPr>
    </w:p>
    <w:p w:rsidR="00E652BE" w:rsidP="00E652BE" w:rsidRDefault="00E652BE">
      <w:pPr>
        <w:pStyle w:val="JuPara"/>
        <w:ind w:firstLine="0"/>
        <w:jc w:val="center"/>
      </w:pPr>
    </w:p>
    <w:p w:rsidR="00E652BE" w:rsidP="00E652BE" w:rsidRDefault="00E652BE">
      <w:pPr>
        <w:pStyle w:val="JuPara"/>
        <w:ind w:firstLine="0"/>
        <w:jc w:val="center"/>
      </w:pPr>
    </w:p>
    <w:p w:rsidR="00E652BE" w:rsidP="00E652BE" w:rsidRDefault="00E652BE">
      <w:pPr>
        <w:jc w:val="center"/>
        <w:rPr>
          <w:b/>
          <w:color w:val="FF0000"/>
          <w:sz w:val="36"/>
          <w:u w:val="single"/>
        </w:rPr>
      </w:pPr>
      <w:r>
        <w:rPr>
          <w:b/>
          <w:color w:val="FF0000"/>
          <w:sz w:val="36"/>
          <w:u w:val="single"/>
        </w:rPr>
        <w:t>DÉFINITIF</w:t>
      </w:r>
    </w:p>
    <w:p w:rsidR="00E652BE" w:rsidP="00E652BE" w:rsidRDefault="00E652BE">
      <w:pPr>
        <w:jc w:val="center"/>
        <w:rPr>
          <w:i/>
          <w:color w:val="FF0000"/>
        </w:rPr>
      </w:pPr>
    </w:p>
    <w:p w:rsidR="00E652BE" w:rsidP="00E652BE" w:rsidRDefault="00E652BE">
      <w:pPr>
        <w:pStyle w:val="JuPara"/>
        <w:ind w:firstLine="0"/>
        <w:jc w:val="center"/>
        <w:sectPr w:rsidR="00E652BE" w:rsidSect="00F43855">
          <w:headerReference w:type="even" r:id="rId7"/>
          <w:headerReference w:type="default" r:id="rId8"/>
          <w:footnotePr>
            <w:numRestart w:val="eachPage"/>
          </w:footnotePr>
          <w:pgSz w:w="11906" w:h="16838" w:code="9"/>
          <w:pgMar w:top="2274" w:right="2274" w:bottom="2274" w:left="2274" w:header="1701" w:footer="720" w:gutter="0"/>
          <w:pgNumType w:start="1"/>
          <w:cols w:space="720"/>
          <w:docGrid w:linePitch="78"/>
        </w:sectPr>
      </w:pPr>
      <w:r>
        <w:rPr>
          <w:i/>
          <w:color w:val="FF0000"/>
          <w:sz w:val="36"/>
        </w:rPr>
        <w:t>21/07/2005</w:t>
      </w:r>
    </w:p>
    <w:p w:rsidR="00DB4544" w:rsidP="00DB4544" w:rsidRDefault="00DB4544">
      <w:pPr>
        <w:pStyle w:val="JuPara"/>
        <w:jc w:val="center"/>
      </w:pPr>
    </w:p>
    <w:p w:rsidR="00DB4544" w:rsidRDefault="00DB4544">
      <w:pPr>
        <w:pStyle w:val="JuCase"/>
      </w:pPr>
    </w:p>
    <w:p w:rsidRPr="00F43855" w:rsidR="00CD49A7" w:rsidRDefault="00CD49A7">
      <w:pPr>
        <w:pStyle w:val="JuCase"/>
      </w:pPr>
      <w:r w:rsidRPr="00F43855">
        <w:t xml:space="preserve">In the case of </w:t>
      </w:r>
      <w:r w:rsidRPr="00F43855" w:rsidR="00F43855">
        <w:t xml:space="preserve">Lo Tufo v. </w:t>
      </w:r>
      <w:smartTag w:uri="urn:schemas-microsoft-com:office:smarttags" w:element="place">
        <w:smartTag w:uri="urn:schemas-microsoft-com:office:smarttags" w:element="country-region">
          <w:r w:rsidR="00F43855" w:rsidRPr="00F43855">
            <w:t>Italy</w:t>
          </w:r>
        </w:smartTag>
      </w:smartTag>
      <w:r w:rsidRPr="00F43855">
        <w:t>,</w:t>
      </w:r>
    </w:p>
    <w:p w:rsidRPr="00F43855" w:rsidR="00CD49A7" w:rsidRDefault="00CD49A7">
      <w:pPr>
        <w:pStyle w:val="JuPara"/>
      </w:pPr>
      <w:r w:rsidRPr="00F43855">
        <w:t>The European Court of Human Rights</w:t>
      </w:r>
      <w:r w:rsidRPr="00F43855" w:rsidR="00F43855">
        <w:t xml:space="preserve"> (First Section)</w:t>
      </w:r>
      <w:r w:rsidRPr="00F43855">
        <w:t xml:space="preserve">, sitting as a </w:t>
      </w:r>
      <w:r w:rsidRPr="00F43855" w:rsidR="00F43855">
        <w:t>Chamber</w:t>
      </w:r>
      <w:r w:rsidRPr="00F43855">
        <w:t xml:space="preserve"> composed of:</w:t>
      </w:r>
    </w:p>
    <w:p w:rsidRPr="00F43855" w:rsidR="00CD49A7" w:rsidRDefault="00CD49A7">
      <w:pPr>
        <w:pStyle w:val="JuJudges"/>
      </w:pPr>
      <w:r w:rsidRPr="00F43855">
        <w:tab/>
      </w:r>
      <w:r w:rsidRPr="00F43855" w:rsidR="00F43855">
        <w:t>Mr</w:t>
      </w:r>
      <w:r w:rsidRPr="00F43855">
        <w:tab/>
      </w:r>
      <w:r w:rsidRPr="00F43855" w:rsidR="00F43855">
        <w:rPr>
          <w:rStyle w:val="JuNames"/>
        </w:rPr>
        <w:t>C.L.</w:t>
      </w:r>
      <w:r w:rsidRPr="00F43855">
        <w:t xml:space="preserve"> </w:t>
      </w:r>
      <w:r w:rsidRPr="00F43855" w:rsidR="00F43855">
        <w:rPr>
          <w:rStyle w:val="JuNames"/>
        </w:rPr>
        <w:t>Rozakis</w:t>
      </w:r>
      <w:r w:rsidRPr="00F43855">
        <w:t xml:space="preserve">, </w:t>
      </w:r>
      <w:r w:rsidRPr="00F43855" w:rsidR="00F43855">
        <w:rPr>
          <w:i/>
        </w:rPr>
        <w:t>President</w:t>
      </w:r>
      <w:r w:rsidRPr="00F43855">
        <w:t>,</w:t>
      </w:r>
      <w:r w:rsidRPr="00F43855">
        <w:br/>
      </w:r>
      <w:r w:rsidRPr="00F43855">
        <w:tab/>
      </w:r>
      <w:r w:rsidRPr="00F43855" w:rsidR="00F43855">
        <w:t>Mr</w:t>
      </w:r>
      <w:r w:rsidRPr="00F43855">
        <w:tab/>
      </w:r>
      <w:r w:rsidRPr="00F43855" w:rsidR="00F43855">
        <w:rPr>
          <w:rStyle w:val="JuNames"/>
        </w:rPr>
        <w:t>L.</w:t>
      </w:r>
      <w:r w:rsidRPr="00F43855">
        <w:t xml:space="preserve"> </w:t>
      </w:r>
      <w:r w:rsidRPr="00F43855" w:rsidR="00F43855">
        <w:rPr>
          <w:rStyle w:val="JuNames"/>
        </w:rPr>
        <w:t>Loucaides</w:t>
      </w:r>
      <w:r w:rsidRPr="00F43855">
        <w:t>,</w:t>
      </w:r>
      <w:r w:rsidRPr="00F43855">
        <w:br/>
      </w:r>
      <w:r w:rsidRPr="00F43855">
        <w:tab/>
      </w:r>
      <w:r w:rsidRPr="00F43855" w:rsidR="00F43855">
        <w:t>Mrs</w:t>
      </w:r>
      <w:r w:rsidRPr="00F43855">
        <w:tab/>
      </w:r>
      <w:r w:rsidRPr="00F43855" w:rsidR="00F43855">
        <w:rPr>
          <w:rStyle w:val="JuNames"/>
        </w:rPr>
        <w:t>F.</w:t>
      </w:r>
      <w:r w:rsidRPr="00F43855">
        <w:t xml:space="preserve"> </w:t>
      </w:r>
      <w:r w:rsidRPr="00F43855" w:rsidR="00F43855">
        <w:rPr>
          <w:rStyle w:val="JuNames"/>
        </w:rPr>
        <w:t>Tulkens</w:t>
      </w:r>
      <w:r w:rsidRPr="00F43855">
        <w:t>,</w:t>
      </w:r>
      <w:r w:rsidRPr="00F43855">
        <w:br/>
      </w:r>
      <w:r w:rsidRPr="00F43855">
        <w:tab/>
      </w:r>
      <w:r w:rsidRPr="00F43855" w:rsidR="00F43855">
        <w:t>Mr</w:t>
      </w:r>
      <w:r w:rsidRPr="00F43855">
        <w:tab/>
      </w:r>
      <w:r w:rsidRPr="00F43855" w:rsidR="00F43855">
        <w:rPr>
          <w:rStyle w:val="JuNames"/>
        </w:rPr>
        <w:t>P.</w:t>
      </w:r>
      <w:r w:rsidRPr="00F43855">
        <w:t xml:space="preserve"> </w:t>
      </w:r>
      <w:r w:rsidRPr="00F43855" w:rsidR="00F43855">
        <w:rPr>
          <w:rStyle w:val="JuNames"/>
        </w:rPr>
        <w:t>Lorenzen</w:t>
      </w:r>
      <w:r w:rsidRPr="00F43855">
        <w:t>,</w:t>
      </w:r>
      <w:r w:rsidRPr="00F43855">
        <w:br/>
      </w:r>
      <w:r w:rsidRPr="00F43855">
        <w:tab/>
      </w:r>
      <w:r w:rsidRPr="00F43855" w:rsidR="00F43855">
        <w:t>Mrs</w:t>
      </w:r>
      <w:r w:rsidRPr="00F43855">
        <w:tab/>
      </w:r>
      <w:r w:rsidRPr="00F43855" w:rsidR="00F43855">
        <w:rPr>
          <w:rStyle w:val="JuNames"/>
        </w:rPr>
        <w:t>N.</w:t>
      </w:r>
      <w:r w:rsidRPr="00F43855">
        <w:t xml:space="preserve"> </w:t>
      </w:r>
      <w:r w:rsidRPr="00F43855" w:rsidR="00F43855">
        <w:rPr>
          <w:rStyle w:val="JuNames"/>
        </w:rPr>
        <w:t>Vajić</w:t>
      </w:r>
      <w:r w:rsidRPr="00F43855">
        <w:t>,</w:t>
      </w:r>
      <w:r w:rsidRPr="00F43855">
        <w:br/>
      </w:r>
      <w:r w:rsidRPr="00F43855">
        <w:tab/>
      </w:r>
      <w:r w:rsidRPr="00F43855" w:rsidR="00F43855">
        <w:t>Mr</w:t>
      </w:r>
      <w:r w:rsidRPr="00F43855">
        <w:tab/>
      </w:r>
      <w:r w:rsidRPr="00F43855" w:rsidR="00F43855">
        <w:rPr>
          <w:rStyle w:val="JuNames"/>
        </w:rPr>
        <w:t>V.</w:t>
      </w:r>
      <w:r w:rsidRPr="00F43855">
        <w:t xml:space="preserve"> </w:t>
      </w:r>
      <w:r w:rsidRPr="00F43855" w:rsidR="00F43855">
        <w:rPr>
          <w:rStyle w:val="JuNames"/>
        </w:rPr>
        <w:t>Zagrebelsky</w:t>
      </w:r>
      <w:r w:rsidRPr="00F43855">
        <w:t>,</w:t>
      </w:r>
      <w:r w:rsidRPr="00F43855">
        <w:rPr>
          <w:rStyle w:val="JuNames"/>
        </w:rPr>
        <w:br/>
      </w:r>
      <w:r w:rsidRPr="00F43855">
        <w:tab/>
      </w:r>
      <w:r w:rsidRPr="00F43855" w:rsidR="00F43855">
        <w:t>Mr</w:t>
      </w:r>
      <w:r w:rsidRPr="00F43855">
        <w:tab/>
      </w:r>
      <w:r w:rsidRPr="00F43855" w:rsidR="00F43855">
        <w:rPr>
          <w:rStyle w:val="JuNames"/>
        </w:rPr>
        <w:t>D.</w:t>
      </w:r>
      <w:r w:rsidRPr="00F43855">
        <w:t xml:space="preserve"> </w:t>
      </w:r>
      <w:r w:rsidRPr="00F43855" w:rsidR="00F43855">
        <w:rPr>
          <w:rStyle w:val="JuNames"/>
        </w:rPr>
        <w:t>Spielmann</w:t>
      </w:r>
      <w:r w:rsidRPr="00F43855">
        <w:rPr>
          <w:rStyle w:val="JuNames"/>
        </w:rPr>
        <w:t>,</w:t>
      </w:r>
      <w:r w:rsidRPr="00F43855" w:rsidR="00F43855">
        <w:t xml:space="preserve"> </w:t>
      </w:r>
      <w:r w:rsidRPr="00F43855" w:rsidR="00F43855">
        <w:rPr>
          <w:i/>
        </w:rPr>
        <w:t>judges</w:t>
      </w:r>
      <w:r w:rsidRPr="00F43855" w:rsidR="00F43855">
        <w:t>,</w:t>
      </w:r>
      <w:r w:rsidRPr="00F43855">
        <w:br/>
        <w:t xml:space="preserve">and </w:t>
      </w:r>
      <w:r w:rsidRPr="00F43855" w:rsidR="00F43855">
        <w:t>Mr</w:t>
      </w:r>
      <w:r w:rsidRPr="00F43855">
        <w:t xml:space="preserve"> </w:t>
      </w:r>
      <w:r w:rsidRPr="00F43855" w:rsidR="00F43855">
        <w:rPr>
          <w:rStyle w:val="JuNames"/>
        </w:rPr>
        <w:t>S.</w:t>
      </w:r>
      <w:r w:rsidRPr="00F43855">
        <w:t xml:space="preserve"> </w:t>
      </w:r>
      <w:r w:rsidRPr="00F43855" w:rsidR="00F43855">
        <w:rPr>
          <w:rStyle w:val="JuNames"/>
        </w:rPr>
        <w:t>Nielsen</w:t>
      </w:r>
      <w:r w:rsidRPr="00F43855">
        <w:t xml:space="preserve">, </w:t>
      </w:r>
      <w:r w:rsidRPr="00F43855" w:rsidR="00F43855">
        <w:rPr>
          <w:i/>
        </w:rPr>
        <w:t>Section Registrar</w:t>
      </w:r>
      <w:r w:rsidRPr="00F43855">
        <w:t>,</w:t>
      </w:r>
    </w:p>
    <w:p w:rsidRPr="00F43855" w:rsidR="00CD49A7" w:rsidRDefault="00CD49A7">
      <w:pPr>
        <w:pStyle w:val="JuPara"/>
      </w:pPr>
      <w:r w:rsidRPr="00F43855">
        <w:t xml:space="preserve">Having deliberated in private on </w:t>
      </w:r>
      <w:r w:rsidR="00642D52">
        <w:t>24 March 2005</w:t>
      </w:r>
      <w:r w:rsidRPr="00F43855">
        <w:t>,</w:t>
      </w:r>
    </w:p>
    <w:p w:rsidRPr="00F43855" w:rsidR="00CD49A7" w:rsidRDefault="00CD49A7">
      <w:pPr>
        <w:pStyle w:val="JuPara"/>
      </w:pPr>
      <w:r w:rsidRPr="00F43855">
        <w:t>Delivers the following judgment, which was adopted on th</w:t>
      </w:r>
      <w:r w:rsidR="00484503">
        <w:t>at</w:t>
      </w:r>
      <w:r w:rsidRPr="00F43855">
        <w:t xml:space="preserve"> date:</w:t>
      </w:r>
    </w:p>
    <w:p w:rsidRPr="00F43855" w:rsidR="00CD49A7" w:rsidRDefault="00CD49A7">
      <w:pPr>
        <w:pStyle w:val="JuHHead"/>
      </w:pPr>
      <w:r w:rsidRPr="00F43855">
        <w:t>PROCEDURE</w:t>
      </w:r>
    </w:p>
    <w:p w:rsidRPr="00F43855" w:rsidR="00CD49A7" w:rsidP="00085109" w:rsidRDefault="00F43855">
      <w:pPr>
        <w:pStyle w:val="JuPara"/>
      </w:pPr>
      <w:r w:rsidRPr="00F43855">
        <w:fldChar w:fldCharType="begin"/>
      </w:r>
      <w:r w:rsidRPr="00F43855">
        <w:instrText xml:space="preserve"> SEQ level0 \*arabic </w:instrText>
      </w:r>
      <w:r w:rsidRPr="00F43855">
        <w:fldChar w:fldCharType="separate"/>
      </w:r>
      <w:r w:rsidR="0083532A">
        <w:rPr>
          <w:noProof/>
        </w:rPr>
        <w:t>1</w:t>
      </w:r>
      <w:r w:rsidRPr="00F43855">
        <w:fldChar w:fldCharType="end"/>
      </w:r>
      <w:r w:rsidRPr="00F43855" w:rsidR="00CD49A7">
        <w:t xml:space="preserve">.  The case originated in </w:t>
      </w:r>
      <w:r w:rsidRPr="00F43855">
        <w:t>an application (no. 64663/01)</w:t>
      </w:r>
      <w:r w:rsidRPr="00F43855" w:rsidR="00CD49A7">
        <w:t xml:space="preserve"> against </w:t>
      </w:r>
      <w:r w:rsidRPr="00F43855">
        <w:t xml:space="preserve">the </w:t>
      </w:r>
      <w:smartTag w:uri="urn:schemas-microsoft-com:office:smarttags" w:element="place">
        <w:smartTag w:uri="urn:schemas-microsoft-com:office:smarttags" w:element="PlaceName">
          <w:r w:rsidRPr="00F43855">
            <w:t>Italian</w:t>
          </w:r>
        </w:smartTag>
        <w:r w:rsidRPr="00F43855">
          <w:t xml:space="preserve"> </w:t>
        </w:r>
        <w:smartTag w:uri="urn:schemas-microsoft-com:office:smarttags" w:element="PlaceType">
          <w:r w:rsidRPr="00F43855">
            <w:t>Republic</w:t>
          </w:r>
        </w:smartTag>
      </w:smartTag>
      <w:r w:rsidRPr="00F43855" w:rsidR="00CD49A7">
        <w:t xml:space="preserve"> lodged with the </w:t>
      </w:r>
      <w:r w:rsidRPr="00F43855">
        <w:t>Court under Article 34</w:t>
      </w:r>
      <w:r w:rsidRPr="00F43855" w:rsidR="00CD49A7">
        <w:t xml:space="preserve"> of the Convention for the Protection of Human Rights and Fundamental Freedoms (“the Convention”) by </w:t>
      </w:r>
      <w:r w:rsidR="00642D52">
        <w:t>two</w:t>
      </w:r>
      <w:r w:rsidRPr="00F43855">
        <w:t xml:space="preserve"> Italian nationals, </w:t>
      </w:r>
      <w:r w:rsidR="00642D52">
        <w:t>Mrs Alessandra Lo Tufo and Mrs</w:t>
      </w:r>
      <w:r w:rsidRPr="00F43855">
        <w:t xml:space="preserve"> </w:t>
      </w:r>
      <w:r w:rsidR="00642D52">
        <w:t>Ilaria Lo Tufo</w:t>
      </w:r>
      <w:r w:rsidRPr="00F43855">
        <w:t xml:space="preserve"> (“the applicants”), on </w:t>
      </w:r>
      <w:smartTag w:uri="urn:schemas-microsoft-com:office:smarttags" w:element="date">
        <w:smartTagPr>
          <w:attr w:name="Month" w:val="8"/>
          <w:attr w:name="Day" w:val="14"/>
          <w:attr w:name="Year" w:val="2000"/>
        </w:smartTagPr>
        <w:r w:rsidRPr="00F43855">
          <w:t>14 August 2000</w:t>
        </w:r>
      </w:smartTag>
      <w:r w:rsidR="00642D52">
        <w:t>.</w:t>
      </w:r>
    </w:p>
    <w:p w:rsidRPr="00F43855" w:rsidR="00CD49A7" w:rsidRDefault="00F43855">
      <w:pPr>
        <w:pStyle w:val="JuPara"/>
      </w:pPr>
      <w:r w:rsidRPr="00F43855">
        <w:fldChar w:fldCharType="begin"/>
      </w:r>
      <w:r w:rsidRPr="00F43855">
        <w:instrText xml:space="preserve"> SEQ level0 \*arabic </w:instrText>
      </w:r>
      <w:r w:rsidRPr="00F43855">
        <w:fldChar w:fldCharType="separate"/>
      </w:r>
      <w:r w:rsidR="0083532A">
        <w:rPr>
          <w:noProof/>
        </w:rPr>
        <w:t>2</w:t>
      </w:r>
      <w:r w:rsidRPr="00F43855">
        <w:fldChar w:fldCharType="end"/>
      </w:r>
      <w:r w:rsidRPr="00F43855" w:rsidR="00CD49A7">
        <w:t>.  </w:t>
      </w:r>
      <w:r w:rsidRPr="00F43855">
        <w:t xml:space="preserve">The applicants were represented by Mrs L. Aglietti, a lawyer practising in </w:t>
      </w:r>
      <w:smartTag w:uri="urn:schemas-microsoft-com:office:smarttags" w:element="place">
        <w:smartTag w:uri="urn:schemas-microsoft-com:office:smarttags" w:element="City">
          <w:r w:rsidRPr="00F43855">
            <w:t>Florence</w:t>
          </w:r>
        </w:smartTag>
      </w:smartTag>
      <w:r w:rsidRPr="00F43855">
        <w:t xml:space="preserve">. </w:t>
      </w:r>
      <w:r w:rsidRPr="00F43855" w:rsidR="00CD49A7">
        <w:t xml:space="preserve">The </w:t>
      </w:r>
      <w:r w:rsidRPr="00F43855">
        <w:t>Italian</w:t>
      </w:r>
      <w:r w:rsidRPr="00F43855" w:rsidR="00CD49A7">
        <w:t xml:space="preserve"> Government (“the Government”) were represented</w:t>
      </w:r>
      <w:r w:rsidR="00484503">
        <w:t>, successively,</w:t>
      </w:r>
      <w:r w:rsidRPr="00F43855" w:rsidR="00CD49A7">
        <w:t xml:space="preserve"> by their Agent</w:t>
      </w:r>
      <w:r w:rsidR="00642D52">
        <w:t>s</w:t>
      </w:r>
      <w:r w:rsidRPr="00F43855" w:rsidR="00CD49A7">
        <w:t>, M</w:t>
      </w:r>
      <w:r w:rsidR="00895EAC">
        <w:t>r</w:t>
      </w:r>
      <w:r w:rsidR="00642D52">
        <w:t xml:space="preserve"> U. Leanza and </w:t>
      </w:r>
      <w:r w:rsidR="00895EAC">
        <w:t xml:space="preserve">Mr </w:t>
      </w:r>
      <w:r w:rsidR="00476E65">
        <w:t>I.M. Braguglia, and by their c</w:t>
      </w:r>
      <w:r w:rsidR="00642D52">
        <w:t>o-Agents, M</w:t>
      </w:r>
      <w:r w:rsidR="00895EAC">
        <w:t>r</w:t>
      </w:r>
      <w:r w:rsidR="00642D52">
        <w:t xml:space="preserve"> V. Esposito and </w:t>
      </w:r>
      <w:r w:rsidR="00895EAC">
        <w:t xml:space="preserve">Mr </w:t>
      </w:r>
      <w:r w:rsidR="00642D52">
        <w:t>F. Crisafulli</w:t>
      </w:r>
      <w:r w:rsidRPr="00F43855" w:rsidR="00CD49A7">
        <w:t>.</w:t>
      </w:r>
    </w:p>
    <w:p w:rsidRPr="00F43855" w:rsidR="00CD49A7" w:rsidRDefault="00F43855">
      <w:pPr>
        <w:pStyle w:val="JuPara"/>
      </w:pPr>
      <w:r w:rsidRPr="00F43855">
        <w:fldChar w:fldCharType="begin"/>
      </w:r>
      <w:r w:rsidRPr="00F43855">
        <w:instrText xml:space="preserve"> SEQ level0 \*arabic </w:instrText>
      </w:r>
      <w:r w:rsidRPr="00F43855">
        <w:fldChar w:fldCharType="separate"/>
      </w:r>
      <w:r w:rsidR="0083532A">
        <w:rPr>
          <w:noProof/>
        </w:rPr>
        <w:t>3</w:t>
      </w:r>
      <w:r w:rsidRPr="00F43855">
        <w:fldChar w:fldCharType="end"/>
      </w:r>
      <w:r w:rsidRPr="00F43855">
        <w:t>.  By a decision of 30 May 2002</w:t>
      </w:r>
      <w:r w:rsidR="00476E65">
        <w:t>,</w:t>
      </w:r>
      <w:r w:rsidRPr="00F43855">
        <w:t xml:space="preserve"> the</w:t>
      </w:r>
      <w:r w:rsidR="00642D52">
        <w:t xml:space="preserve"> Court declared the application</w:t>
      </w:r>
      <w:r w:rsidRPr="00F43855">
        <w:t xml:space="preserve"> admissible.</w:t>
      </w:r>
    </w:p>
    <w:p w:rsidRPr="00F43855" w:rsidR="00CD49A7" w:rsidRDefault="00F43855">
      <w:pPr>
        <w:pStyle w:val="JuPara"/>
      </w:pPr>
      <w:r w:rsidRPr="00F43855">
        <w:fldChar w:fldCharType="begin"/>
      </w:r>
      <w:r w:rsidRPr="00F43855">
        <w:instrText xml:space="preserve"> SEQ level0 \*arabic </w:instrText>
      </w:r>
      <w:r w:rsidRPr="00F43855">
        <w:fldChar w:fldCharType="separate"/>
      </w:r>
      <w:r w:rsidR="0083532A">
        <w:rPr>
          <w:noProof/>
        </w:rPr>
        <w:t>4</w:t>
      </w:r>
      <w:r w:rsidRPr="00F43855">
        <w:fldChar w:fldCharType="end"/>
      </w:r>
      <w:r w:rsidRPr="00F43855">
        <w:t>.  On 1 November 2004 the Court changed the composition of its Sections (Rule 25 § 1). This case was assigned to the newly composed First Section</w:t>
      </w:r>
      <w:r w:rsidR="00642D52">
        <w:t>.</w:t>
      </w:r>
    </w:p>
    <w:p w:rsidRPr="00F43855" w:rsidR="00CD49A7" w:rsidP="00F92A55" w:rsidRDefault="00CD49A7">
      <w:pPr>
        <w:pStyle w:val="JuHHead"/>
      </w:pPr>
      <w:r w:rsidRPr="00F43855">
        <w:t>THE FACTS</w:t>
      </w:r>
    </w:p>
    <w:p w:rsidRPr="00F43855" w:rsidR="00CD49A7" w:rsidP="00F92A55" w:rsidRDefault="00CD49A7">
      <w:pPr>
        <w:pStyle w:val="JuHIRoman"/>
      </w:pPr>
      <w:r w:rsidRPr="00F43855">
        <w:t>I.  THE CIRCUMSTANCES OF THE CASE</w:t>
      </w:r>
    </w:p>
    <w:p w:rsidRPr="00A30AB4" w:rsidR="002060A4" w:rsidP="002060A4" w:rsidRDefault="002060A4">
      <w:pPr>
        <w:pStyle w:val="JuPara"/>
      </w:pPr>
      <w:r w:rsidRPr="00A30AB4">
        <w:fldChar w:fldCharType="begin"/>
      </w:r>
      <w:r w:rsidRPr="00A30AB4">
        <w:instrText xml:space="preserve"> SEQ level0 \*arabic </w:instrText>
      </w:r>
      <w:r w:rsidRPr="00A30AB4">
        <w:fldChar w:fldCharType="separate"/>
      </w:r>
      <w:r w:rsidR="0083532A">
        <w:rPr>
          <w:noProof/>
        </w:rPr>
        <w:t>5</w:t>
      </w:r>
      <w:r w:rsidRPr="00A30AB4">
        <w:fldChar w:fldCharType="end"/>
      </w:r>
      <w:r w:rsidRPr="00A30AB4">
        <w:t xml:space="preserve">.  The applicants were born in 1968 and 1964 and reside in </w:t>
      </w:r>
      <w:smartTag w:uri="urn:schemas-microsoft-com:office:smarttags" w:element="City">
        <w:r w:rsidRPr="00A30AB4">
          <w:t>London</w:t>
        </w:r>
      </w:smartTag>
      <w:r w:rsidRPr="00A30AB4">
        <w:t xml:space="preserve"> and </w:t>
      </w:r>
      <w:smartTag w:uri="urn:schemas-microsoft-com:office:smarttags" w:element="place">
        <w:smartTag w:uri="urn:schemas-microsoft-com:office:smarttags" w:element="City">
          <w:r w:rsidRPr="00A30AB4">
            <w:t>Florence</w:t>
          </w:r>
        </w:smartTag>
      </w:smartTag>
      <w:r w:rsidR="008B7522">
        <w:t>,</w:t>
      </w:r>
      <w:r w:rsidRPr="008B7522" w:rsidR="008B7522">
        <w:t xml:space="preserve"> </w:t>
      </w:r>
      <w:r w:rsidRPr="00A30AB4" w:rsidR="008B7522">
        <w:t>respectively</w:t>
      </w:r>
      <w:r w:rsidRPr="00A30AB4">
        <w:t>.</w:t>
      </w:r>
    </w:p>
    <w:p w:rsidRPr="00A30AB4" w:rsidR="002060A4" w:rsidP="002060A4" w:rsidRDefault="002060A4">
      <w:pPr>
        <w:pStyle w:val="JuPara"/>
      </w:pPr>
      <w:r w:rsidRPr="00A30AB4">
        <w:fldChar w:fldCharType="begin"/>
      </w:r>
      <w:r w:rsidRPr="00A30AB4">
        <w:instrText xml:space="preserve"> SEQ level0 \*arabic </w:instrText>
      </w:r>
      <w:r w:rsidRPr="00A30AB4">
        <w:fldChar w:fldCharType="separate"/>
      </w:r>
      <w:r w:rsidR="0083532A">
        <w:rPr>
          <w:noProof/>
        </w:rPr>
        <w:t>6</w:t>
      </w:r>
      <w:r w:rsidRPr="00A30AB4">
        <w:fldChar w:fldCharType="end"/>
      </w:r>
      <w:r w:rsidR="008B7522">
        <w:t>.  C.S. was the owner of a</w:t>
      </w:r>
      <w:r w:rsidRPr="00A30AB4">
        <w:t xml:space="preserve"> </w:t>
      </w:r>
      <w:r w:rsidR="008B7522">
        <w:t>flat</w:t>
      </w:r>
      <w:r w:rsidRPr="00A30AB4">
        <w:t xml:space="preserve"> in </w:t>
      </w:r>
      <w:smartTag w:uri="urn:schemas-microsoft-com:office:smarttags" w:element="place">
        <w:smartTag w:uri="urn:schemas-microsoft-com:office:smarttags" w:element="City">
          <w:r w:rsidRPr="00A30AB4">
            <w:t>Florence</w:t>
          </w:r>
        </w:smartTag>
      </w:smartTag>
      <w:r w:rsidRPr="00A30AB4">
        <w:t>, which she had let to M.P.</w:t>
      </w:r>
    </w:p>
    <w:p w:rsidRPr="00A30AB4" w:rsidR="002060A4" w:rsidP="002060A4" w:rsidRDefault="002060A4">
      <w:pPr>
        <w:pStyle w:val="JuPara"/>
      </w:pPr>
      <w:r w:rsidRPr="00A30AB4">
        <w:fldChar w:fldCharType="begin"/>
      </w:r>
      <w:r w:rsidRPr="00A30AB4">
        <w:instrText xml:space="preserve"> SEQ level0 \*arabic </w:instrText>
      </w:r>
      <w:r w:rsidRPr="00A30AB4">
        <w:fldChar w:fldCharType="separate"/>
      </w:r>
      <w:r w:rsidR="0083532A">
        <w:rPr>
          <w:noProof/>
        </w:rPr>
        <w:t>7</w:t>
      </w:r>
      <w:r w:rsidRPr="00A30AB4">
        <w:fldChar w:fldCharType="end"/>
      </w:r>
      <w:r w:rsidRPr="00A30AB4">
        <w:t xml:space="preserve">.  On </w:t>
      </w:r>
      <w:smartTag w:uri="urn:schemas-microsoft-com:office:smarttags" w:element="date">
        <w:smartTagPr>
          <w:attr w:name="Month" w:val="12"/>
          <w:attr w:name="Day" w:val="21"/>
          <w:attr w:name="Year" w:val="1989"/>
        </w:smartTagPr>
        <w:r w:rsidRPr="00A30AB4">
          <w:t>21 December 1989</w:t>
        </w:r>
      </w:smartTag>
      <w:r w:rsidRPr="00A30AB4">
        <w:t xml:space="preserve"> the applicants became the owners of th</w:t>
      </w:r>
      <w:r w:rsidR="00033041">
        <w:t>e</w:t>
      </w:r>
      <w:r w:rsidRPr="00A30AB4">
        <w:t xml:space="preserve"> </w:t>
      </w:r>
      <w:r w:rsidR="008B7522">
        <w:t>flat</w:t>
      </w:r>
      <w:r w:rsidRPr="00A30AB4">
        <w:t>.</w:t>
      </w:r>
    </w:p>
    <w:p w:rsidRPr="00A30AB4" w:rsidR="002060A4" w:rsidP="002060A4" w:rsidRDefault="002060A4">
      <w:pPr>
        <w:pStyle w:val="JuPara"/>
      </w:pPr>
      <w:r w:rsidRPr="00A30AB4">
        <w:fldChar w:fldCharType="begin"/>
      </w:r>
      <w:r w:rsidRPr="00A30AB4">
        <w:instrText xml:space="preserve"> SEQ level0 \*arabic </w:instrText>
      </w:r>
      <w:r w:rsidRPr="00A30AB4">
        <w:fldChar w:fldCharType="separate"/>
      </w:r>
      <w:r w:rsidR="0083532A">
        <w:rPr>
          <w:noProof/>
        </w:rPr>
        <w:t>8</w:t>
      </w:r>
      <w:r w:rsidRPr="00A30AB4">
        <w:fldChar w:fldCharType="end"/>
      </w:r>
      <w:r w:rsidRPr="00A30AB4">
        <w:t>.  </w:t>
      </w:r>
      <w:r w:rsidR="003A4074">
        <w:t>T</w:t>
      </w:r>
      <w:r w:rsidRPr="00A30AB4" w:rsidR="003A4074">
        <w:t xml:space="preserve">he applicants </w:t>
      </w:r>
      <w:r w:rsidRPr="00A30AB4">
        <w:t xml:space="preserve">served </w:t>
      </w:r>
      <w:r w:rsidR="003A4074">
        <w:t xml:space="preserve">formal notice on the tenant </w:t>
      </w:r>
      <w:r w:rsidRPr="00A30AB4">
        <w:t>on 21 February 1990, inform</w:t>
      </w:r>
      <w:r w:rsidR="003A4074">
        <w:t>ing him</w:t>
      </w:r>
      <w:r w:rsidRPr="00A30AB4">
        <w:t xml:space="preserve"> that they intended to terminate the lease </w:t>
      </w:r>
      <w:r w:rsidR="00E90160">
        <w:t>when it expired</w:t>
      </w:r>
      <w:r w:rsidRPr="00A30AB4">
        <w:t xml:space="preserve"> on 30 June 1991, </w:t>
      </w:r>
      <w:r w:rsidR="00834C6B">
        <w:t>requiring</w:t>
      </w:r>
      <w:r w:rsidRPr="00A30AB4">
        <w:t xml:space="preserve"> him to vacate the premises by that date and </w:t>
      </w:r>
      <w:r w:rsidR="003A4074">
        <w:t>giving</w:t>
      </w:r>
      <w:r w:rsidRPr="00A30AB4">
        <w:t xml:space="preserve"> him </w:t>
      </w:r>
      <w:r w:rsidR="003A4074">
        <w:t xml:space="preserve">notice </w:t>
      </w:r>
      <w:r w:rsidRPr="00A30AB4">
        <w:t xml:space="preserve">to appear before the </w:t>
      </w:r>
      <w:r w:rsidRPr="00A30AB4" w:rsidR="00484503">
        <w:t>Florence</w:t>
      </w:r>
      <w:r w:rsidR="00484503">
        <w:t xml:space="preserve"> </w:t>
      </w:r>
      <w:r w:rsidR="008B7522">
        <w:t>Magistrate</w:t>
      </w:r>
      <w:r w:rsidR="00E652BE">
        <w:t>'</w:t>
      </w:r>
      <w:r w:rsidR="008B7522">
        <w:t>s Court.</w:t>
      </w:r>
    </w:p>
    <w:p w:rsidRPr="00A30AB4" w:rsidR="002060A4" w:rsidP="002060A4" w:rsidRDefault="002060A4">
      <w:pPr>
        <w:pStyle w:val="JuPara"/>
      </w:pPr>
      <w:r w:rsidRPr="00A30AB4">
        <w:fldChar w:fldCharType="begin"/>
      </w:r>
      <w:r w:rsidRPr="00A30AB4">
        <w:instrText xml:space="preserve"> SEQ level0 \*arabic </w:instrText>
      </w:r>
      <w:r w:rsidRPr="00A30AB4">
        <w:fldChar w:fldCharType="separate"/>
      </w:r>
      <w:r w:rsidR="0083532A">
        <w:rPr>
          <w:noProof/>
        </w:rPr>
        <w:t>9</w:t>
      </w:r>
      <w:r w:rsidRPr="00A30AB4">
        <w:fldChar w:fldCharType="end"/>
      </w:r>
      <w:r w:rsidRPr="00A30AB4">
        <w:t>.  </w:t>
      </w:r>
      <w:r w:rsidR="00033041">
        <w:t>In</w:t>
      </w:r>
      <w:r w:rsidRPr="00A30AB4">
        <w:t xml:space="preserve"> </w:t>
      </w:r>
      <w:r w:rsidR="00033041">
        <w:t>a decision</w:t>
      </w:r>
      <w:r w:rsidRPr="00A30AB4">
        <w:t xml:space="preserve"> of 18 June 1990</w:t>
      </w:r>
      <w:r w:rsidR="00476E65">
        <w:t>,</w:t>
      </w:r>
      <w:r w:rsidRPr="00A30AB4">
        <w:t xml:space="preserve"> that court formally </w:t>
      </w:r>
      <w:r w:rsidR="003A4074">
        <w:t>fixed the termination of</w:t>
      </w:r>
      <w:r w:rsidRPr="00A30AB4">
        <w:t xml:space="preserve"> the lease </w:t>
      </w:r>
      <w:r w:rsidR="00476E65">
        <w:t>for</w:t>
      </w:r>
      <w:r w:rsidRPr="00A30AB4">
        <w:t xml:space="preserve"> 15 November 1993 and </w:t>
      </w:r>
      <w:r w:rsidR="00484503">
        <w:t>ruled</w:t>
      </w:r>
      <w:r w:rsidRPr="00A30AB4">
        <w:t xml:space="preserve"> that the premises </w:t>
      </w:r>
      <w:r w:rsidR="00895EAC">
        <w:t>would have to</w:t>
      </w:r>
      <w:r w:rsidRPr="00A30AB4">
        <w:t xml:space="preserve"> be vacated by 15 September 1994. The decision became </w:t>
      </w:r>
      <w:r w:rsidR="008B7522">
        <w:t>enforceable</w:t>
      </w:r>
      <w:r w:rsidRPr="00A30AB4">
        <w:t xml:space="preserve"> on 17</w:t>
      </w:r>
      <w:r w:rsidR="00484503">
        <w:t> </w:t>
      </w:r>
      <w:r w:rsidRPr="00A30AB4">
        <w:t>July 1990.</w:t>
      </w:r>
    </w:p>
    <w:p w:rsidRPr="00A30AB4" w:rsidR="002060A4" w:rsidP="002060A4" w:rsidRDefault="002060A4">
      <w:pPr>
        <w:pStyle w:val="JuPara"/>
      </w:pPr>
      <w:r w:rsidRPr="00A30AB4">
        <w:fldChar w:fldCharType="begin"/>
      </w:r>
      <w:r w:rsidRPr="00A30AB4">
        <w:instrText xml:space="preserve"> SEQ level0 \*arabic </w:instrText>
      </w:r>
      <w:r w:rsidRPr="00A30AB4">
        <w:fldChar w:fldCharType="separate"/>
      </w:r>
      <w:r w:rsidR="0083532A">
        <w:rPr>
          <w:noProof/>
        </w:rPr>
        <w:t>10</w:t>
      </w:r>
      <w:r w:rsidRPr="00A30AB4">
        <w:fldChar w:fldCharType="end"/>
      </w:r>
      <w:r w:rsidRPr="00A30AB4">
        <w:t xml:space="preserve">.  On </w:t>
      </w:r>
      <w:smartTag w:uri="urn:schemas-microsoft-com:office:smarttags" w:element="date">
        <w:smartTagPr>
          <w:attr w:name="Month" w:val="11"/>
          <w:attr w:name="Day" w:val="17"/>
          <w:attr w:name="Year" w:val="1994"/>
        </w:smartTagPr>
        <w:r w:rsidRPr="00A30AB4">
          <w:t>17 November 1994</w:t>
        </w:r>
      </w:smartTag>
      <w:r w:rsidRPr="00A30AB4">
        <w:t xml:space="preserve"> one of the applicants, Mrs Ilaria Lo Tufo, signed </w:t>
      </w:r>
      <w:r w:rsidR="003F7B72">
        <w:t>a statutory declaration</w:t>
      </w:r>
      <w:r w:rsidRPr="00A30AB4">
        <w:t xml:space="preserve"> to the effect that she urgently needed to recover the use of the </w:t>
      </w:r>
      <w:r w:rsidR="00F80664">
        <w:t>flat</w:t>
      </w:r>
      <w:r w:rsidRPr="00A30AB4">
        <w:t xml:space="preserve"> for her own accommodation.</w:t>
      </w:r>
    </w:p>
    <w:p w:rsidRPr="00A30AB4" w:rsidR="002060A4" w:rsidP="002060A4" w:rsidRDefault="002060A4">
      <w:pPr>
        <w:pStyle w:val="JuPara"/>
      </w:pPr>
      <w:r w:rsidRPr="00A30AB4">
        <w:fldChar w:fldCharType="begin"/>
      </w:r>
      <w:r w:rsidRPr="00A30AB4">
        <w:instrText xml:space="preserve"> SEQ level0 \*arabic </w:instrText>
      </w:r>
      <w:r w:rsidRPr="00A30AB4">
        <w:fldChar w:fldCharType="separate"/>
      </w:r>
      <w:r w:rsidR="0083532A">
        <w:rPr>
          <w:noProof/>
        </w:rPr>
        <w:t>11</w:t>
      </w:r>
      <w:r w:rsidRPr="00A30AB4">
        <w:fldChar w:fldCharType="end"/>
      </w:r>
      <w:r w:rsidR="008B7522">
        <w:t>.</w:t>
      </w:r>
      <w:r w:rsidR="00E652BE">
        <w:t xml:space="preserve"> </w:t>
      </w:r>
      <w:r w:rsidRPr="00A30AB4">
        <w:t xml:space="preserve">On </w:t>
      </w:r>
      <w:smartTag w:uri="urn:schemas-microsoft-com:office:smarttags" w:element="date">
        <w:smartTagPr>
          <w:attr w:name="Month" w:val="5"/>
          <w:attr w:name="Day" w:val="25"/>
          <w:attr w:name="Year" w:val="1995"/>
        </w:smartTagPr>
        <w:r w:rsidRPr="00A30AB4">
          <w:t>25 May 1995</w:t>
        </w:r>
      </w:smartTag>
      <w:r w:rsidRPr="00A30AB4">
        <w:t xml:space="preserve"> the applicants served notice on the tenant requir</w:t>
      </w:r>
      <w:r w:rsidR="00F7380D">
        <w:t>ing him to vacate the premises.</w:t>
      </w:r>
    </w:p>
    <w:p w:rsidR="00E652BE" w:rsidP="002060A4" w:rsidRDefault="002060A4">
      <w:pPr>
        <w:pStyle w:val="JuPara"/>
      </w:pPr>
      <w:r w:rsidRPr="00A30AB4">
        <w:fldChar w:fldCharType="begin"/>
      </w:r>
      <w:r w:rsidRPr="00A30AB4">
        <w:instrText xml:space="preserve"> SEQ level0 \*arabic </w:instrText>
      </w:r>
      <w:r w:rsidRPr="00A30AB4">
        <w:fldChar w:fldCharType="separate"/>
      </w:r>
      <w:r w:rsidR="0083532A">
        <w:rPr>
          <w:noProof/>
        </w:rPr>
        <w:t>12</w:t>
      </w:r>
      <w:r w:rsidRPr="00A30AB4">
        <w:fldChar w:fldCharType="end"/>
      </w:r>
      <w:r w:rsidRPr="00A30AB4">
        <w:t xml:space="preserve">.  On </w:t>
      </w:r>
      <w:smartTag w:uri="urn:schemas-microsoft-com:office:smarttags" w:element="date">
        <w:smartTagPr>
          <w:attr w:name="Month" w:val="8"/>
          <w:attr w:name="Day" w:val="3"/>
          <w:attr w:name="Year" w:val="1995"/>
        </w:smartTagPr>
        <w:r w:rsidRPr="00A30AB4">
          <w:t>3 August 1995</w:t>
        </w:r>
      </w:smartTag>
      <w:r w:rsidRPr="00A30AB4">
        <w:t xml:space="preserve"> they served notice on </w:t>
      </w:r>
      <w:r w:rsidR="00895EAC">
        <w:t>the tenant</w:t>
      </w:r>
      <w:r w:rsidRPr="00A30AB4">
        <w:t xml:space="preserve"> indicating that he would be evicted on </w:t>
      </w:r>
      <w:smartTag w:uri="urn:schemas-microsoft-com:office:smarttags" w:element="date">
        <w:smartTagPr>
          <w:attr w:name="Month" w:val="10"/>
          <w:attr w:name="Day" w:val="5"/>
          <w:attr w:name="Year" w:val="1995"/>
        </w:smartTagPr>
        <w:r w:rsidRPr="00A30AB4">
          <w:t>5 October 1995</w:t>
        </w:r>
      </w:smartTag>
      <w:r w:rsidRPr="00A30AB4">
        <w:t xml:space="preserve"> by a bailiff.</w:t>
      </w:r>
    </w:p>
    <w:p w:rsidRPr="00A30AB4" w:rsidR="002060A4" w:rsidP="002060A4" w:rsidRDefault="002060A4">
      <w:pPr>
        <w:pStyle w:val="JuPara"/>
      </w:pPr>
      <w:r w:rsidRPr="00A30AB4">
        <w:fldChar w:fldCharType="begin"/>
      </w:r>
      <w:r w:rsidRPr="00A30AB4">
        <w:instrText xml:space="preserve"> SEQ level0 \*arabic </w:instrText>
      </w:r>
      <w:r w:rsidRPr="00A30AB4">
        <w:fldChar w:fldCharType="separate"/>
      </w:r>
      <w:r w:rsidR="0083532A">
        <w:rPr>
          <w:noProof/>
        </w:rPr>
        <w:t>13</w:t>
      </w:r>
      <w:r w:rsidRPr="00A30AB4">
        <w:fldChar w:fldCharType="end"/>
      </w:r>
      <w:r w:rsidRPr="00A30AB4">
        <w:t xml:space="preserve">.  Between </w:t>
      </w:r>
      <w:smartTag w:uri="urn:schemas-microsoft-com:office:smarttags" w:element="date">
        <w:smartTagPr>
          <w:attr w:name="Month" w:val="10"/>
          <w:attr w:name="Day" w:val="5"/>
          <w:attr w:name="Year" w:val="1995"/>
        </w:smartTagPr>
        <w:r w:rsidRPr="00A30AB4">
          <w:t>5 October 1995</w:t>
        </w:r>
      </w:smartTag>
      <w:r w:rsidRPr="00A30AB4">
        <w:t xml:space="preserve"> and </w:t>
      </w:r>
      <w:smartTag w:uri="urn:schemas-microsoft-com:office:smarttags" w:element="date">
        <w:smartTagPr>
          <w:attr w:name="Month" w:val="10"/>
          <w:attr w:name="Day" w:val="1"/>
          <w:attr w:name="Year" w:val="1998"/>
        </w:smartTagPr>
        <w:r w:rsidRPr="00A30AB4">
          <w:t>1 October 1998</w:t>
        </w:r>
      </w:smartTag>
      <w:r w:rsidRPr="00A30AB4">
        <w:t xml:space="preserve"> </w:t>
      </w:r>
      <w:r w:rsidR="00033041">
        <w:t>a</w:t>
      </w:r>
      <w:r w:rsidRPr="00A30AB4">
        <w:t xml:space="preserve"> bailiff made sixteen attempts to evict the tenant but each attempt proved unsuccessful. The applicants never obtained police assistance </w:t>
      </w:r>
      <w:r w:rsidR="008B7522">
        <w:t>for</w:t>
      </w:r>
      <w:r w:rsidRPr="00A30AB4">
        <w:t xml:space="preserve"> the enforcement of the eviction.</w:t>
      </w:r>
    </w:p>
    <w:p w:rsidRPr="00A30AB4" w:rsidR="002060A4" w:rsidP="002060A4" w:rsidRDefault="002060A4">
      <w:pPr>
        <w:pStyle w:val="JuPara"/>
      </w:pPr>
      <w:r w:rsidRPr="00A30AB4">
        <w:fldChar w:fldCharType="begin"/>
      </w:r>
      <w:r w:rsidRPr="00A30AB4">
        <w:instrText xml:space="preserve"> SEQ level0 \*arabic </w:instrText>
      </w:r>
      <w:r w:rsidRPr="00A30AB4">
        <w:fldChar w:fldCharType="separate"/>
      </w:r>
      <w:r w:rsidR="0083532A">
        <w:rPr>
          <w:noProof/>
        </w:rPr>
        <w:t>14</w:t>
      </w:r>
      <w:r w:rsidRPr="00A30AB4">
        <w:fldChar w:fldCharType="end"/>
      </w:r>
      <w:r w:rsidRPr="00A30AB4">
        <w:t xml:space="preserve">.  On 21 July 1999, relying on </w:t>
      </w:r>
      <w:r w:rsidR="00484503">
        <w:t>section</w:t>
      </w:r>
      <w:r w:rsidRPr="00A30AB4">
        <w:t xml:space="preserve"> 6 of Law no. 431/98, the tenant applied to the </w:t>
      </w:r>
      <w:r w:rsidRPr="00E752D4">
        <w:t>District Court</w:t>
      </w:r>
      <w:r w:rsidRPr="00A30AB4">
        <w:t xml:space="preserve"> for a stay of execution of the eviction. Th</w:t>
      </w:r>
      <w:r w:rsidR="008B7522">
        <w:t>e</w:t>
      </w:r>
      <w:r w:rsidRPr="00A30AB4">
        <w:t xml:space="preserve"> </w:t>
      </w:r>
      <w:r w:rsidR="008B7522">
        <w:t>c</w:t>
      </w:r>
      <w:r w:rsidRPr="00A30AB4">
        <w:t xml:space="preserve">ourt </w:t>
      </w:r>
      <w:r w:rsidR="00033041">
        <w:t>stayed the execution</w:t>
      </w:r>
      <w:r w:rsidRPr="00A30AB4">
        <w:t xml:space="preserve"> until </w:t>
      </w:r>
      <w:smartTag w:uri="urn:schemas-microsoft-com:office:smarttags" w:element="date">
        <w:smartTagPr>
          <w:attr w:name="Month" w:val="9"/>
          <w:attr w:name="Day" w:val="23"/>
          <w:attr w:name="Year" w:val="1999"/>
        </w:smartTagPr>
        <w:r w:rsidRPr="00A30AB4">
          <w:t>23 September 1999</w:t>
        </w:r>
      </w:smartTag>
      <w:r w:rsidRPr="00A30AB4">
        <w:t>.</w:t>
      </w:r>
    </w:p>
    <w:p w:rsidRPr="00A30AB4" w:rsidR="002060A4" w:rsidP="002060A4" w:rsidRDefault="002060A4">
      <w:pPr>
        <w:pStyle w:val="JuPara"/>
      </w:pPr>
      <w:r w:rsidRPr="00A30AB4">
        <w:fldChar w:fldCharType="begin"/>
      </w:r>
      <w:r w:rsidRPr="00A30AB4">
        <w:instrText xml:space="preserve"> SEQ level0 \*arabic </w:instrText>
      </w:r>
      <w:r w:rsidRPr="00A30AB4">
        <w:fldChar w:fldCharType="separate"/>
      </w:r>
      <w:r w:rsidR="0083532A">
        <w:rPr>
          <w:noProof/>
        </w:rPr>
        <w:t>15</w:t>
      </w:r>
      <w:r w:rsidRPr="00A30AB4">
        <w:fldChar w:fldCharType="end"/>
      </w:r>
      <w:r w:rsidR="009B27FA">
        <w:t>.  In October 2000</w:t>
      </w:r>
      <w:r w:rsidRPr="00A30AB4">
        <w:t xml:space="preserve"> the tenant spontaneously vacated the premises and the applicants were able to recover the use of their </w:t>
      </w:r>
      <w:r w:rsidR="00F80664">
        <w:t>flat</w:t>
      </w:r>
      <w:r w:rsidRPr="00A30AB4">
        <w:t>.</w:t>
      </w:r>
    </w:p>
    <w:p w:rsidRPr="00A30AB4" w:rsidR="002060A4" w:rsidP="002060A4" w:rsidRDefault="002060A4">
      <w:pPr>
        <w:pStyle w:val="JuHIRoman"/>
      </w:pPr>
      <w:r w:rsidRPr="00A30AB4">
        <w:t>II.  RELEVANT DOMESTIC LAW</w:t>
      </w:r>
    </w:p>
    <w:p w:rsidRPr="00A30AB4" w:rsidR="002060A4" w:rsidP="002060A4" w:rsidRDefault="002060A4">
      <w:pPr>
        <w:pStyle w:val="JuPara"/>
      </w:pPr>
      <w:r w:rsidRPr="00A30AB4">
        <w:fldChar w:fldCharType="begin"/>
      </w:r>
      <w:r w:rsidRPr="00A30AB4">
        <w:instrText xml:space="preserve"> SEQ level0 \*arabic </w:instrText>
      </w:r>
      <w:r w:rsidRPr="00A30AB4">
        <w:fldChar w:fldCharType="separate"/>
      </w:r>
      <w:r w:rsidR="0083532A">
        <w:rPr>
          <w:noProof/>
        </w:rPr>
        <w:t>16</w:t>
      </w:r>
      <w:r w:rsidRPr="00A30AB4">
        <w:fldChar w:fldCharType="end"/>
      </w:r>
      <w:r w:rsidRPr="00A30AB4">
        <w:t xml:space="preserve">.  Since 1947 the public authorities in </w:t>
      </w:r>
      <w:smartTag w:uri="urn:schemas-microsoft-com:office:smarttags" w:element="place">
        <w:smartTag w:uri="urn:schemas-microsoft-com:office:smarttags" w:element="country-region">
          <w:r w:rsidRPr="00A30AB4">
            <w:t>Italy</w:t>
          </w:r>
        </w:smartTag>
      </w:smartTag>
      <w:r w:rsidRPr="00A30AB4">
        <w:t xml:space="preserve"> have frequently intervened in residential tenancy legislation with the aim of controlling rents. This has been achieved by rent freezes (occasionally relaxed when the government decreed statutory increases), by the statutory extension of all current leases and by the suspension or staggering of the enforcement of orders for possession.</w:t>
      </w:r>
      <w:r w:rsidRPr="00A30AB4">
        <w:rPr>
          <w:b/>
          <w:bCs/>
        </w:rPr>
        <w:t xml:space="preserve"> </w:t>
      </w:r>
      <w:r w:rsidRPr="00A30AB4">
        <w:t>With respect to the extension of leases and the suspension or staggering of the enforcement of orders for possession, the relevant domestic law is set out in the Court</w:t>
      </w:r>
      <w:r w:rsidR="00E652BE">
        <w:t>'</w:t>
      </w:r>
      <w:r w:rsidRPr="00A30AB4">
        <w:t xml:space="preserve">s judgment in the case of </w:t>
      </w:r>
      <w:r w:rsidR="000E3E10">
        <w:rPr>
          <w:i/>
          <w:iCs/>
        </w:rPr>
        <w:t>Immobilia</w:t>
      </w:r>
      <w:r w:rsidRPr="00A30AB4">
        <w:rPr>
          <w:i/>
          <w:iCs/>
        </w:rPr>
        <w:t xml:space="preserve">re Saffi v. Italy </w:t>
      </w:r>
      <w:r w:rsidRPr="00A30AB4">
        <w:t>([GC], no. 22</w:t>
      </w:r>
      <w:r w:rsidR="000E3E10">
        <w:t xml:space="preserve">774/93, §§ 18-35, </w:t>
      </w:r>
      <w:r w:rsidR="000A4C08">
        <w:t>ECHR</w:t>
      </w:r>
      <w:r w:rsidR="000E3E10">
        <w:t xml:space="preserve"> 1999-V).</w:t>
      </w:r>
    </w:p>
    <w:p w:rsidR="00E652BE" w:rsidP="00DB4544" w:rsidRDefault="002060A4">
      <w:pPr>
        <w:pStyle w:val="JuPara"/>
      </w:pPr>
      <w:r w:rsidRPr="00A30AB4">
        <w:fldChar w:fldCharType="begin"/>
      </w:r>
      <w:r w:rsidRPr="00A30AB4">
        <w:instrText xml:space="preserve"> SEQ level0 \*arabic </w:instrText>
      </w:r>
      <w:r w:rsidRPr="00A30AB4">
        <w:fldChar w:fldCharType="separate"/>
      </w:r>
      <w:r w:rsidR="0083532A">
        <w:rPr>
          <w:noProof/>
        </w:rPr>
        <w:t>17</w:t>
      </w:r>
      <w:r w:rsidRPr="00A30AB4">
        <w:fldChar w:fldCharType="end"/>
      </w:r>
      <w:r w:rsidRPr="00A30AB4">
        <w:t>.  Lastly, L</w:t>
      </w:r>
      <w:r w:rsidR="00DB4544">
        <w:t xml:space="preserve">egislative Decree no. 147 of 24 </w:t>
      </w:r>
      <w:r w:rsidRPr="00A30AB4">
        <w:t>June 2003,</w:t>
      </w:r>
      <w:r w:rsidR="008B7522">
        <w:t xml:space="preserve"> </w:t>
      </w:r>
      <w:r w:rsidRPr="00A30AB4">
        <w:t>which later became Law no. 200/03, suspended the enforcement of certain</w:t>
      </w:r>
      <w:r w:rsidR="00DB4544">
        <w:t xml:space="preserve"> orders for possession until 30 </w:t>
      </w:r>
      <w:r w:rsidRPr="00A30AB4">
        <w:t>June 2004.</w:t>
      </w:r>
    </w:p>
    <w:p w:rsidRPr="00DB4544" w:rsidR="00CD49A7" w:rsidP="00DB4544" w:rsidRDefault="002060A4">
      <w:pPr>
        <w:pStyle w:val="JuPara"/>
      </w:pPr>
      <w:r w:rsidRPr="00DB4544">
        <w:fldChar w:fldCharType="begin"/>
      </w:r>
      <w:r w:rsidRPr="00DB4544">
        <w:instrText xml:space="preserve"> SEQ level0 \*arabic </w:instrText>
      </w:r>
      <w:r w:rsidRPr="00DB4544">
        <w:fldChar w:fldCharType="separate"/>
      </w:r>
      <w:r w:rsidR="0083532A">
        <w:rPr>
          <w:noProof/>
        </w:rPr>
        <w:t>18</w:t>
      </w:r>
      <w:r w:rsidRPr="00DB4544">
        <w:fldChar w:fldCharType="end"/>
      </w:r>
      <w:r w:rsidRPr="00DB4544">
        <w:t>.  By Legislative Decree no. 240 of 13 September 2004, th</w:t>
      </w:r>
      <w:r w:rsidRPr="00DB4544" w:rsidR="008B7522">
        <w:t>e</w:t>
      </w:r>
      <w:r w:rsidRPr="00DB4544">
        <w:t xml:space="preserve"> suspension was extended until 31 October 2004.</w:t>
      </w:r>
    </w:p>
    <w:p w:rsidRPr="00C2436E" w:rsidR="00C2436E" w:rsidP="008B7522" w:rsidRDefault="008B7522">
      <w:pPr>
        <w:pStyle w:val="JuHA"/>
      </w:pPr>
      <w:r>
        <w:t>A</w:t>
      </w:r>
      <w:r w:rsidR="00C82B7A">
        <w:t>.</w:t>
      </w:r>
      <w:r w:rsidR="00DB4544">
        <w:t>  </w:t>
      </w:r>
      <w:r w:rsidR="00C53186">
        <w:t>R</w:t>
      </w:r>
      <w:r w:rsidR="00C2436E">
        <w:t>ent control</w:t>
      </w:r>
      <w:r w:rsidR="00C53186">
        <w:t xml:space="preserve"> legislation</w:t>
      </w:r>
    </w:p>
    <w:p w:rsidR="00CD49A7" w:rsidRDefault="00F43855">
      <w:pPr>
        <w:pStyle w:val="JuPara"/>
      </w:pPr>
      <w:r w:rsidRPr="00F43855">
        <w:fldChar w:fldCharType="begin"/>
      </w:r>
      <w:r w:rsidRPr="00F43855">
        <w:instrText xml:space="preserve"> SEQ level0 \*arabic </w:instrText>
      </w:r>
      <w:r w:rsidRPr="00F43855">
        <w:fldChar w:fldCharType="separate"/>
      </w:r>
      <w:r w:rsidR="0083532A">
        <w:rPr>
          <w:noProof/>
        </w:rPr>
        <w:t>19</w:t>
      </w:r>
      <w:r w:rsidRPr="00F43855">
        <w:fldChar w:fldCharType="end"/>
      </w:r>
      <w:r w:rsidRPr="00F43855" w:rsidR="00CD49A7">
        <w:t>.  </w:t>
      </w:r>
      <w:r w:rsidR="00C2436E">
        <w:t xml:space="preserve">The history of </w:t>
      </w:r>
      <w:r w:rsidR="00B70FAF">
        <w:t xml:space="preserve">legislative developments in the area of </w:t>
      </w:r>
      <w:r w:rsidR="00C2436E">
        <w:t>rent control may be summarised as follows.</w:t>
      </w:r>
    </w:p>
    <w:p w:rsidRPr="006535CB" w:rsidR="00C2436E" w:rsidP="00C2436E" w:rsidRDefault="00C2436E">
      <w:pPr>
        <w:pStyle w:val="JuPara"/>
      </w:pPr>
      <w:r w:rsidRPr="006535CB">
        <w:fldChar w:fldCharType="begin"/>
      </w:r>
      <w:r w:rsidRPr="006535CB">
        <w:instrText xml:space="preserve"> SEQ level0 \*arabic </w:instrText>
      </w:r>
      <w:r w:rsidRPr="006535CB">
        <w:fldChar w:fldCharType="separate"/>
      </w:r>
      <w:r w:rsidR="0083532A">
        <w:rPr>
          <w:noProof/>
        </w:rPr>
        <w:t>20</w:t>
      </w:r>
      <w:r w:rsidRPr="006535CB">
        <w:fldChar w:fldCharType="end"/>
      </w:r>
      <w:r w:rsidRPr="006535CB">
        <w:t>.  The first relevant me</w:t>
      </w:r>
      <w:r w:rsidR="00DB4544">
        <w:t xml:space="preserve">asure was Law no. 392 of 27 </w:t>
      </w:r>
      <w:r w:rsidRPr="006535CB">
        <w:t>July</w:t>
      </w:r>
      <w:r w:rsidR="00DB4544">
        <w:t xml:space="preserve"> </w:t>
      </w:r>
      <w:r w:rsidRPr="006535CB">
        <w:t>1978</w:t>
      </w:r>
      <w:r w:rsidR="00C47189">
        <w:t>,</w:t>
      </w:r>
      <w:r w:rsidRPr="006535CB">
        <w:t xml:space="preserve"> which provided </w:t>
      </w:r>
      <w:r>
        <w:t>for a system of</w:t>
      </w:r>
      <w:r w:rsidRPr="006535CB">
        <w:t xml:space="preserve"> “fair rents” (</w:t>
      </w:r>
      <w:r w:rsidRPr="006535CB">
        <w:rPr>
          <w:i/>
        </w:rPr>
        <w:t>equo canone</w:t>
      </w:r>
      <w:r w:rsidRPr="006535CB">
        <w:t xml:space="preserve">) on the basis of a number of criteria such as the surface </w:t>
      </w:r>
      <w:r>
        <w:t xml:space="preserve">area of the </w:t>
      </w:r>
      <w:r w:rsidR="00F80664">
        <w:t>flat</w:t>
      </w:r>
      <w:r>
        <w:t xml:space="preserve"> and the cost of its construction</w:t>
      </w:r>
      <w:r w:rsidRPr="006535CB">
        <w:t>.</w:t>
      </w:r>
    </w:p>
    <w:p w:rsidRPr="006535CB" w:rsidR="00C2436E" w:rsidP="00C2436E" w:rsidRDefault="00C2436E">
      <w:pPr>
        <w:pStyle w:val="JuPara"/>
      </w:pPr>
      <w:r w:rsidRPr="006535CB">
        <w:fldChar w:fldCharType="begin"/>
      </w:r>
      <w:r w:rsidRPr="006535CB">
        <w:instrText xml:space="preserve"> SEQ level0 \*arabic </w:instrText>
      </w:r>
      <w:r w:rsidRPr="006535CB">
        <w:fldChar w:fldCharType="separate"/>
      </w:r>
      <w:r w:rsidR="0083532A">
        <w:rPr>
          <w:noProof/>
        </w:rPr>
        <w:t>21</w:t>
      </w:r>
      <w:r w:rsidRPr="006535CB">
        <w:fldChar w:fldCharType="end"/>
      </w:r>
      <w:r w:rsidRPr="006535CB">
        <w:t xml:space="preserve">.  The second </w:t>
      </w:r>
      <w:r w:rsidR="00C47189">
        <w:t>was adopted by</w:t>
      </w:r>
      <w:r w:rsidRPr="006535CB">
        <w:t xml:space="preserve"> the Italian authorities </w:t>
      </w:r>
      <w:r w:rsidR="00C47189">
        <w:t>in</w:t>
      </w:r>
      <w:r w:rsidRPr="006535CB">
        <w:t xml:space="preserve"> August 1992</w:t>
      </w:r>
      <w:r w:rsidR="00C47189">
        <w:t>,</w:t>
      </w:r>
      <w:r w:rsidRPr="006535CB">
        <w:t xml:space="preserve"> </w:t>
      </w:r>
      <w:r>
        <w:t>with a</w:t>
      </w:r>
      <w:r w:rsidRPr="006535CB">
        <w:t xml:space="preserve"> view </w:t>
      </w:r>
      <w:r>
        <w:t>to the</w:t>
      </w:r>
      <w:r w:rsidRPr="006535CB">
        <w:t xml:space="preserve"> progressive liberalisation of the </w:t>
      </w:r>
      <w:r>
        <w:t xml:space="preserve">rental property </w:t>
      </w:r>
      <w:r w:rsidRPr="006535CB">
        <w:t xml:space="preserve">market. </w:t>
      </w:r>
      <w:r w:rsidR="00C47189">
        <w:t>L</w:t>
      </w:r>
      <w:r w:rsidRPr="006535CB">
        <w:t xml:space="preserve">egislation relaxing </w:t>
      </w:r>
      <w:r>
        <w:t>rent level</w:t>
      </w:r>
      <w:r w:rsidRPr="006535CB">
        <w:t xml:space="preserve"> restrictions (</w:t>
      </w:r>
      <w:r w:rsidRPr="006535CB">
        <w:rPr>
          <w:i/>
        </w:rPr>
        <w:t>patti in deroga</w:t>
      </w:r>
      <w:r w:rsidRPr="006535CB">
        <w:t xml:space="preserve">) </w:t>
      </w:r>
      <w:r w:rsidR="00C47189">
        <w:t xml:space="preserve">then </w:t>
      </w:r>
      <w:r w:rsidR="00381795">
        <w:t>came</w:t>
      </w:r>
      <w:r w:rsidRPr="006535CB">
        <w:t xml:space="preserve"> into force. Owners and tenants were in principle given the opportunity to derogate from the rent </w:t>
      </w:r>
      <w:r w:rsidR="000E3E10">
        <w:t>fixed</w:t>
      </w:r>
      <w:r w:rsidRPr="006535CB">
        <w:t xml:space="preserve"> by law and to agree on a different </w:t>
      </w:r>
      <w:r w:rsidR="00381795">
        <w:t>amount</w:t>
      </w:r>
      <w:r w:rsidRPr="006535CB">
        <w:t>.</w:t>
      </w:r>
    </w:p>
    <w:p w:rsidR="00C2436E" w:rsidP="00C2436E" w:rsidRDefault="00C2436E">
      <w:pPr>
        <w:pStyle w:val="JuPara"/>
      </w:pPr>
      <w:r w:rsidRPr="006535CB">
        <w:fldChar w:fldCharType="begin"/>
      </w:r>
      <w:r w:rsidRPr="006535CB">
        <w:instrText xml:space="preserve"> SEQ level0 \*arabic </w:instrText>
      </w:r>
      <w:r w:rsidRPr="006535CB">
        <w:fldChar w:fldCharType="separate"/>
      </w:r>
      <w:r w:rsidR="0083532A">
        <w:rPr>
          <w:noProof/>
        </w:rPr>
        <w:t>22</w:t>
      </w:r>
      <w:r w:rsidRPr="006535CB">
        <w:fldChar w:fldCharType="end"/>
      </w:r>
      <w:r w:rsidRPr="006535CB">
        <w:t xml:space="preserve">.  Lastly, Law no. 431 of </w:t>
      </w:r>
      <w:smartTag w:uri="urn:schemas-microsoft-com:office:smarttags" w:element="date">
        <w:smartTagPr>
          <w:attr w:name="Month" w:val="12"/>
          <w:attr w:name="Day" w:val="9"/>
          <w:attr w:name="Year" w:val="1998"/>
        </w:smartTagPr>
        <w:r w:rsidRPr="006535CB">
          <w:t>9 December 1998</w:t>
        </w:r>
      </w:smartTag>
      <w:r w:rsidRPr="006535CB">
        <w:t xml:space="preserve"> reformed the tenanc</w:t>
      </w:r>
      <w:r>
        <w:t>y regulations</w:t>
      </w:r>
      <w:r w:rsidRPr="006535CB">
        <w:t xml:space="preserve"> and liberalised rents.</w:t>
      </w:r>
    </w:p>
    <w:p w:rsidR="00C2436E" w:rsidP="008B7522" w:rsidRDefault="008B7522">
      <w:pPr>
        <w:pStyle w:val="JuHA"/>
      </w:pPr>
      <w:r>
        <w:t>B</w:t>
      </w:r>
      <w:r w:rsidR="00C82B7A">
        <w:t>.</w:t>
      </w:r>
      <w:r w:rsidR="00DB4544">
        <w:t>  </w:t>
      </w:r>
      <w:r w:rsidR="00C2436E">
        <w:t>Obligations of the tenant in the case of late restitution</w:t>
      </w:r>
    </w:p>
    <w:p w:rsidRPr="006535CB" w:rsidR="00C2436E" w:rsidP="00C2436E" w:rsidRDefault="00C2436E">
      <w:pPr>
        <w:pStyle w:val="JuPara"/>
      </w:pPr>
      <w:r w:rsidRPr="006535CB">
        <w:fldChar w:fldCharType="begin"/>
      </w:r>
      <w:r w:rsidRPr="006535CB">
        <w:instrText xml:space="preserve"> SEQ level0 \*arabic </w:instrText>
      </w:r>
      <w:r w:rsidRPr="006535CB">
        <w:fldChar w:fldCharType="separate"/>
      </w:r>
      <w:r w:rsidR="0083532A">
        <w:rPr>
          <w:noProof/>
        </w:rPr>
        <w:t>23</w:t>
      </w:r>
      <w:r w:rsidRPr="006535CB">
        <w:fldChar w:fldCharType="end"/>
      </w:r>
      <w:r w:rsidRPr="006535CB">
        <w:t xml:space="preserve">.  The tenant is under a general obligation to </w:t>
      </w:r>
      <w:r>
        <w:t>compensate</w:t>
      </w:r>
      <w:r w:rsidRPr="006535CB">
        <w:t xml:space="preserve"> the </w:t>
      </w:r>
      <w:r w:rsidR="00834C6B">
        <w:t>landlord</w:t>
      </w:r>
      <w:r w:rsidRPr="006535CB">
        <w:t xml:space="preserve"> </w:t>
      </w:r>
      <w:r>
        <w:t xml:space="preserve">for </w:t>
      </w:r>
      <w:r w:rsidRPr="006535CB">
        <w:t xml:space="preserve">any </w:t>
      </w:r>
      <w:r>
        <w:t>loss caused by the</w:t>
      </w:r>
      <w:r w:rsidRPr="006535CB">
        <w:t xml:space="preserve"> </w:t>
      </w:r>
      <w:r w:rsidR="00834C6B">
        <w:t>be</w:t>
      </w:r>
      <w:r w:rsidRPr="006535CB">
        <w:t>late</w:t>
      </w:r>
      <w:r w:rsidR="00834C6B">
        <w:t>d</w:t>
      </w:r>
      <w:r w:rsidRPr="006535CB">
        <w:t xml:space="preserve"> </w:t>
      </w:r>
      <w:r w:rsidR="00834C6B">
        <w:t>return</w:t>
      </w:r>
      <w:r w:rsidRPr="006535CB">
        <w:t xml:space="preserve"> of the </w:t>
      </w:r>
      <w:r>
        <w:t>accommodation</w:t>
      </w:r>
      <w:r w:rsidRPr="006535CB">
        <w:t xml:space="preserve">. In this </w:t>
      </w:r>
      <w:r>
        <w:t>connection</w:t>
      </w:r>
      <w:r w:rsidRPr="006535CB">
        <w:t>, Article 1591 of the Civil Code provides:</w:t>
      </w:r>
    </w:p>
    <w:p w:rsidRPr="006535CB" w:rsidR="00C2436E" w:rsidP="00C2436E" w:rsidRDefault="00C2436E">
      <w:pPr>
        <w:pStyle w:val="JuQuot"/>
      </w:pPr>
      <w:r w:rsidRPr="006535CB">
        <w:t>“</w:t>
      </w:r>
      <w:r w:rsidR="008D5A39">
        <w:t>T</w:t>
      </w:r>
      <w:r w:rsidRPr="006535CB">
        <w:t>enant</w:t>
      </w:r>
      <w:r w:rsidR="008D5A39">
        <w:t>s who fail</w:t>
      </w:r>
      <w:r w:rsidRPr="006535CB">
        <w:t xml:space="preserve"> to vacate </w:t>
      </w:r>
      <w:r w:rsidR="008D5A39">
        <w:t>premises</w:t>
      </w:r>
      <w:r w:rsidRPr="006535CB">
        <w:t xml:space="preserve"> </w:t>
      </w:r>
      <w:r w:rsidR="008D5A39">
        <w:t>are</w:t>
      </w:r>
      <w:r w:rsidRPr="006535CB">
        <w:t xml:space="preserve"> under an obligation to pay the </w:t>
      </w:r>
      <w:r w:rsidR="00834C6B">
        <w:t>landlord</w:t>
      </w:r>
      <w:r w:rsidRPr="006535CB">
        <w:t xml:space="preserve"> the agreed amount until the date </w:t>
      </w:r>
      <w:r w:rsidR="008D5A39">
        <w:t>of their departure</w:t>
      </w:r>
      <w:r w:rsidRPr="006535CB">
        <w:t xml:space="preserve">, together with </w:t>
      </w:r>
      <w:r w:rsidR="008D5A39">
        <w:t>compensation for any other loss</w:t>
      </w:r>
      <w:r w:rsidRPr="006535CB">
        <w:t>.”</w:t>
      </w:r>
    </w:p>
    <w:p w:rsidR="00C2436E" w:rsidP="00C2436E" w:rsidRDefault="00C2436E">
      <w:pPr>
        <w:pStyle w:val="JuPara"/>
      </w:pPr>
      <w:r w:rsidRPr="006535CB">
        <w:fldChar w:fldCharType="begin"/>
      </w:r>
      <w:r w:rsidRPr="006535CB">
        <w:instrText xml:space="preserve"> SEQ level0 \*arabic </w:instrText>
      </w:r>
      <w:r w:rsidRPr="006535CB">
        <w:fldChar w:fldCharType="separate"/>
      </w:r>
      <w:r w:rsidR="0083532A">
        <w:rPr>
          <w:noProof/>
        </w:rPr>
        <w:t>24</w:t>
      </w:r>
      <w:r w:rsidRPr="006535CB">
        <w:fldChar w:fldCharType="end"/>
      </w:r>
      <w:r w:rsidRPr="006535CB">
        <w:t xml:space="preserve">.  However, Law no. 61 of </w:t>
      </w:r>
      <w:r w:rsidR="00DB4544">
        <w:t xml:space="preserve">21 February </w:t>
      </w:r>
      <w:r w:rsidRPr="006535CB">
        <w:t xml:space="preserve">1989 </w:t>
      </w:r>
      <w:r w:rsidR="008D5A39">
        <w:t>provided</w:t>
      </w:r>
      <w:r w:rsidRPr="006535CB">
        <w:t xml:space="preserve">, </w:t>
      </w:r>
      <w:r w:rsidRPr="006535CB">
        <w:rPr>
          <w:i/>
        </w:rPr>
        <w:t>inter alia</w:t>
      </w:r>
      <w:r w:rsidRPr="006535CB">
        <w:t xml:space="preserve">, </w:t>
      </w:r>
      <w:r w:rsidR="008D5A39">
        <w:t>that</w:t>
      </w:r>
      <w:r w:rsidRPr="006535CB">
        <w:t xml:space="preserve"> the compensation claimable by the </w:t>
      </w:r>
      <w:r w:rsidR="00834C6B">
        <w:t>landlord</w:t>
      </w:r>
      <w:r w:rsidRPr="006535CB">
        <w:t xml:space="preserve"> </w:t>
      </w:r>
      <w:r w:rsidR="00C47189">
        <w:t>would be</w:t>
      </w:r>
      <w:r w:rsidR="008D5A39">
        <w:t xml:space="preserve"> limited to the amount of the</w:t>
      </w:r>
      <w:r w:rsidRPr="006535CB">
        <w:t xml:space="preserve"> rent paid by the tenant at the time of the expir</w:t>
      </w:r>
      <w:r w:rsidR="008D5A39">
        <w:t>y</w:t>
      </w:r>
      <w:r w:rsidRPr="006535CB">
        <w:t xml:space="preserve"> of the lease, </w:t>
      </w:r>
      <w:r w:rsidR="008D5A39">
        <w:t>index-linked</w:t>
      </w:r>
      <w:r w:rsidRPr="006535CB">
        <w:t xml:space="preserve"> to the cost of living (</w:t>
      </w:r>
      <w:r w:rsidR="00C82B7A">
        <w:t>section</w:t>
      </w:r>
      <w:r w:rsidR="00DB4544">
        <w:t xml:space="preserve"> 24 of Law no.</w:t>
      </w:r>
      <w:r w:rsidR="00381795">
        <w:t xml:space="preserve"> </w:t>
      </w:r>
      <w:r w:rsidRPr="006535CB">
        <w:t xml:space="preserve">392 of 27 July 1978) </w:t>
      </w:r>
      <w:r w:rsidR="008D5A39">
        <w:t>and increased by</w:t>
      </w:r>
      <w:r w:rsidRPr="006535CB">
        <w:t xml:space="preserve"> 20%, </w:t>
      </w:r>
      <w:r w:rsidR="008D5A39">
        <w:t xml:space="preserve">in respect of the whole period in which the </w:t>
      </w:r>
      <w:r w:rsidR="00834C6B">
        <w:t>landlord</w:t>
      </w:r>
      <w:r w:rsidR="008D5A39">
        <w:t xml:space="preserve"> ha</w:t>
      </w:r>
      <w:r w:rsidR="00C82B7A">
        <w:t>d</w:t>
      </w:r>
      <w:r w:rsidR="008D5A39">
        <w:t xml:space="preserve"> been unable to </w:t>
      </w:r>
      <w:r w:rsidR="00C47189">
        <w:t>recover</w:t>
      </w:r>
      <w:r w:rsidR="008D5A39">
        <w:t xml:space="preserve"> possession of </w:t>
      </w:r>
      <w:r w:rsidR="00C47189">
        <w:t>his</w:t>
      </w:r>
      <w:r w:rsidR="008D5A39">
        <w:t xml:space="preserve"> property</w:t>
      </w:r>
      <w:r w:rsidRPr="006535CB">
        <w:t>.</w:t>
      </w:r>
    </w:p>
    <w:p w:rsidR="00C2436E" w:rsidP="008B7522" w:rsidRDefault="008B7522">
      <w:pPr>
        <w:pStyle w:val="JuHA"/>
      </w:pPr>
      <w:r>
        <w:t>C</w:t>
      </w:r>
      <w:r w:rsidR="00C82B7A">
        <w:t>.</w:t>
      </w:r>
      <w:r w:rsidR="00DB4544">
        <w:t>  </w:t>
      </w:r>
      <w:r w:rsidR="008D5A39">
        <w:t>Principles laid down by the Constitutional Court</w:t>
      </w:r>
    </w:p>
    <w:p w:rsidR="008D5A39" w:rsidP="00C2436E" w:rsidRDefault="008D5A39">
      <w:pPr>
        <w:pStyle w:val="JuPara"/>
      </w:pPr>
      <w:r>
        <w:fldChar w:fldCharType="begin"/>
      </w:r>
      <w:r>
        <w:instrText xml:space="preserve"> SEQ level0 \*arabic </w:instrText>
      </w:r>
      <w:r>
        <w:fldChar w:fldCharType="separate"/>
      </w:r>
      <w:r w:rsidR="0083532A">
        <w:rPr>
          <w:noProof/>
        </w:rPr>
        <w:t>25</w:t>
      </w:r>
      <w:r>
        <w:fldChar w:fldCharType="end"/>
      </w:r>
      <w:r w:rsidR="00C82B7A">
        <w:t>.  On a number of occasions</w:t>
      </w:r>
      <w:r>
        <w:t xml:space="preserve"> the </w:t>
      </w:r>
      <w:r w:rsidRPr="006535CB">
        <w:t xml:space="preserve">Constitutional Court </w:t>
      </w:r>
      <w:r w:rsidR="00C47189">
        <w:t>has been</w:t>
      </w:r>
      <w:r w:rsidRPr="006535CB">
        <w:t xml:space="preserve"> called upon to</w:t>
      </w:r>
      <w:r>
        <w:t xml:space="preserve"> consider whether the statutory system for the extension of leases and for the suspension </w:t>
      </w:r>
      <w:r w:rsidR="00C47189">
        <w:t>or</w:t>
      </w:r>
      <w:r>
        <w:t xml:space="preserve"> staggering of the enforcement of orders for possession </w:t>
      </w:r>
      <w:r w:rsidR="002D1641">
        <w:t>was compatible</w:t>
      </w:r>
      <w:r>
        <w:t xml:space="preserve"> with the Constitution in </w:t>
      </w:r>
      <w:r w:rsidR="00C47189">
        <w:t>terms of the right to peaceful enjoyment of property</w:t>
      </w:r>
      <w:r>
        <w:t xml:space="preserve"> and the reasonable-time </w:t>
      </w:r>
      <w:r w:rsidR="00E476DE">
        <w:t>requirement</w:t>
      </w:r>
      <w:r>
        <w:t xml:space="preserve">. It </w:t>
      </w:r>
      <w:r w:rsidR="00C47189">
        <w:t>h</w:t>
      </w:r>
      <w:r>
        <w:t xml:space="preserve">as also </w:t>
      </w:r>
      <w:r w:rsidR="00C47189">
        <w:t xml:space="preserve">been </w:t>
      </w:r>
      <w:r>
        <w:t xml:space="preserve">requested to rule on the issue of the limitation to the compensation that </w:t>
      </w:r>
      <w:r w:rsidR="00C47189">
        <w:t>a</w:t>
      </w:r>
      <w:r>
        <w:t xml:space="preserve"> </w:t>
      </w:r>
      <w:r w:rsidR="00373740">
        <w:t>landlord</w:t>
      </w:r>
      <w:r w:rsidR="00C47189">
        <w:t xml:space="preserve"> is entitled to claim</w:t>
      </w:r>
      <w:r>
        <w:t>.</w:t>
      </w:r>
    </w:p>
    <w:p w:rsidR="008D5A39" w:rsidP="00C2436E" w:rsidRDefault="008D5A39">
      <w:pPr>
        <w:pStyle w:val="JuPara"/>
      </w:pPr>
      <w:r>
        <w:fldChar w:fldCharType="begin"/>
      </w:r>
      <w:r>
        <w:instrText xml:space="preserve"> SEQ level0 \*arabic </w:instrText>
      </w:r>
      <w:r>
        <w:fldChar w:fldCharType="separate"/>
      </w:r>
      <w:r w:rsidR="0083532A">
        <w:rPr>
          <w:noProof/>
        </w:rPr>
        <w:t>26</w:t>
      </w:r>
      <w:r>
        <w:fldChar w:fldCharType="end"/>
      </w:r>
      <w:r>
        <w:t xml:space="preserve">.  In response to the first question, the Constitutional Court </w:t>
      </w:r>
      <w:r w:rsidR="00C47189">
        <w:t>gave</w:t>
      </w:r>
      <w:r>
        <w:t xml:space="preserve"> a number of judgments between 1984 and 2004 (in particular</w:t>
      </w:r>
      <w:r w:rsidR="00C47189">
        <w:t>,</w:t>
      </w:r>
      <w:r>
        <w:t xml:space="preserve"> judgment</w:t>
      </w:r>
      <w:r w:rsidR="00C47189">
        <w:t>s no</w:t>
      </w:r>
      <w:r w:rsidR="00C82B7A">
        <w:t>s</w:t>
      </w:r>
      <w:r>
        <w:t xml:space="preserve">. 89 of 1984, 108 of 1986 and 155 of 2004) in which it </w:t>
      </w:r>
      <w:r w:rsidR="002D1641">
        <w:t>found</w:t>
      </w:r>
      <w:r>
        <w:t xml:space="preserve"> </w:t>
      </w:r>
      <w:r w:rsidR="002D1641">
        <w:t>that</w:t>
      </w:r>
      <w:r>
        <w:t xml:space="preserve"> the legislative measures </w:t>
      </w:r>
      <w:r w:rsidR="002D1641">
        <w:t xml:space="preserve">were compliant, being justified by their </w:t>
      </w:r>
      <w:r w:rsidR="00C82B7A">
        <w:t>transiti</w:t>
      </w:r>
      <w:r w:rsidR="002D1641">
        <w:t xml:space="preserve">onal and limited nature. In the last of the above-mentioned judgments, in particular, the </w:t>
      </w:r>
      <w:smartTag w:uri="urn:schemas-microsoft-com:office:smarttags" w:element="Street">
        <w:smartTag w:uri="urn:schemas-microsoft-com:office:smarttags" w:element="address">
          <w:r w:rsidR="002D1641">
            <w:t>Constitutional Court</w:t>
          </w:r>
        </w:smartTag>
      </w:smartTag>
      <w:r w:rsidR="002D1641">
        <w:t xml:space="preserve"> asserted that</w:t>
      </w:r>
      <w:r w:rsidR="00476E65">
        <w:t>,</w:t>
      </w:r>
      <w:r w:rsidR="002D1641">
        <w:t xml:space="preserve"> even though the legislat</w:t>
      </w:r>
      <w:r w:rsidR="00C82B7A">
        <w:t>ure</w:t>
      </w:r>
      <w:r w:rsidR="002D1641">
        <w:t xml:space="preserve"> had a duty to make provision for individuals who were particularly destitute, </w:t>
      </w:r>
      <w:r w:rsidR="00373740">
        <w:t xml:space="preserve">the burden could </w:t>
      </w:r>
      <w:r w:rsidR="002D1641">
        <w:t xml:space="preserve">no longer simply </w:t>
      </w:r>
      <w:r w:rsidR="00373740">
        <w:t>be</w:t>
      </w:r>
      <w:r w:rsidR="002D1641">
        <w:t xml:space="preserve"> transfer</w:t>
      </w:r>
      <w:r w:rsidR="00373740">
        <w:t>red</w:t>
      </w:r>
      <w:r w:rsidR="002D1641">
        <w:t xml:space="preserve"> exclusively to the </w:t>
      </w:r>
      <w:r w:rsidR="00373740">
        <w:t>landlord</w:t>
      </w:r>
      <w:r w:rsidR="002D1641">
        <w:t>, who m</w:t>
      </w:r>
      <w:r w:rsidR="00373740">
        <w:t>ight</w:t>
      </w:r>
      <w:r w:rsidR="002D1641">
        <w:t xml:space="preserve"> </w:t>
      </w:r>
      <w:r w:rsidR="00373740">
        <w:t>himself</w:t>
      </w:r>
      <w:r w:rsidR="002D1641">
        <w:t xml:space="preserve"> be in a situation of </w:t>
      </w:r>
      <w:r w:rsidR="00C47189">
        <w:t>hardship</w:t>
      </w:r>
      <w:r w:rsidR="002D1641">
        <w:t>. Moreover, the</w:t>
      </w:r>
      <w:r w:rsidR="00C47189">
        <w:t xml:space="preserve"> future continuation</w:t>
      </w:r>
      <w:r w:rsidR="002D1641">
        <w:t xml:space="preserve"> of the s</w:t>
      </w:r>
      <w:r w:rsidR="00C47189">
        <w:t xml:space="preserve">ame legislative logic could no longer </w:t>
      </w:r>
      <w:r w:rsidR="002D1641">
        <w:t>be perceived as legitimate.</w:t>
      </w:r>
    </w:p>
    <w:p w:rsidRPr="006535CB" w:rsidR="008D5A39" w:rsidP="008D5A39" w:rsidRDefault="008D5A39">
      <w:pPr>
        <w:pStyle w:val="JuPara"/>
      </w:pPr>
      <w:r w:rsidRPr="006535CB">
        <w:fldChar w:fldCharType="begin"/>
      </w:r>
      <w:r w:rsidRPr="006535CB">
        <w:instrText xml:space="preserve"> SEQ level0 \*arabic </w:instrText>
      </w:r>
      <w:r w:rsidRPr="006535CB">
        <w:fldChar w:fldCharType="separate"/>
      </w:r>
      <w:r w:rsidR="0083532A">
        <w:rPr>
          <w:noProof/>
        </w:rPr>
        <w:t>27</w:t>
      </w:r>
      <w:r w:rsidRPr="006535CB">
        <w:fldChar w:fldCharType="end"/>
      </w:r>
      <w:r w:rsidRPr="006535CB">
        <w:t>.  </w:t>
      </w:r>
      <w:r w:rsidR="002D1641">
        <w:t>As to the second question, in</w:t>
      </w:r>
      <w:r w:rsidRPr="006535CB" w:rsidR="002D1641">
        <w:t xml:space="preserve"> judgment no. 482 of 2000</w:t>
      </w:r>
      <w:r w:rsidR="002D1641">
        <w:t xml:space="preserve"> t</w:t>
      </w:r>
      <w:r w:rsidRPr="006535CB">
        <w:t xml:space="preserve">he </w:t>
      </w:r>
      <w:smartTag w:uri="urn:schemas-microsoft-com:office:smarttags" w:element="Street">
        <w:smartTag w:uri="urn:schemas-microsoft-com:office:smarttags" w:element="address">
          <w:r w:rsidRPr="006535CB">
            <w:t>Constitutional Court</w:t>
          </w:r>
        </w:smartTag>
      </w:smartTag>
      <w:r w:rsidRPr="006535CB">
        <w:t xml:space="preserve"> </w:t>
      </w:r>
      <w:r w:rsidR="002D1641">
        <w:t xml:space="preserve">confirmed </w:t>
      </w:r>
      <w:r w:rsidR="00C47189">
        <w:t>that compensation could be limited during the</w:t>
      </w:r>
      <w:r w:rsidRPr="006535CB">
        <w:t xml:space="preserve"> periods </w:t>
      </w:r>
      <w:r w:rsidR="00C47189">
        <w:t>determined by law for</w:t>
      </w:r>
      <w:r w:rsidRPr="006535CB">
        <w:t xml:space="preserve"> the suspension of evictions. </w:t>
      </w:r>
      <w:r w:rsidR="00C82B7A">
        <w:t>It</w:t>
      </w:r>
      <w:r w:rsidRPr="006535CB">
        <w:t xml:space="preserve"> explained that the introduction of </w:t>
      </w:r>
      <w:r w:rsidR="00C47189">
        <w:t>such limits</w:t>
      </w:r>
      <w:r w:rsidRPr="006535CB">
        <w:t xml:space="preserve"> was intended to </w:t>
      </w:r>
      <w:r w:rsidR="002D1641">
        <w:t>govern tenancies concerned</w:t>
      </w:r>
      <w:r w:rsidRPr="006535CB">
        <w:t xml:space="preserve"> </w:t>
      </w:r>
      <w:r w:rsidR="002D1641">
        <w:t>by</w:t>
      </w:r>
      <w:r w:rsidRPr="006535CB">
        <w:t xml:space="preserve"> the emergency legislation</w:t>
      </w:r>
      <w:r w:rsidR="002D1641">
        <w:t xml:space="preserve"> currently in force</w:t>
      </w:r>
      <w:r w:rsidRPr="006535CB">
        <w:t>,</w:t>
      </w:r>
      <w:r w:rsidR="002D1641">
        <w:t xml:space="preserve"> </w:t>
      </w:r>
      <w:r w:rsidR="00C82B7A">
        <w:t>and that</w:t>
      </w:r>
      <w:r w:rsidRPr="006535CB">
        <w:t xml:space="preserve"> the housing shortage made </w:t>
      </w:r>
      <w:r w:rsidR="00C47189">
        <w:t>such</w:t>
      </w:r>
      <w:r w:rsidRPr="006535CB">
        <w:t xml:space="preserve"> suspension of enforcement necessary. Whil</w:t>
      </w:r>
      <w:r w:rsidR="006F61B6">
        <w:t>st</w:t>
      </w:r>
      <w:r w:rsidRPr="006535CB">
        <w:t xml:space="preserve"> evictions were suspended </w:t>
      </w:r>
      <w:r w:rsidRPr="006535CB">
        <w:rPr>
          <w:i/>
        </w:rPr>
        <w:t>ex lege</w:t>
      </w:r>
      <w:r w:rsidRPr="006535CB">
        <w:t xml:space="preserve">, the law </w:t>
      </w:r>
      <w:r w:rsidR="00C47189">
        <w:t xml:space="preserve">also </w:t>
      </w:r>
      <w:r w:rsidRPr="006535CB">
        <w:t xml:space="preserve">determined the </w:t>
      </w:r>
      <w:r w:rsidRPr="00381795">
        <w:t>quantum</w:t>
      </w:r>
      <w:r w:rsidRPr="006535CB">
        <w:t xml:space="preserve"> of the </w:t>
      </w:r>
      <w:r w:rsidR="002D1641">
        <w:t>compensation</w:t>
      </w:r>
      <w:r w:rsidRPr="006535CB">
        <w:t xml:space="preserve"> </w:t>
      </w:r>
      <w:r w:rsidR="00E476DE">
        <w:t>that could be claimed from</w:t>
      </w:r>
      <w:r w:rsidRPr="006535CB">
        <w:t xml:space="preserve"> the tenant, both measures being temporary and exceptional. Besides, </w:t>
      </w:r>
      <w:r w:rsidR="00C82B7A">
        <w:t>to compensate</w:t>
      </w:r>
      <w:r w:rsidRPr="006535CB">
        <w:t xml:space="preserve"> </w:t>
      </w:r>
      <w:r w:rsidR="00C47189">
        <w:t>landlords</w:t>
      </w:r>
      <w:r w:rsidR="00C82B7A">
        <w:t xml:space="preserve"> to some extent</w:t>
      </w:r>
      <w:r w:rsidR="00476E65">
        <w:t>,</w:t>
      </w:r>
      <w:r w:rsidRPr="006535CB">
        <w:t xml:space="preserve"> </w:t>
      </w:r>
      <w:r w:rsidR="00C82B7A">
        <w:t>they had been</w:t>
      </w:r>
      <w:r w:rsidRPr="006535CB">
        <w:t xml:space="preserve"> </w:t>
      </w:r>
      <w:r w:rsidR="00C47189">
        <w:t>exempt</w:t>
      </w:r>
      <w:r w:rsidR="00C82B7A">
        <w:t>ed</w:t>
      </w:r>
      <w:r w:rsidRPr="006535CB">
        <w:t xml:space="preserve"> </w:t>
      </w:r>
      <w:r w:rsidR="002D1641">
        <w:t xml:space="preserve">from having to </w:t>
      </w:r>
      <w:r w:rsidR="00C82B7A">
        <w:t>prove that they had suffered a loss</w:t>
      </w:r>
      <w:r w:rsidR="002D1641">
        <w:t>.</w:t>
      </w:r>
    </w:p>
    <w:p w:rsidR="00E652BE" w:rsidP="008D5A39" w:rsidRDefault="002D1641">
      <w:pPr>
        <w:pStyle w:val="JuPara"/>
      </w:pPr>
      <w:r>
        <w:fldChar w:fldCharType="begin"/>
      </w:r>
      <w:r>
        <w:instrText xml:space="preserve"> SEQ level0 \*arabic </w:instrText>
      </w:r>
      <w:r>
        <w:fldChar w:fldCharType="separate"/>
      </w:r>
      <w:r w:rsidR="0083532A">
        <w:rPr>
          <w:noProof/>
        </w:rPr>
        <w:t>28</w:t>
      </w:r>
      <w:r>
        <w:fldChar w:fldCharType="end"/>
      </w:r>
      <w:r>
        <w:t>.  </w:t>
      </w:r>
      <w:r w:rsidRPr="006535CB" w:rsidR="008D5A39">
        <w:t xml:space="preserve">The </w:t>
      </w:r>
      <w:smartTag w:uri="urn:schemas-microsoft-com:office:smarttags" w:element="Street">
        <w:smartTag w:uri="urn:schemas-microsoft-com:office:smarttags" w:element="address">
          <w:r w:rsidR="008D5A39" w:rsidRPr="006535CB">
            <w:t>Constitutional Court</w:t>
          </w:r>
        </w:smartTag>
      </w:smartTag>
      <w:r w:rsidRPr="006535CB" w:rsidR="008D5A39">
        <w:t xml:space="preserve"> declared the limitation to the compensation claimable by the </w:t>
      </w:r>
      <w:r w:rsidR="00834C6B">
        <w:t>landlord</w:t>
      </w:r>
      <w:r w:rsidRPr="006535CB" w:rsidR="008D5A39">
        <w:t xml:space="preserve"> unconstitutional </w:t>
      </w:r>
      <w:r w:rsidR="00C82B7A">
        <w:t>in</w:t>
      </w:r>
      <w:r w:rsidRPr="006535CB" w:rsidR="008D5A39">
        <w:t xml:space="preserve"> cases where the </w:t>
      </w:r>
      <w:r w:rsidR="00C47189">
        <w:t>inability</w:t>
      </w:r>
      <w:r w:rsidRPr="006535CB" w:rsidR="008D5A39">
        <w:t xml:space="preserve"> </w:t>
      </w:r>
      <w:r w:rsidR="00DB4544">
        <w:t>of</w:t>
      </w:r>
      <w:r w:rsidRPr="006535CB" w:rsidR="008D5A39">
        <w:t xml:space="preserve"> the </w:t>
      </w:r>
      <w:r w:rsidR="00C47189">
        <w:t>landlord</w:t>
      </w:r>
      <w:r w:rsidRPr="006535CB" w:rsidR="008D5A39">
        <w:t xml:space="preserve"> to</w:t>
      </w:r>
      <w:r w:rsidR="00C47189">
        <w:t xml:space="preserve"> recover possession</w:t>
      </w:r>
      <w:r w:rsidRPr="006535CB" w:rsidR="008D5A39">
        <w:t xml:space="preserve"> </w:t>
      </w:r>
      <w:r w:rsidR="00C47189">
        <w:t>stemmed from</w:t>
      </w:r>
      <w:r w:rsidRPr="006535CB" w:rsidR="008D5A39">
        <w:t xml:space="preserve"> the conduct of the tenant </w:t>
      </w:r>
      <w:r w:rsidR="008A5C82">
        <w:t xml:space="preserve">rather than </w:t>
      </w:r>
      <w:r w:rsidR="00C47189">
        <w:t>from</w:t>
      </w:r>
      <w:r>
        <w:t xml:space="preserve"> any</w:t>
      </w:r>
      <w:r w:rsidRPr="006535CB" w:rsidR="008D5A39">
        <w:t xml:space="preserve"> legislative intervention.</w:t>
      </w:r>
    </w:p>
    <w:p w:rsidR="008D5A39" w:rsidP="00C2436E" w:rsidRDefault="002D1641">
      <w:pPr>
        <w:pStyle w:val="JuPara"/>
      </w:pPr>
      <w:r>
        <w:fldChar w:fldCharType="begin"/>
      </w:r>
      <w:r>
        <w:instrText xml:space="preserve"> SEQ level0 \*arabic </w:instrText>
      </w:r>
      <w:r>
        <w:fldChar w:fldCharType="separate"/>
      </w:r>
      <w:r w:rsidR="0083532A">
        <w:rPr>
          <w:noProof/>
        </w:rPr>
        <w:t>29</w:t>
      </w:r>
      <w:r>
        <w:fldChar w:fldCharType="end"/>
      </w:r>
      <w:r>
        <w:t>.  </w:t>
      </w:r>
      <w:r w:rsidR="00C47189">
        <w:t>The c</w:t>
      </w:r>
      <w:r>
        <w:t>ourt</w:t>
      </w:r>
      <w:r w:rsidRPr="006535CB" w:rsidR="008D5A39">
        <w:t xml:space="preserve"> </w:t>
      </w:r>
      <w:r w:rsidR="00C47189">
        <w:t xml:space="preserve">thus </w:t>
      </w:r>
      <w:r w:rsidRPr="006535CB" w:rsidR="008D5A39">
        <w:t xml:space="preserve">opened the way </w:t>
      </w:r>
      <w:r>
        <w:t>for</w:t>
      </w:r>
      <w:r w:rsidRPr="006535CB" w:rsidR="008D5A39">
        <w:t xml:space="preserve"> </w:t>
      </w:r>
      <w:r w:rsidR="00C47189">
        <w:t>landlords</w:t>
      </w:r>
      <w:r w:rsidRPr="006535CB" w:rsidR="008D5A39">
        <w:t xml:space="preserve"> </w:t>
      </w:r>
      <w:r>
        <w:t>to bring</w:t>
      </w:r>
      <w:r w:rsidRPr="006535CB" w:rsidR="008D5A39">
        <w:t xml:space="preserve"> civil proceedings in order to obtain full </w:t>
      </w:r>
      <w:r>
        <w:t>compensation for the loss</w:t>
      </w:r>
      <w:r w:rsidRPr="006535CB" w:rsidR="008D5A39">
        <w:t xml:space="preserve"> caused by the tenant.</w:t>
      </w:r>
    </w:p>
    <w:p w:rsidR="008D5A39" w:rsidP="008B7522" w:rsidRDefault="008B7522">
      <w:pPr>
        <w:pStyle w:val="JuHA"/>
      </w:pPr>
      <w:r>
        <w:t>D</w:t>
      </w:r>
      <w:r w:rsidR="00C82B7A">
        <w:t>.</w:t>
      </w:r>
      <w:r w:rsidR="00DB4544">
        <w:t>  </w:t>
      </w:r>
      <w:r w:rsidR="00C53186">
        <w:t>Article 1591 of the Civil Code and the case-law of the Court of Cassation</w:t>
      </w:r>
    </w:p>
    <w:p w:rsidR="002060A4" w:rsidP="00C53186" w:rsidRDefault="002060A4">
      <w:pPr>
        <w:pStyle w:val="JuPara"/>
      </w:pPr>
      <w:r>
        <w:fldChar w:fldCharType="begin"/>
      </w:r>
      <w:r>
        <w:instrText xml:space="preserve"> SEQ level0 \*arabic </w:instrText>
      </w:r>
      <w:r>
        <w:fldChar w:fldCharType="separate"/>
      </w:r>
      <w:r w:rsidR="0083532A">
        <w:rPr>
          <w:noProof/>
        </w:rPr>
        <w:t>30</w:t>
      </w:r>
      <w:r>
        <w:fldChar w:fldCharType="end"/>
      </w:r>
      <w:r>
        <w:t>.  In its judgment no. 1463 of 5 February 1993, the Court of Cassation held that Article 1591 of the Civil Code did not prevent the parties concerned from agreeing in advance on the amount of the compensation, so that</w:t>
      </w:r>
      <w:r w:rsidR="00476E65">
        <w:t xml:space="preserve"> the</w:t>
      </w:r>
      <w:r>
        <w:t xml:space="preserve"> landlord would not be obliged to </w:t>
      </w:r>
      <w:r w:rsidR="008A5C82">
        <w:t>adduce</w:t>
      </w:r>
      <w:r>
        <w:t xml:space="preserve"> evidence of the</w:t>
      </w:r>
      <w:r w:rsidR="006B5BDC">
        <w:t xml:space="preserve"> sum lost</w:t>
      </w:r>
      <w:r>
        <w:t>.</w:t>
      </w:r>
    </w:p>
    <w:p w:rsidR="002060A4" w:rsidP="00C53186" w:rsidRDefault="002060A4">
      <w:pPr>
        <w:pStyle w:val="JuPara"/>
      </w:pPr>
      <w:r>
        <w:fldChar w:fldCharType="begin"/>
      </w:r>
      <w:r>
        <w:instrText xml:space="preserve"> SEQ level0 \*arabic </w:instrText>
      </w:r>
      <w:r>
        <w:fldChar w:fldCharType="separate"/>
      </w:r>
      <w:r w:rsidR="0083532A">
        <w:rPr>
          <w:noProof/>
        </w:rPr>
        <w:t>31</w:t>
      </w:r>
      <w:r>
        <w:fldChar w:fldCharType="end"/>
      </w:r>
      <w:r>
        <w:t xml:space="preserve">.  In its subsequent judgment no. 7670 of 12 July 1993, the Court of Cassation </w:t>
      </w:r>
      <w:r w:rsidR="008A5C82">
        <w:t xml:space="preserve">explained that a delay in the </w:t>
      </w:r>
      <w:r w:rsidR="00C47189">
        <w:t>return</w:t>
      </w:r>
      <w:r w:rsidR="008A5C82">
        <w:t xml:space="preserve"> of the property could only, by itself, justify a general finding </w:t>
      </w:r>
      <w:r w:rsidR="00C47189">
        <w:t>that</w:t>
      </w:r>
      <w:r w:rsidR="008A5C82">
        <w:t xml:space="preserve"> the tenant should pay compensation for the loss sustained by the landlord, who would be required to provide specific evidence of that loss in relation to the condition and location of the property and its </w:t>
      </w:r>
      <w:r w:rsidR="00E476DE">
        <w:t xml:space="preserve">potential </w:t>
      </w:r>
      <w:r w:rsidR="008A5C82">
        <w:t xml:space="preserve">use. In that </w:t>
      </w:r>
      <w:r w:rsidR="00E476DE">
        <w:t xml:space="preserve">particular </w:t>
      </w:r>
      <w:r w:rsidR="008A5C82">
        <w:t>case, the Court of Cassation upheld the decision of the court below, which had dismissed the landlord</w:t>
      </w:r>
      <w:r w:rsidR="00E652BE">
        <w:t>'</w:t>
      </w:r>
      <w:r w:rsidR="008A5C82">
        <w:t xml:space="preserve">s claim for compensation on the ground that he had not </w:t>
      </w:r>
      <w:r w:rsidR="00E476DE">
        <w:t>submitted</w:t>
      </w:r>
      <w:r w:rsidR="006C17F6">
        <w:t xml:space="preserve"> evidence of the loss actually sustained by</w:t>
      </w:r>
      <w:r w:rsidR="00C47189">
        <w:t xml:space="preserve"> producing</w:t>
      </w:r>
      <w:r w:rsidR="006C17F6">
        <w:t xml:space="preserve"> specific documents concerning precise offers to </w:t>
      </w:r>
      <w:r w:rsidR="00373740">
        <w:t>rent</w:t>
      </w:r>
      <w:r w:rsidR="006C17F6">
        <w:t xml:space="preserve"> the property or agreements with prospective tenants on rent </w:t>
      </w:r>
      <w:r w:rsidR="000E3E10">
        <w:t>rates</w:t>
      </w:r>
      <w:r w:rsidR="006C17F6">
        <w:t>.</w:t>
      </w:r>
    </w:p>
    <w:p w:rsidR="006C17F6" w:rsidP="00C53186" w:rsidRDefault="006C17F6">
      <w:pPr>
        <w:pStyle w:val="JuPara"/>
      </w:pPr>
      <w:r>
        <w:fldChar w:fldCharType="begin"/>
      </w:r>
      <w:r>
        <w:instrText xml:space="preserve"> SEQ level0 \*arabic </w:instrText>
      </w:r>
      <w:r>
        <w:fldChar w:fldCharType="separate"/>
      </w:r>
      <w:r w:rsidR="0083532A">
        <w:rPr>
          <w:noProof/>
        </w:rPr>
        <w:t>32</w:t>
      </w:r>
      <w:r>
        <w:fldChar w:fldCharType="end"/>
      </w:r>
      <w:r>
        <w:t xml:space="preserve">.  In judgment no. 10270 of </w:t>
      </w:r>
      <w:smartTag w:uri="urn:schemas-microsoft-com:office:smarttags" w:element="date">
        <w:smartTagPr>
          <w:attr w:name="Month" w:val="12"/>
          <w:attr w:name="Day" w:val="1"/>
          <w:attr w:name="Year" w:val="1994"/>
        </w:smartTagPr>
        <w:r>
          <w:t>1 December 1994</w:t>
        </w:r>
      </w:smartTag>
      <w:r>
        <w:t xml:space="preserve">, the Court of Cassation considered that the loss sustained by </w:t>
      </w:r>
      <w:r w:rsidR="00373740">
        <w:t>a</w:t>
      </w:r>
      <w:r>
        <w:t xml:space="preserve"> landlord could also be evaluated on an equitable basis.</w:t>
      </w:r>
    </w:p>
    <w:p w:rsidR="006C17F6" w:rsidP="00C53186" w:rsidRDefault="006C17F6">
      <w:pPr>
        <w:pStyle w:val="JuPara"/>
      </w:pPr>
      <w:r>
        <w:fldChar w:fldCharType="begin"/>
      </w:r>
      <w:r>
        <w:instrText xml:space="preserve"> SEQ level0 \*arabic </w:instrText>
      </w:r>
      <w:r>
        <w:fldChar w:fldCharType="separate"/>
      </w:r>
      <w:r w:rsidR="0083532A">
        <w:rPr>
          <w:noProof/>
        </w:rPr>
        <w:t>33</w:t>
      </w:r>
      <w:r>
        <w:fldChar w:fldCharType="end"/>
      </w:r>
      <w:r>
        <w:t>.  </w:t>
      </w:r>
      <w:r w:rsidR="00373740">
        <w:t xml:space="preserve">In judgment no. 5927 of </w:t>
      </w:r>
      <w:smartTag w:uri="urn:schemas-microsoft-com:office:smarttags" w:element="date">
        <w:smartTagPr>
          <w:attr w:name="Month" w:val="5"/>
          <w:attr w:name="Day" w:val="27"/>
          <w:attr w:name="Year" w:val="1995"/>
        </w:smartTagPr>
        <w:r w:rsidR="00373740">
          <w:t>27 May 1995</w:t>
        </w:r>
      </w:smartTag>
      <w:r w:rsidR="00373740">
        <w:t>, the Court of Cassation established that the limit</w:t>
      </w:r>
      <w:r w:rsidR="00E476DE">
        <w:t xml:space="preserve">ing </w:t>
      </w:r>
      <w:r w:rsidR="00373740">
        <w:t>of the compensation to which a landlord was entitled only applied in respect of periods during which the suspension of evictions had been provided for by law.</w:t>
      </w:r>
    </w:p>
    <w:p w:rsidR="00373740" w:rsidP="00C53186" w:rsidRDefault="00373740">
      <w:pPr>
        <w:pStyle w:val="JuPara"/>
      </w:pPr>
      <w:r>
        <w:fldChar w:fldCharType="begin"/>
      </w:r>
      <w:r>
        <w:instrText xml:space="preserve"> SEQ level0 \*arabic </w:instrText>
      </w:r>
      <w:r>
        <w:fldChar w:fldCharType="separate"/>
      </w:r>
      <w:r w:rsidR="0083532A">
        <w:rPr>
          <w:noProof/>
        </w:rPr>
        <w:t>34</w:t>
      </w:r>
      <w:r>
        <w:fldChar w:fldCharType="end"/>
      </w:r>
      <w:r>
        <w:t xml:space="preserve">.  In judgment no. 6359 of </w:t>
      </w:r>
      <w:smartTag w:uri="urn:schemas-microsoft-com:office:smarttags" w:element="date">
        <w:smartTagPr>
          <w:attr w:name="Month" w:val="6"/>
          <w:attr w:name="Day" w:val="6"/>
          <w:attr w:name="Year" w:val="1995"/>
        </w:smartTagPr>
        <w:r>
          <w:t>6 June 1995</w:t>
        </w:r>
      </w:smartTag>
      <w:r>
        <w:t xml:space="preserve">, the Court of Cassation confirmed that the landlord was obliged to provide evidence of precise offers to rent or purchase the property, in order to substantiate the loss </w:t>
      </w:r>
      <w:r w:rsidR="00E476DE">
        <w:t>claimed</w:t>
      </w:r>
      <w:r>
        <w:t xml:space="preserve"> on the basis of </w:t>
      </w:r>
      <w:r w:rsidR="00C47189">
        <w:t>a</w:t>
      </w:r>
      <w:r>
        <w:t xml:space="preserve"> shortfall in rent or </w:t>
      </w:r>
      <w:r w:rsidR="00C47189">
        <w:t>an inability</w:t>
      </w:r>
      <w:r>
        <w:t xml:space="preserve"> to sell the </w:t>
      </w:r>
      <w:r w:rsidR="00C47189">
        <w:t>flat</w:t>
      </w:r>
      <w:r>
        <w:t xml:space="preserve">. The same principle was subsequently confirmed by judgments </w:t>
      </w:r>
      <w:r w:rsidR="000E3E10">
        <w:t>no</w:t>
      </w:r>
      <w:r w:rsidR="006B5BDC">
        <w:t>s</w:t>
      </w:r>
      <w:r w:rsidR="000E3E10">
        <w:t xml:space="preserve">. </w:t>
      </w:r>
      <w:r>
        <w:t>4864 of 14</w:t>
      </w:r>
      <w:r w:rsidR="00381795">
        <w:t> </w:t>
      </w:r>
      <w:r>
        <w:t>April 2000 and 9545 of 1 July 2002.</w:t>
      </w:r>
    </w:p>
    <w:p w:rsidR="00373740" w:rsidP="00C53186" w:rsidRDefault="00373740">
      <w:pPr>
        <w:pStyle w:val="JuPara"/>
      </w:pPr>
      <w:r>
        <w:fldChar w:fldCharType="begin"/>
      </w:r>
      <w:r>
        <w:instrText xml:space="preserve"> SEQ level0 \*arabic </w:instrText>
      </w:r>
      <w:r>
        <w:fldChar w:fldCharType="separate"/>
      </w:r>
      <w:r w:rsidR="0083532A">
        <w:rPr>
          <w:noProof/>
        </w:rPr>
        <w:t>35</w:t>
      </w:r>
      <w:r>
        <w:fldChar w:fldCharType="end"/>
      </w:r>
      <w:r>
        <w:t xml:space="preserve">.  In judgment no. 1032 of </w:t>
      </w:r>
      <w:smartTag w:uri="urn:schemas-microsoft-com:office:smarttags" w:element="date">
        <w:smartTagPr>
          <w:attr w:name="Month" w:val="2"/>
          <w:attr w:name="Day" w:val="10"/>
          <w:attr w:name="Year" w:val="1996"/>
        </w:smartTagPr>
        <w:r>
          <w:t>10 February 1996</w:t>
        </w:r>
      </w:smartTag>
      <w:r>
        <w:t>, the Court of Cassation held that the loss sustained by the landlord could be proved simply by a request for a higher rent, determined on the basis of the amount that he could have charged on the free market.</w:t>
      </w:r>
    </w:p>
    <w:p w:rsidR="00765077" w:rsidP="00C53186" w:rsidRDefault="00373740">
      <w:pPr>
        <w:pStyle w:val="JuPara"/>
      </w:pPr>
      <w:r>
        <w:fldChar w:fldCharType="begin"/>
      </w:r>
      <w:r>
        <w:instrText xml:space="preserve"> SEQ level0 \*arabic </w:instrText>
      </w:r>
      <w:r>
        <w:fldChar w:fldCharType="separate"/>
      </w:r>
      <w:r w:rsidR="0083532A">
        <w:rPr>
          <w:noProof/>
        </w:rPr>
        <w:t>36</w:t>
      </w:r>
      <w:r>
        <w:fldChar w:fldCharType="end"/>
      </w:r>
      <w:r>
        <w:t xml:space="preserve">.  Lastly, in judgment no. 10560 of 19 July 2002, the Court of Cassation laid down the principle </w:t>
      </w:r>
      <w:r w:rsidR="006B5BDC">
        <w:t>that</w:t>
      </w:r>
      <w:r>
        <w:t xml:space="preserve"> the tenant is considered to have been given notice to quit as soon as the lease agreement expires, regardless of the </w:t>
      </w:r>
      <w:r w:rsidR="00E476DE">
        <w:t xml:space="preserve">eviction </w:t>
      </w:r>
      <w:r>
        <w:t>date set by the judge.</w:t>
      </w:r>
    </w:p>
    <w:p w:rsidR="00765077" w:rsidP="008B7522" w:rsidRDefault="008B7522">
      <w:pPr>
        <w:pStyle w:val="JuHA"/>
      </w:pPr>
      <w:r>
        <w:t>E</w:t>
      </w:r>
      <w:r w:rsidR="00C82B7A">
        <w:t>.</w:t>
      </w:r>
      <w:r w:rsidR="00765077">
        <w:t xml:space="preserve"> The issue of police assistance and the case-law of the Court of Cassation</w:t>
      </w:r>
    </w:p>
    <w:p w:rsidR="00765077" w:rsidP="00C53186" w:rsidRDefault="00765077">
      <w:pPr>
        <w:pStyle w:val="JuPara"/>
      </w:pPr>
      <w:r>
        <w:fldChar w:fldCharType="begin"/>
      </w:r>
      <w:r>
        <w:instrText xml:space="preserve"> SEQ level0 \*arabic </w:instrText>
      </w:r>
      <w:r>
        <w:fldChar w:fldCharType="separate"/>
      </w:r>
      <w:r w:rsidR="0083532A">
        <w:rPr>
          <w:noProof/>
        </w:rPr>
        <w:t>37</w:t>
      </w:r>
      <w:r>
        <w:fldChar w:fldCharType="end"/>
      </w:r>
      <w:r>
        <w:t xml:space="preserve">.  In judgment no. 3873 of </w:t>
      </w:r>
      <w:smartTag w:uri="urn:schemas-microsoft-com:office:smarttags" w:element="date">
        <w:smartTagPr>
          <w:attr w:name="Month" w:val="2"/>
          <w:attr w:name="Day" w:val="26"/>
          <w:attr w:name="Year" w:val="2004"/>
        </w:smartTagPr>
        <w:r>
          <w:t>26 February 2004</w:t>
        </w:r>
      </w:smartTag>
      <w:r>
        <w:t xml:space="preserve"> the Court of Cassation ruled on the issue of police assistance.</w:t>
      </w:r>
    </w:p>
    <w:p w:rsidR="00765077" w:rsidP="00C53186" w:rsidRDefault="00765077">
      <w:pPr>
        <w:pStyle w:val="JuPara"/>
      </w:pPr>
      <w:r>
        <w:fldChar w:fldCharType="begin"/>
      </w:r>
      <w:r>
        <w:instrText xml:space="preserve"> SEQ level0 \*arabic </w:instrText>
      </w:r>
      <w:r>
        <w:fldChar w:fldCharType="separate"/>
      </w:r>
      <w:r w:rsidR="0083532A">
        <w:rPr>
          <w:noProof/>
        </w:rPr>
        <w:t>38</w:t>
      </w:r>
      <w:r>
        <w:fldChar w:fldCharType="end"/>
      </w:r>
      <w:r>
        <w:t xml:space="preserve">.  That judgment was given in a case arising from a claim for compensation lodged by </w:t>
      </w:r>
      <w:r w:rsidR="00AD5638">
        <w:t>a number of</w:t>
      </w:r>
      <w:r w:rsidR="009D73A2">
        <w:t xml:space="preserve"> </w:t>
      </w:r>
      <w:r>
        <w:t>landlords against the Minist</w:t>
      </w:r>
      <w:r w:rsidR="00100BF2">
        <w:t>ry</w:t>
      </w:r>
      <w:r>
        <w:t xml:space="preserve"> of the Interior in 1990.</w:t>
      </w:r>
    </w:p>
    <w:p w:rsidR="009D73A2" w:rsidP="00C53186" w:rsidRDefault="009D73A2">
      <w:pPr>
        <w:pStyle w:val="JuPara"/>
      </w:pPr>
      <w:r>
        <w:fldChar w:fldCharType="begin"/>
      </w:r>
      <w:r>
        <w:instrText xml:space="preserve"> SEQ level0 \*arabic </w:instrText>
      </w:r>
      <w:r>
        <w:fldChar w:fldCharType="separate"/>
      </w:r>
      <w:r w:rsidR="0083532A">
        <w:rPr>
          <w:noProof/>
        </w:rPr>
        <w:t>39</w:t>
      </w:r>
      <w:r>
        <w:fldChar w:fldCharType="end"/>
      </w:r>
      <w:r>
        <w:t xml:space="preserve">.  In particular, they were claiming reimbursement for losses sustained as a result of </w:t>
      </w:r>
      <w:r w:rsidR="00100BF2">
        <w:t>a</w:t>
      </w:r>
      <w:r>
        <w:t xml:space="preserve"> delay in recovering their </w:t>
      </w:r>
      <w:r w:rsidR="00100BF2">
        <w:t>property</w:t>
      </w:r>
      <w:r>
        <w:t xml:space="preserve"> that </w:t>
      </w:r>
      <w:r w:rsidR="00100BF2">
        <w:t>was attributable</w:t>
      </w:r>
      <w:r>
        <w:t>, in their view,</w:t>
      </w:r>
      <w:r w:rsidR="00100BF2">
        <w:t xml:space="preserve"> to</w:t>
      </w:r>
      <w:r>
        <w:t xml:space="preserve"> the fact that they had not </w:t>
      </w:r>
      <w:r w:rsidR="00C47189">
        <w:t>been provided with</w:t>
      </w:r>
      <w:r>
        <w:t xml:space="preserve"> police assistance.</w:t>
      </w:r>
    </w:p>
    <w:p w:rsidR="009D73A2" w:rsidP="00C53186" w:rsidRDefault="009D73A2">
      <w:pPr>
        <w:pStyle w:val="JuPara"/>
      </w:pPr>
      <w:r>
        <w:fldChar w:fldCharType="begin"/>
      </w:r>
      <w:r>
        <w:instrText xml:space="preserve"> SEQ level0 \*arabic </w:instrText>
      </w:r>
      <w:r>
        <w:fldChar w:fldCharType="separate"/>
      </w:r>
      <w:r w:rsidR="0083532A">
        <w:rPr>
          <w:noProof/>
        </w:rPr>
        <w:t>40</w:t>
      </w:r>
      <w:r>
        <w:fldChar w:fldCharType="end"/>
      </w:r>
      <w:r>
        <w:t>.  A bailiff had made twenty-one attempts to gain access and nineteen of them were unsuccessful. According to the landlords, only six of those attempts were made during periods when evictions were subject to legislative suspension.</w:t>
      </w:r>
    </w:p>
    <w:p w:rsidR="00765077" w:rsidP="00C53186" w:rsidRDefault="009D73A2">
      <w:pPr>
        <w:pStyle w:val="JuPara"/>
      </w:pPr>
      <w:r>
        <w:fldChar w:fldCharType="begin"/>
      </w:r>
      <w:r>
        <w:instrText xml:space="preserve"> SEQ level0 \*arabic </w:instrText>
      </w:r>
      <w:r>
        <w:fldChar w:fldCharType="separate"/>
      </w:r>
      <w:r w:rsidR="0083532A">
        <w:rPr>
          <w:noProof/>
        </w:rPr>
        <w:t>41</w:t>
      </w:r>
      <w:r>
        <w:fldChar w:fldCharType="end"/>
      </w:r>
      <w:r>
        <w:t xml:space="preserve">.  In the other </w:t>
      </w:r>
      <w:r w:rsidR="006B5BDC">
        <w:t xml:space="preserve">thirteen </w:t>
      </w:r>
      <w:r>
        <w:t>cases</w:t>
      </w:r>
      <w:r w:rsidR="00E476DE">
        <w:t>,</w:t>
      </w:r>
      <w:r>
        <w:t xml:space="preserve"> the </w:t>
      </w:r>
      <w:r w:rsidR="006B5BDC">
        <w:t>claimants</w:t>
      </w:r>
      <w:r>
        <w:t xml:space="preserve"> asserted that the authorities had not provided evidence of any </w:t>
      </w:r>
      <w:r w:rsidRPr="00DB4544">
        <w:rPr>
          <w:i/>
        </w:rPr>
        <w:t>force majeure</w:t>
      </w:r>
      <w:r>
        <w:t xml:space="preserve"> that made it absolutely impossible for them to </w:t>
      </w:r>
      <w:r w:rsidR="00834C6B">
        <w:t>grant</w:t>
      </w:r>
      <w:r>
        <w:t xml:space="preserve"> the necessary police assistance.</w:t>
      </w:r>
    </w:p>
    <w:p w:rsidR="00765077" w:rsidP="00C53186" w:rsidRDefault="009D73A2">
      <w:pPr>
        <w:pStyle w:val="JuPara"/>
      </w:pPr>
      <w:r>
        <w:fldChar w:fldCharType="begin"/>
      </w:r>
      <w:r>
        <w:instrText xml:space="preserve"> SEQ level0 \*arabic </w:instrText>
      </w:r>
      <w:r>
        <w:fldChar w:fldCharType="separate"/>
      </w:r>
      <w:r w:rsidR="0083532A">
        <w:rPr>
          <w:noProof/>
        </w:rPr>
        <w:t>42</w:t>
      </w:r>
      <w:r>
        <w:fldChar w:fldCharType="end"/>
      </w:r>
      <w:r>
        <w:t>.  </w:t>
      </w:r>
      <w:r w:rsidR="006B5BDC">
        <w:t xml:space="preserve">At first </w:t>
      </w:r>
      <w:r>
        <w:t xml:space="preserve">instance </w:t>
      </w:r>
      <w:r w:rsidR="006B5BDC">
        <w:t>the</w:t>
      </w:r>
      <w:r>
        <w:t xml:space="preserve"> </w:t>
      </w:r>
      <w:r w:rsidRPr="004D4E37">
        <w:t>Rome</w:t>
      </w:r>
      <w:r w:rsidRPr="004D4E37" w:rsidR="006B5BDC">
        <w:t xml:space="preserve"> District Court</w:t>
      </w:r>
      <w:r>
        <w:t xml:space="preserve"> found in favour of the </w:t>
      </w:r>
      <w:r w:rsidR="008B734F">
        <w:t>claimants</w:t>
      </w:r>
      <w:r>
        <w:t xml:space="preserve"> and awarded them the sum of 177,886,610 </w:t>
      </w:r>
      <w:r w:rsidR="003B0C1C">
        <w:t>l</w:t>
      </w:r>
      <w:r w:rsidR="008B734F">
        <w:t>ire</w:t>
      </w:r>
      <w:r w:rsidR="00DB4544">
        <w:t xml:space="preserve"> (</w:t>
      </w:r>
      <w:r>
        <w:t>91,870.77 euros</w:t>
      </w:r>
      <w:r w:rsidR="00DB4544">
        <w:t xml:space="preserve">) </w:t>
      </w:r>
      <w:r>
        <w:t xml:space="preserve">in compensation. The Ministry appealed and the judgment was set aside by the Rome Court </w:t>
      </w:r>
      <w:r w:rsidR="00E476DE">
        <w:t xml:space="preserve">of Appeal </w:t>
      </w:r>
      <w:r>
        <w:t>on the ground</w:t>
      </w:r>
      <w:r w:rsidR="00AD5638">
        <w:t xml:space="preserve"> that</w:t>
      </w:r>
      <w:r>
        <w:t xml:space="preserve">, in view of the public policy imperatives </w:t>
      </w:r>
      <w:r w:rsidR="008B734F">
        <w:t>cited</w:t>
      </w:r>
      <w:r>
        <w:t xml:space="preserve"> by the authorities, the </w:t>
      </w:r>
      <w:r w:rsidR="00EE1ADA">
        <w:t>claimants</w:t>
      </w:r>
      <w:r>
        <w:t xml:space="preserve"> had not provided evidence to show that the refusal to </w:t>
      </w:r>
      <w:r w:rsidR="00834C6B">
        <w:t>grant</w:t>
      </w:r>
      <w:r>
        <w:t xml:space="preserve"> police assistance was unjustified. The </w:t>
      </w:r>
      <w:r w:rsidR="00EE1ADA">
        <w:t>claimants</w:t>
      </w:r>
      <w:r>
        <w:t xml:space="preserve"> appealed on points of law.</w:t>
      </w:r>
    </w:p>
    <w:p w:rsidR="009D73A2" w:rsidP="00C53186" w:rsidRDefault="009D73A2">
      <w:pPr>
        <w:pStyle w:val="JuPara"/>
      </w:pPr>
      <w:r>
        <w:fldChar w:fldCharType="begin"/>
      </w:r>
      <w:r>
        <w:instrText xml:space="preserve"> SEQ level0 \*arabic </w:instrText>
      </w:r>
      <w:r>
        <w:fldChar w:fldCharType="separate"/>
      </w:r>
      <w:r w:rsidR="0083532A">
        <w:rPr>
          <w:noProof/>
        </w:rPr>
        <w:t>43</w:t>
      </w:r>
      <w:r>
        <w:fldChar w:fldCharType="end"/>
      </w:r>
      <w:r>
        <w:t xml:space="preserve">.  The Court of Cassation </w:t>
      </w:r>
      <w:r w:rsidR="00EE1ADA">
        <w:t>observed</w:t>
      </w:r>
      <w:r>
        <w:t xml:space="preserve"> that, in judgment no. 2478 of 18</w:t>
      </w:r>
      <w:r w:rsidR="00EE1ADA">
        <w:t> </w:t>
      </w:r>
      <w:r>
        <w:t xml:space="preserve">March 1988, </w:t>
      </w:r>
      <w:r w:rsidR="001D6746">
        <w:t>sitting</w:t>
      </w:r>
      <w:r>
        <w:t xml:space="preserve"> in plenary, it had laid down the principle </w:t>
      </w:r>
      <w:r w:rsidR="00EE1ADA">
        <w:t>that</w:t>
      </w:r>
      <w:r>
        <w:t xml:space="preserve"> a landlord </w:t>
      </w:r>
      <w:r w:rsidR="00EE1ADA">
        <w:t>who has</w:t>
      </w:r>
      <w:r w:rsidR="003B0C1C">
        <w:t xml:space="preserve"> obtained</w:t>
      </w:r>
      <w:r w:rsidR="001D6746">
        <w:t xml:space="preserve"> </w:t>
      </w:r>
      <w:r w:rsidR="00EE1ADA">
        <w:t>an enforceable judgment in his favour</w:t>
      </w:r>
      <w:r>
        <w:t xml:space="preserve"> is entitled to apply to the authorities for </w:t>
      </w:r>
      <w:r w:rsidR="001D6746">
        <w:t xml:space="preserve">any </w:t>
      </w:r>
      <w:r>
        <w:t xml:space="preserve">acts </w:t>
      </w:r>
      <w:r w:rsidR="003D3FE8">
        <w:t xml:space="preserve">required </w:t>
      </w:r>
      <w:r w:rsidR="00EE1ADA">
        <w:t>for the purpose of enforcement</w:t>
      </w:r>
      <w:r>
        <w:t>, including police assistance. It was thus an obligation rather than a discretionary power of the authorities.</w:t>
      </w:r>
    </w:p>
    <w:p w:rsidR="001D6746" w:rsidP="00C53186" w:rsidRDefault="009D73A2">
      <w:pPr>
        <w:pStyle w:val="JuPara"/>
      </w:pPr>
      <w:r>
        <w:fldChar w:fldCharType="begin"/>
      </w:r>
      <w:r>
        <w:instrText xml:space="preserve"> SEQ level0 \*arabic </w:instrText>
      </w:r>
      <w:r>
        <w:fldChar w:fldCharType="separate"/>
      </w:r>
      <w:r w:rsidR="0083532A">
        <w:rPr>
          <w:noProof/>
        </w:rPr>
        <w:t>44</w:t>
      </w:r>
      <w:r>
        <w:fldChar w:fldCharType="end"/>
      </w:r>
      <w:r>
        <w:t>.  </w:t>
      </w:r>
      <w:r w:rsidR="003B0C1C">
        <w:t xml:space="preserve">The Court of Cassation </w:t>
      </w:r>
      <w:r w:rsidR="00EE1ADA">
        <w:t>further observed</w:t>
      </w:r>
      <w:r w:rsidR="003B0C1C">
        <w:t xml:space="preserve"> that, in judgment no. 5233 of 26 May 1998, sitting in plenary, it had held that as a consequence of that principle any </w:t>
      </w:r>
      <w:r w:rsidR="00476E65">
        <w:t>inability</w:t>
      </w:r>
      <w:r w:rsidR="003B0C1C">
        <w:t xml:space="preserve"> </w:t>
      </w:r>
      <w:r w:rsidR="00476E65">
        <w:t>of</w:t>
      </w:r>
      <w:r w:rsidR="003B0C1C">
        <w:t xml:space="preserve"> the authorities to comply with their obligation should </w:t>
      </w:r>
      <w:r w:rsidR="00D02F22">
        <w:t xml:space="preserve">be subjected to a stringent test. In particular, the question whether the police authority had legitimately refused to provide assistance on the date and </w:t>
      </w:r>
      <w:r w:rsidR="00EE1ADA">
        <w:t xml:space="preserve">at the </w:t>
      </w:r>
      <w:r w:rsidR="00D02F22">
        <w:t xml:space="preserve">time indicated by the bailiff </w:t>
      </w:r>
      <w:r w:rsidR="00C47189">
        <w:t>was to</w:t>
      </w:r>
      <w:r w:rsidR="00D02F22">
        <w:t xml:space="preserve"> be assessed </w:t>
      </w:r>
      <w:r w:rsidR="00966AE0">
        <w:t>by taking into account whether any alternative</w:t>
      </w:r>
      <w:r w:rsidR="00D02F22">
        <w:t xml:space="preserve"> time, or even da</w:t>
      </w:r>
      <w:r w:rsidR="00E476DE">
        <w:t>te</w:t>
      </w:r>
      <w:r w:rsidR="00D02F22">
        <w:t xml:space="preserve">, </w:t>
      </w:r>
      <w:r w:rsidR="00966AE0">
        <w:t xml:space="preserve">had been proposed, </w:t>
      </w:r>
      <w:r w:rsidR="00D02F22">
        <w:t xml:space="preserve">and </w:t>
      </w:r>
      <w:r w:rsidR="00966AE0">
        <w:t>if any</w:t>
      </w:r>
      <w:r w:rsidR="00D02F22">
        <w:t xml:space="preserve"> reasons </w:t>
      </w:r>
      <w:r w:rsidR="00966AE0">
        <w:t>had been given, in each specific case</w:t>
      </w:r>
      <w:r w:rsidR="00D02F22">
        <w:t>, to justify th</w:t>
      </w:r>
      <w:r w:rsidR="00E476DE">
        <w:t>e</w:t>
      </w:r>
      <w:r w:rsidR="00D02F22">
        <w:t xml:space="preserve"> </w:t>
      </w:r>
      <w:r w:rsidR="00476E65">
        <w:t>refusal</w:t>
      </w:r>
      <w:r w:rsidR="00D02F22">
        <w:t>.</w:t>
      </w:r>
    </w:p>
    <w:p w:rsidR="00D02F22" w:rsidP="00C53186" w:rsidRDefault="00D02F22">
      <w:pPr>
        <w:pStyle w:val="JuPara"/>
      </w:pPr>
      <w:r>
        <w:fldChar w:fldCharType="begin"/>
      </w:r>
      <w:r>
        <w:instrText xml:space="preserve"> SEQ level0 \*arabic </w:instrText>
      </w:r>
      <w:r>
        <w:fldChar w:fldCharType="separate"/>
      </w:r>
      <w:r w:rsidR="0083532A">
        <w:rPr>
          <w:noProof/>
        </w:rPr>
        <w:t>45</w:t>
      </w:r>
      <w:r>
        <w:fldChar w:fldCharType="end"/>
      </w:r>
      <w:r>
        <w:t xml:space="preserve">.  The Court of Cassation moreover stated that the police authority </w:t>
      </w:r>
      <w:r w:rsidR="009E67A0">
        <w:t xml:space="preserve">enjoyed a </w:t>
      </w:r>
      <w:r w:rsidR="00E476DE">
        <w:t xml:space="preserve">margin of </w:t>
      </w:r>
      <w:r w:rsidR="009E67A0">
        <w:t>discretion</w:t>
      </w:r>
      <w:r w:rsidR="00E476DE">
        <w:t xml:space="preserve"> as</w:t>
      </w:r>
      <w:r w:rsidR="009E67A0">
        <w:t xml:space="preserve"> to the actual time when its assistance </w:t>
      </w:r>
      <w:r w:rsidR="00966AE0">
        <w:t>was to</w:t>
      </w:r>
      <w:r w:rsidR="009E67A0">
        <w:t xml:space="preserve"> be allocated.</w:t>
      </w:r>
    </w:p>
    <w:p w:rsidR="001D6746" w:rsidP="00C53186" w:rsidRDefault="009E67A0">
      <w:pPr>
        <w:pStyle w:val="JuPara"/>
      </w:pPr>
      <w:r>
        <w:fldChar w:fldCharType="begin"/>
      </w:r>
      <w:r>
        <w:instrText xml:space="preserve"> SEQ level0 \*arabic </w:instrText>
      </w:r>
      <w:r>
        <w:fldChar w:fldCharType="separate"/>
      </w:r>
      <w:r w:rsidR="0083532A">
        <w:rPr>
          <w:noProof/>
        </w:rPr>
        <w:t>46</w:t>
      </w:r>
      <w:r>
        <w:fldChar w:fldCharType="end"/>
      </w:r>
      <w:r>
        <w:t xml:space="preserve">.  Except </w:t>
      </w:r>
      <w:r w:rsidR="00966AE0">
        <w:t>where the</w:t>
      </w:r>
      <w:r>
        <w:t xml:space="preserve"> </w:t>
      </w:r>
      <w:r w:rsidR="00476E65">
        <w:t>inability to comply</w:t>
      </w:r>
      <w:r>
        <w:t xml:space="preserve"> </w:t>
      </w:r>
      <w:r w:rsidR="00966AE0">
        <w:t xml:space="preserve">is </w:t>
      </w:r>
      <w:r>
        <w:t xml:space="preserve">caused by </w:t>
      </w:r>
      <w:r w:rsidRPr="00DB4544">
        <w:rPr>
          <w:i/>
        </w:rPr>
        <w:t>force majeure</w:t>
      </w:r>
      <w:r>
        <w:t xml:space="preserve">, </w:t>
      </w:r>
      <w:r w:rsidR="00966AE0">
        <w:t>if</w:t>
      </w:r>
      <w:r>
        <w:t xml:space="preserve"> the competent authority refuses to </w:t>
      </w:r>
      <w:r w:rsidR="00966AE0">
        <w:t>grant such resources</w:t>
      </w:r>
      <w:r>
        <w:t xml:space="preserve"> in spite of a request from a bailiff, the landlord should be entitled to lodge a claim with the ordinary court</w:t>
      </w:r>
      <w:r w:rsidR="00E476DE">
        <w:t>s</w:t>
      </w:r>
      <w:r>
        <w:t xml:space="preserve"> seeking compensation from the authorities for the loss sustained as a result of th</w:t>
      </w:r>
      <w:r w:rsidR="00966AE0">
        <w:t>e</w:t>
      </w:r>
      <w:r>
        <w:t xml:space="preserve"> refusal.</w:t>
      </w:r>
    </w:p>
    <w:p w:rsidR="009E67A0" w:rsidP="00C53186" w:rsidRDefault="009E67A0">
      <w:pPr>
        <w:pStyle w:val="JuPara"/>
      </w:pPr>
      <w:r>
        <w:fldChar w:fldCharType="begin"/>
      </w:r>
      <w:r>
        <w:instrText xml:space="preserve"> SEQ level0 \*arabic </w:instrText>
      </w:r>
      <w:r>
        <w:fldChar w:fldCharType="separate"/>
      </w:r>
      <w:r w:rsidR="0083532A">
        <w:rPr>
          <w:noProof/>
        </w:rPr>
        <w:t>47</w:t>
      </w:r>
      <w:r>
        <w:fldChar w:fldCharType="end"/>
      </w:r>
      <w:r>
        <w:t>.  The Court of Cassation reiterated th</w:t>
      </w:r>
      <w:r w:rsidR="00EE1ADA">
        <w:t>e principle set out in judgment</w:t>
      </w:r>
      <w:r w:rsidR="00DB4544">
        <w:t>s</w:t>
      </w:r>
      <w:r>
        <w:t xml:space="preserve"> </w:t>
      </w:r>
      <w:r w:rsidR="00966AE0">
        <w:t>no</w:t>
      </w:r>
      <w:r w:rsidR="00EE1ADA">
        <w:t>s</w:t>
      </w:r>
      <w:r w:rsidR="00966AE0">
        <w:t xml:space="preserve">. </w:t>
      </w:r>
      <w:r>
        <w:t xml:space="preserve">8827 and 8828 of 31 May 2003 </w:t>
      </w:r>
      <w:r w:rsidR="00EE1ADA">
        <w:t>that</w:t>
      </w:r>
      <w:r>
        <w:t xml:space="preserve"> reparation </w:t>
      </w:r>
      <w:r w:rsidR="00966AE0">
        <w:t>in the form of</w:t>
      </w:r>
      <w:r>
        <w:t xml:space="preserve"> compensation </w:t>
      </w:r>
      <w:r w:rsidR="00EE1ADA">
        <w:t>was</w:t>
      </w:r>
      <w:r>
        <w:t xml:space="preserve"> the minimum guarantee </w:t>
      </w:r>
      <w:r w:rsidR="00E476DE">
        <w:t xml:space="preserve">necessary </w:t>
      </w:r>
      <w:r>
        <w:t xml:space="preserve">to </w:t>
      </w:r>
      <w:r w:rsidR="00E476DE">
        <w:t>uphold</w:t>
      </w:r>
      <w:r>
        <w:t xml:space="preserve"> </w:t>
      </w:r>
      <w:r w:rsidR="00E476DE">
        <w:t>an impaired</w:t>
      </w:r>
      <w:r>
        <w:t xml:space="preserve"> right in </w:t>
      </w:r>
      <w:r w:rsidR="00AD5638">
        <w:t>cases</w:t>
      </w:r>
      <w:r>
        <w:t xml:space="preserve"> </w:t>
      </w:r>
      <w:r w:rsidR="00B123F6">
        <w:t xml:space="preserve">where the </w:t>
      </w:r>
      <w:r w:rsidR="00E476DE">
        <w:t xml:space="preserve">resulting </w:t>
      </w:r>
      <w:r w:rsidR="00B123F6">
        <w:t xml:space="preserve">damage </w:t>
      </w:r>
      <w:r w:rsidR="00E476DE">
        <w:t>interfered with</w:t>
      </w:r>
      <w:r w:rsidR="00B123F6">
        <w:t xml:space="preserve"> </w:t>
      </w:r>
      <w:r w:rsidR="00AD5638">
        <w:t>an</w:t>
      </w:r>
      <w:r w:rsidR="00B123F6">
        <w:t xml:space="preserve"> interest protected by the Constitution. It </w:t>
      </w:r>
      <w:r w:rsidR="00AD5638">
        <w:t>held</w:t>
      </w:r>
      <w:r w:rsidR="00B123F6">
        <w:t xml:space="preserve"> that the right to </w:t>
      </w:r>
      <w:r w:rsidR="00EE1ADA">
        <w:t>execution of the order contained</w:t>
      </w:r>
      <w:r w:rsidR="00AD5638">
        <w:t xml:space="preserve"> </w:t>
      </w:r>
      <w:r w:rsidR="00B123F6">
        <w:t xml:space="preserve">in </w:t>
      </w:r>
      <w:r w:rsidR="00EE1ADA">
        <w:t>an enforceable judgment</w:t>
      </w:r>
      <w:r w:rsidR="00AD5638">
        <w:t xml:space="preserve"> had to</w:t>
      </w:r>
      <w:r w:rsidR="00B123F6">
        <w:t xml:space="preserve"> be </w:t>
      </w:r>
      <w:r w:rsidR="00966AE0">
        <w:t>regarded</w:t>
      </w:r>
      <w:r w:rsidR="00B123F6">
        <w:t xml:space="preserve"> as such</w:t>
      </w:r>
      <w:r w:rsidR="00966AE0">
        <w:t xml:space="preserve"> a right</w:t>
      </w:r>
      <w:r w:rsidR="00B123F6">
        <w:t xml:space="preserve">, because the possibility </w:t>
      </w:r>
      <w:r w:rsidR="00966AE0">
        <w:t>for a person to bring legal proceedings seeking the protection of his or her</w:t>
      </w:r>
      <w:r w:rsidR="00B123F6">
        <w:t xml:space="preserve"> rights extend</w:t>
      </w:r>
      <w:r w:rsidR="00AD5638">
        <w:t>ed</w:t>
      </w:r>
      <w:r w:rsidR="00B123F6">
        <w:t xml:space="preserve"> to the </w:t>
      </w:r>
      <w:r w:rsidR="00AD5638">
        <w:t>enforcement</w:t>
      </w:r>
      <w:r w:rsidR="00B123F6">
        <w:t xml:space="preserve"> of </w:t>
      </w:r>
      <w:r w:rsidR="00966AE0">
        <w:t>final</w:t>
      </w:r>
      <w:r w:rsidR="00B123F6">
        <w:t xml:space="preserve"> and binding judicial decisions.</w:t>
      </w:r>
    </w:p>
    <w:p w:rsidR="00B123F6" w:rsidP="00C53186" w:rsidRDefault="00B123F6">
      <w:pPr>
        <w:pStyle w:val="JuPara"/>
      </w:pPr>
      <w:r>
        <w:fldChar w:fldCharType="begin"/>
      </w:r>
      <w:r>
        <w:instrText xml:space="preserve"> SEQ level0 \*arabic </w:instrText>
      </w:r>
      <w:r>
        <w:fldChar w:fldCharType="separate"/>
      </w:r>
      <w:r w:rsidR="0083532A">
        <w:rPr>
          <w:noProof/>
        </w:rPr>
        <w:t>48</w:t>
      </w:r>
      <w:r>
        <w:fldChar w:fldCharType="end"/>
      </w:r>
      <w:r>
        <w:t xml:space="preserve">.  The Court of Cassation quashed the judgment of the Rome Court </w:t>
      </w:r>
      <w:r w:rsidR="00B274F6">
        <w:t xml:space="preserve">of Appeal </w:t>
      </w:r>
      <w:r>
        <w:t xml:space="preserve">and referred it back </w:t>
      </w:r>
      <w:r w:rsidR="00966AE0">
        <w:t xml:space="preserve">to the lower courts </w:t>
      </w:r>
      <w:r>
        <w:t xml:space="preserve">for reconsideration. It </w:t>
      </w:r>
      <w:r w:rsidR="00AD5638">
        <w:t>stated</w:t>
      </w:r>
      <w:r>
        <w:t xml:space="preserve"> </w:t>
      </w:r>
      <w:r w:rsidR="005751F7">
        <w:t xml:space="preserve">as a matter of </w:t>
      </w:r>
      <w:r>
        <w:t xml:space="preserve">principle </w:t>
      </w:r>
      <w:r w:rsidR="005751F7">
        <w:t>that</w:t>
      </w:r>
      <w:r>
        <w:t xml:space="preserve">, </w:t>
      </w:r>
      <w:r w:rsidR="005751F7">
        <w:t>when</w:t>
      </w:r>
      <w:r>
        <w:t xml:space="preserve"> </w:t>
      </w:r>
      <w:r w:rsidR="00966AE0">
        <w:t>compensation claims</w:t>
      </w:r>
      <w:r w:rsidR="00AD5638">
        <w:t xml:space="preserve"> </w:t>
      </w:r>
      <w:r w:rsidR="005751F7">
        <w:t xml:space="preserve">were brought against public authorities </w:t>
      </w:r>
      <w:r>
        <w:t>by landlords</w:t>
      </w:r>
      <w:r w:rsidR="005751F7">
        <w:t xml:space="preserve"> complaining of damage because an eviction order had not been executed or its execution had been delayed</w:t>
      </w:r>
      <w:r>
        <w:t xml:space="preserve">, it was for the authorities to prove that </w:t>
      </w:r>
      <w:r w:rsidR="00AD5638">
        <w:t xml:space="preserve">they </w:t>
      </w:r>
      <w:r w:rsidR="005751F7">
        <w:t>had been</w:t>
      </w:r>
      <w:r w:rsidR="00AD5638">
        <w:t xml:space="preserve"> prevented from</w:t>
      </w:r>
      <w:r>
        <w:t xml:space="preserve"> allocat</w:t>
      </w:r>
      <w:r w:rsidR="00AD5638">
        <w:t>ing</w:t>
      </w:r>
      <w:r w:rsidR="005751F7">
        <w:t xml:space="preserve"> police assistance. Such a defence </w:t>
      </w:r>
      <w:r>
        <w:t>would only release the authorities from responsibility</w:t>
      </w:r>
      <w:r w:rsidR="005751F7">
        <w:t xml:space="preserve">, in particular, </w:t>
      </w:r>
      <w:r>
        <w:t xml:space="preserve">if it </w:t>
      </w:r>
      <w:r w:rsidR="005751F7">
        <w:t>arose from</w:t>
      </w:r>
      <w:r>
        <w:t xml:space="preserve"> extraordinary and </w:t>
      </w:r>
      <w:r w:rsidR="00370399">
        <w:t>unforeseeable</w:t>
      </w:r>
      <w:r>
        <w:t xml:space="preserve"> imperatives. In this connection, the Court of Cassation emphasised that any permanent crisis situations, such as those affecting the judicial system or public authorities, did not preclude responsibility for damage caused to indi</w:t>
      </w:r>
      <w:r w:rsidR="00AD5638">
        <w:t>viduals, but, on the contrary, might constitute</w:t>
      </w:r>
      <w:r>
        <w:t xml:space="preserve"> the origin of such responsibility. In particular, the “crisis” </w:t>
      </w:r>
      <w:r w:rsidR="00AD5638">
        <w:t>in</w:t>
      </w:r>
      <w:r>
        <w:t xml:space="preserve"> the </w:t>
      </w:r>
      <w:r w:rsidR="000E3E10">
        <w:t xml:space="preserve">Italian </w:t>
      </w:r>
      <w:r w:rsidR="00966AE0">
        <w:t>court</w:t>
      </w:r>
      <w:r>
        <w:t xml:space="preserve"> system had not </w:t>
      </w:r>
      <w:r w:rsidR="003C171D">
        <w:t>helped</w:t>
      </w:r>
      <w:r>
        <w:t xml:space="preserve"> the </w:t>
      </w:r>
      <w:r w:rsidR="00381795">
        <w:t>State</w:t>
      </w:r>
      <w:r w:rsidR="005751F7">
        <w:t xml:space="preserve"> </w:t>
      </w:r>
      <w:r w:rsidR="003C171D">
        <w:t>to avoid</w:t>
      </w:r>
      <w:r>
        <w:t xml:space="preserve"> a number of unfavourable judgments by the </w:t>
      </w:r>
      <w:smartTag w:uri="urn:schemas-microsoft-com:office:smarttags" w:element="Street">
        <w:smartTag w:uri="urn:schemas-microsoft-com:office:smarttags" w:element="address">
          <w:r>
            <w:t>European Court</w:t>
          </w:r>
        </w:smartTag>
      </w:smartTag>
      <w:r w:rsidR="003A4074">
        <w:t xml:space="preserve"> </w:t>
      </w:r>
      <w:r>
        <w:t xml:space="preserve">for the excessive length of </w:t>
      </w:r>
      <w:r w:rsidR="003A4074">
        <w:t xml:space="preserve">judicial </w:t>
      </w:r>
      <w:r>
        <w:t xml:space="preserve">proceedings, and </w:t>
      </w:r>
      <w:r w:rsidR="00AD5638">
        <w:t>currently</w:t>
      </w:r>
      <w:r>
        <w:t xml:space="preserve"> did not preclude such findings by domestic courts pursuant to Law</w:t>
      </w:r>
      <w:r w:rsidR="00381795">
        <w:t> </w:t>
      </w:r>
      <w:r>
        <w:t>no. 89 of 24 March 2001</w:t>
      </w:r>
      <w:r w:rsidRPr="00DB4544" w:rsidR="00DB4544">
        <w:t xml:space="preserve"> </w:t>
      </w:r>
      <w:r w:rsidR="00DB4544">
        <w:t>(the “Pinto Act”)</w:t>
      </w:r>
      <w:r>
        <w:t>.</w:t>
      </w:r>
    </w:p>
    <w:p w:rsidRPr="00F43855" w:rsidR="00CD49A7" w:rsidRDefault="00CD49A7">
      <w:pPr>
        <w:pStyle w:val="JuHHead"/>
      </w:pPr>
      <w:r w:rsidRPr="00F43855">
        <w:t>THE LAW</w:t>
      </w:r>
    </w:p>
    <w:p w:rsidRPr="00F43855" w:rsidR="00CD49A7" w:rsidRDefault="00CD49A7">
      <w:pPr>
        <w:pStyle w:val="JuHIRoman"/>
      </w:pPr>
      <w:r w:rsidRPr="00F43855">
        <w:t>I.  THE GOVERNMENT</w:t>
      </w:r>
      <w:r w:rsidR="00E652BE">
        <w:t>'</w:t>
      </w:r>
      <w:r w:rsidR="00B123F6">
        <w:t>S PRELIMINARY OBJECTION</w:t>
      </w:r>
    </w:p>
    <w:p w:rsidR="00CD49A7" w:rsidRDefault="00F43855">
      <w:pPr>
        <w:pStyle w:val="JuPara"/>
      </w:pPr>
      <w:r w:rsidRPr="00F43855">
        <w:fldChar w:fldCharType="begin"/>
      </w:r>
      <w:r w:rsidRPr="00F43855">
        <w:instrText xml:space="preserve"> SEQ level0 \*arabic </w:instrText>
      </w:r>
      <w:r w:rsidRPr="00F43855">
        <w:fldChar w:fldCharType="separate"/>
      </w:r>
      <w:r w:rsidR="0083532A">
        <w:rPr>
          <w:noProof/>
        </w:rPr>
        <w:t>49</w:t>
      </w:r>
      <w:r w:rsidRPr="00F43855">
        <w:fldChar w:fldCharType="end"/>
      </w:r>
      <w:r w:rsidRPr="00F43855" w:rsidR="00CD49A7">
        <w:t>.  </w:t>
      </w:r>
      <w:r w:rsidR="00B123F6">
        <w:t>In the Ministry of the Interior</w:t>
      </w:r>
      <w:r w:rsidR="00E652BE">
        <w:t>'</w:t>
      </w:r>
      <w:r w:rsidR="003C171D">
        <w:t>s</w:t>
      </w:r>
      <w:r w:rsidRPr="003C171D" w:rsidR="003C171D">
        <w:t xml:space="preserve"> </w:t>
      </w:r>
      <w:r w:rsidR="003C171D">
        <w:t>observations</w:t>
      </w:r>
      <w:r w:rsidR="00B123F6">
        <w:t xml:space="preserve"> dated 1 December 2003</w:t>
      </w:r>
      <w:r w:rsidR="004D4E37">
        <w:t>,</w:t>
      </w:r>
      <w:r w:rsidR="00B123F6">
        <w:t xml:space="preserve"> received </w:t>
      </w:r>
      <w:r w:rsidR="00AD5638">
        <w:t>at</w:t>
      </w:r>
      <w:r w:rsidR="00B123F6">
        <w:t xml:space="preserve"> the Registry on 3 December 2003, the Government contended that, under Article 1591 of the Civil Code, </w:t>
      </w:r>
      <w:r w:rsidR="007D17F8">
        <w:t>the legislative suspension</w:t>
      </w:r>
      <w:r w:rsidR="00B123F6">
        <w:t xml:space="preserve"> of evictions did not waive </w:t>
      </w:r>
      <w:r w:rsidR="007D17F8">
        <w:t>the</w:t>
      </w:r>
      <w:r w:rsidRPr="007D17F8" w:rsidR="007D17F8">
        <w:t xml:space="preserve"> </w:t>
      </w:r>
      <w:r w:rsidR="007D17F8">
        <w:t>liability</w:t>
      </w:r>
      <w:r w:rsidR="00D41D01">
        <w:t xml:space="preserve"> of</w:t>
      </w:r>
      <w:r w:rsidR="00B123F6">
        <w:t xml:space="preserve"> </w:t>
      </w:r>
      <w:r w:rsidR="00D41D01">
        <w:t xml:space="preserve">tenants </w:t>
      </w:r>
      <w:r w:rsidR="00B123F6">
        <w:t xml:space="preserve">for </w:t>
      </w:r>
      <w:r w:rsidR="007D17F8">
        <w:t xml:space="preserve">any </w:t>
      </w:r>
      <w:r w:rsidR="00B123F6">
        <w:t xml:space="preserve">loss </w:t>
      </w:r>
      <w:r w:rsidR="007D17F8">
        <w:t>sustained by</w:t>
      </w:r>
      <w:r w:rsidR="00B123F6">
        <w:t xml:space="preserve"> </w:t>
      </w:r>
      <w:r w:rsidR="003C171D">
        <w:t>a</w:t>
      </w:r>
      <w:r w:rsidR="00B123F6">
        <w:t xml:space="preserve"> landlord as a result of delays in the </w:t>
      </w:r>
      <w:r w:rsidR="00966AE0">
        <w:t>recovery</w:t>
      </w:r>
      <w:r w:rsidR="00B123F6">
        <w:t xml:space="preserve"> of </w:t>
      </w:r>
      <w:r w:rsidR="000E3E10">
        <w:t>his</w:t>
      </w:r>
      <w:r w:rsidR="00B123F6">
        <w:t xml:space="preserve"> property. However, </w:t>
      </w:r>
      <w:r w:rsidR="00966AE0">
        <w:t xml:space="preserve">it did not appear from the case </w:t>
      </w:r>
      <w:r w:rsidR="00B123F6">
        <w:t xml:space="preserve">file that the applicants had lodged any such </w:t>
      </w:r>
      <w:r w:rsidR="00966AE0">
        <w:t xml:space="preserve">compensation </w:t>
      </w:r>
      <w:r w:rsidR="00B123F6">
        <w:t xml:space="preserve">claim. Accordingly, </w:t>
      </w:r>
      <w:r w:rsidR="00D41D01">
        <w:t>any</w:t>
      </w:r>
      <w:r w:rsidR="00AF0ED1">
        <w:t xml:space="preserve"> loss sustained </w:t>
      </w:r>
      <w:r w:rsidR="007D17F8">
        <w:t xml:space="preserve">could be explained exclusively by the negligence of the applicants and </w:t>
      </w:r>
      <w:r w:rsidR="00D41D01">
        <w:t>was not</w:t>
      </w:r>
      <w:r w:rsidR="00AF0ED1">
        <w:t xml:space="preserve"> imput</w:t>
      </w:r>
      <w:r w:rsidR="00D41D01">
        <w:t>able</w:t>
      </w:r>
      <w:r w:rsidR="00AF0ED1">
        <w:t xml:space="preserve"> to the State.</w:t>
      </w:r>
    </w:p>
    <w:p w:rsidR="00AF0ED1" w:rsidRDefault="00AF0ED1">
      <w:pPr>
        <w:pStyle w:val="JuPara"/>
      </w:pPr>
      <w:r>
        <w:fldChar w:fldCharType="begin"/>
      </w:r>
      <w:r>
        <w:instrText xml:space="preserve"> SEQ level0 \*arabic </w:instrText>
      </w:r>
      <w:r>
        <w:fldChar w:fldCharType="separate"/>
      </w:r>
      <w:r w:rsidR="0083532A">
        <w:rPr>
          <w:noProof/>
        </w:rPr>
        <w:t>50</w:t>
      </w:r>
      <w:r>
        <w:fldChar w:fldCharType="end"/>
      </w:r>
      <w:r>
        <w:t xml:space="preserve">.  Since the </w:t>
      </w:r>
      <w:r w:rsidR="00E90160">
        <w:t>Government</w:t>
      </w:r>
      <w:r w:rsidR="00E652BE">
        <w:t>'</w:t>
      </w:r>
      <w:r w:rsidR="00E90160">
        <w:t xml:space="preserve">s </w:t>
      </w:r>
      <w:r>
        <w:t xml:space="preserve">observations on this point could be regarded as a preliminary </w:t>
      </w:r>
      <w:r w:rsidR="000E3E10">
        <w:t>plea</w:t>
      </w:r>
      <w:r>
        <w:t xml:space="preserve"> of non-exhaustion of domestic remedies, the Court note</w:t>
      </w:r>
      <w:r w:rsidR="00E90160">
        <w:t>s</w:t>
      </w:r>
      <w:r>
        <w:t xml:space="preserve"> that, in </w:t>
      </w:r>
      <w:r w:rsidR="00E90160">
        <w:t>their</w:t>
      </w:r>
      <w:r>
        <w:t xml:space="preserve"> written observations on the a</w:t>
      </w:r>
      <w:r w:rsidR="00E90160">
        <w:t>dmissibility of the application</w:t>
      </w:r>
      <w:r w:rsidR="00966AE0">
        <w:t>,</w:t>
      </w:r>
      <w:r>
        <w:t xml:space="preserve"> the Government had </w:t>
      </w:r>
      <w:r w:rsidR="00476E65">
        <w:t>cited</w:t>
      </w:r>
      <w:r w:rsidR="004D4E37">
        <w:t xml:space="preserve"> </w:t>
      </w:r>
      <w:r>
        <w:t>neither the existence of such remed</w:t>
      </w:r>
      <w:r w:rsidR="00966AE0">
        <w:t>ies</w:t>
      </w:r>
      <w:r>
        <w:t xml:space="preserve"> nor </w:t>
      </w:r>
      <w:r w:rsidR="00E90160">
        <w:t>any failure to exhaust the</w:t>
      </w:r>
      <w:r w:rsidR="00966AE0">
        <w:t>m</w:t>
      </w:r>
      <w:r>
        <w:t>.</w:t>
      </w:r>
    </w:p>
    <w:p w:rsidR="00B123F6" w:rsidRDefault="00AF0ED1">
      <w:pPr>
        <w:pStyle w:val="JuPara"/>
        <w:rPr>
          <w:lang w:eastAsia="en-US"/>
        </w:rPr>
      </w:pPr>
      <w:r>
        <w:t>Th</w:t>
      </w:r>
      <w:r w:rsidR="00620CCC">
        <w:t>e Government are</w:t>
      </w:r>
      <w:r>
        <w:t xml:space="preserve"> accordingly estopped</w:t>
      </w:r>
      <w:r w:rsidR="00620CCC">
        <w:t xml:space="preserve"> from raising that objection</w:t>
      </w:r>
      <w:r>
        <w:t xml:space="preserve"> (see,</w:t>
      </w:r>
      <w:r w:rsidRPr="00620CCC" w:rsidR="00620CCC">
        <w:t xml:space="preserve"> among other authorities</w:t>
      </w:r>
      <w:r>
        <w:t xml:space="preserve">, </w:t>
      </w:r>
      <w:r w:rsidRPr="00AF0ED1">
        <w:rPr>
          <w:i/>
          <w:lang w:eastAsia="en-US"/>
        </w:rPr>
        <w:t>Ceteroni v. Italy</w:t>
      </w:r>
      <w:r w:rsidRPr="00AF0ED1">
        <w:rPr>
          <w:lang w:eastAsia="en-US"/>
        </w:rPr>
        <w:t xml:space="preserve">, judgment of 15 November 1996, </w:t>
      </w:r>
      <w:r w:rsidRPr="00AF0ED1">
        <w:rPr>
          <w:i/>
          <w:lang w:eastAsia="en-US"/>
        </w:rPr>
        <w:t>Reports of Judgments and Decisions</w:t>
      </w:r>
      <w:r w:rsidR="00DB4544">
        <w:rPr>
          <w:lang w:eastAsia="en-US"/>
        </w:rPr>
        <w:t xml:space="preserve"> 1996-</w:t>
      </w:r>
      <w:r w:rsidRPr="00AF0ED1">
        <w:rPr>
          <w:lang w:eastAsia="en-US"/>
        </w:rPr>
        <w:t>V, p</w:t>
      </w:r>
      <w:r w:rsidR="006E0711">
        <w:rPr>
          <w:lang w:eastAsia="en-US"/>
        </w:rPr>
        <w:t>p. 1755-</w:t>
      </w:r>
      <w:r>
        <w:rPr>
          <w:lang w:eastAsia="en-US"/>
        </w:rPr>
        <w:t>56</w:t>
      </w:r>
      <w:r w:rsidRPr="00AF0ED1">
        <w:rPr>
          <w:lang w:eastAsia="en-US"/>
        </w:rPr>
        <w:t>, §</w:t>
      </w:r>
      <w:r>
        <w:rPr>
          <w:lang w:eastAsia="en-US"/>
        </w:rPr>
        <w:t xml:space="preserve"> 19, and </w:t>
      </w:r>
      <w:r w:rsidRPr="00AF0ED1">
        <w:rPr>
          <w:i/>
          <w:lang w:eastAsia="en-US"/>
        </w:rPr>
        <w:t>Pantea v. Romania</w:t>
      </w:r>
      <w:r w:rsidRPr="00AF0ED1">
        <w:rPr>
          <w:lang w:eastAsia="en-US"/>
        </w:rPr>
        <w:t>,</w:t>
      </w:r>
      <w:r w:rsidRPr="00AF0ED1">
        <w:rPr>
          <w:i/>
          <w:lang w:eastAsia="en-US"/>
        </w:rPr>
        <w:t xml:space="preserve"> </w:t>
      </w:r>
      <w:r w:rsidRPr="00AF0ED1">
        <w:rPr>
          <w:lang w:eastAsia="en-US"/>
        </w:rPr>
        <w:t>no. 3</w:t>
      </w:r>
      <w:r w:rsidR="00DB4544">
        <w:rPr>
          <w:lang w:eastAsia="en-US"/>
        </w:rPr>
        <w:t>3343/96, ECHR 2003-</w:t>
      </w:r>
      <w:r w:rsidRPr="00AF0ED1">
        <w:rPr>
          <w:lang w:eastAsia="en-US"/>
        </w:rPr>
        <w:t>VI</w:t>
      </w:r>
      <w:r>
        <w:rPr>
          <w:lang w:eastAsia="en-US"/>
        </w:rPr>
        <w:t>).</w:t>
      </w:r>
    </w:p>
    <w:p w:rsidR="00B123F6" w:rsidRDefault="00B123F6">
      <w:pPr>
        <w:pStyle w:val="JuPara"/>
      </w:pPr>
    </w:p>
    <w:p w:rsidRPr="00F43855" w:rsidR="00B123F6" w:rsidRDefault="00B123F6">
      <w:pPr>
        <w:pStyle w:val="JuPara"/>
      </w:pPr>
    </w:p>
    <w:p w:rsidRPr="00F43855" w:rsidR="00CD49A7" w:rsidRDefault="00C922FF">
      <w:pPr>
        <w:pStyle w:val="JuHIRoman"/>
      </w:pPr>
      <w:r>
        <w:t>II</w:t>
      </w:r>
      <w:r w:rsidRPr="00F43855" w:rsidR="00CD49A7">
        <w:t xml:space="preserve">.  ALLEGED VIOLATION OF ARTICLE </w:t>
      </w:r>
      <w:r>
        <w:t>1</w:t>
      </w:r>
      <w:r w:rsidRPr="00F43855" w:rsidR="00CD49A7">
        <w:t xml:space="preserve"> </w:t>
      </w:r>
      <w:r w:rsidR="00DB4544">
        <w:t>OF PROTOCOL No</w:t>
      </w:r>
      <w:r>
        <w:t xml:space="preserve">. 1 AND ARTICLE 6 </w:t>
      </w:r>
      <w:r w:rsidRPr="00F43855" w:rsidR="00CD49A7">
        <w:t>OF THE CONVENTION</w:t>
      </w:r>
    </w:p>
    <w:p w:rsidR="00CD49A7" w:rsidRDefault="00F43855">
      <w:pPr>
        <w:pStyle w:val="JuPara"/>
      </w:pPr>
      <w:r w:rsidRPr="00F43855">
        <w:fldChar w:fldCharType="begin"/>
      </w:r>
      <w:r w:rsidRPr="00F43855">
        <w:instrText xml:space="preserve"> SEQ level0 \*arabic </w:instrText>
      </w:r>
      <w:r w:rsidRPr="00F43855">
        <w:fldChar w:fldCharType="separate"/>
      </w:r>
      <w:r w:rsidR="0083532A">
        <w:rPr>
          <w:noProof/>
        </w:rPr>
        <w:t>51</w:t>
      </w:r>
      <w:r w:rsidRPr="00F43855">
        <w:fldChar w:fldCharType="end"/>
      </w:r>
      <w:r w:rsidRPr="00F43855" w:rsidR="00CD49A7">
        <w:t>.  </w:t>
      </w:r>
      <w:r w:rsidR="00C922FF">
        <w:t xml:space="preserve">The applicants complained of their prolonged inability to recover possession of their </w:t>
      </w:r>
      <w:r w:rsidR="00F80664">
        <w:t>flat</w:t>
      </w:r>
      <w:r w:rsidR="000E3E10">
        <w:t xml:space="preserve"> because</w:t>
      </w:r>
      <w:r w:rsidR="00C922FF">
        <w:t xml:space="preserve"> </w:t>
      </w:r>
      <w:r w:rsidR="000E3E10">
        <w:t xml:space="preserve">they had not been granted </w:t>
      </w:r>
      <w:r w:rsidR="00C922FF">
        <w:t xml:space="preserve">police assistance. They alleged that this amounted to a violation of their right to </w:t>
      </w:r>
      <w:r w:rsidR="00966AE0">
        <w:t xml:space="preserve">the peaceful enjoyment of their </w:t>
      </w:r>
      <w:r w:rsidR="00C922FF">
        <w:t>property, as embodied in Article 1 of Protocol No. 1, which provides:</w:t>
      </w:r>
    </w:p>
    <w:p w:rsidR="00C922FF" w:rsidRDefault="00C922FF">
      <w:pPr>
        <w:pStyle w:val="JuQuot"/>
      </w:pPr>
      <w:r>
        <w:t>“Every natural or legal person is entitled to the peaceful enjoyment of his possessions. No one shall be deprived of his possessions except in the public interest and subject to the conditions provided for by law and by the general principles of international law.</w:t>
      </w:r>
    </w:p>
    <w:p w:rsidRPr="00F43855" w:rsidR="00C922FF" w:rsidP="00C922FF" w:rsidRDefault="00C922FF">
      <w:pPr>
        <w:pStyle w:val="JuQuot"/>
      </w:pPr>
      <w:r>
        <w:t>The preceding provisions shall not, however, in any way impair the right of a State to enforce such laws as it deems necessary to control the use of property in accordance with the general interest or to secure the payment of taxes or other contributions or penalties.”</w:t>
      </w:r>
    </w:p>
    <w:p w:rsidR="00C922FF" w:rsidRDefault="00C922FF">
      <w:pPr>
        <w:pStyle w:val="JuPara"/>
      </w:pPr>
      <w:r>
        <w:fldChar w:fldCharType="begin"/>
      </w:r>
      <w:r>
        <w:instrText xml:space="preserve"> SEQ level0 \*arabic </w:instrText>
      </w:r>
      <w:r>
        <w:fldChar w:fldCharType="separate"/>
      </w:r>
      <w:r w:rsidR="0083532A">
        <w:rPr>
          <w:noProof/>
        </w:rPr>
        <w:t>52</w:t>
      </w:r>
      <w:r>
        <w:fldChar w:fldCharType="end"/>
      </w:r>
      <w:r>
        <w:t xml:space="preserve">.  The applicants also alleged </w:t>
      </w:r>
      <w:r w:rsidR="00966AE0">
        <w:t xml:space="preserve">that there had been </w:t>
      </w:r>
      <w:r>
        <w:t>a breach of Article 6 § 1 of the Convention, the relevant part of which provides:</w:t>
      </w:r>
    </w:p>
    <w:p w:rsidR="00C922FF" w:rsidP="00C922FF" w:rsidRDefault="00C922FF">
      <w:pPr>
        <w:pStyle w:val="JuQuot"/>
      </w:pPr>
      <w:r>
        <w:t>“In the determination of his civil rights and obligations ..., everyone is entitled to a ... hearing within a reasonable time by [a] ... tribunal</w:t>
      </w:r>
      <w:r w:rsidR="00DB4544">
        <w:t xml:space="preserve"> </w:t>
      </w:r>
      <w:r>
        <w:t>...”</w:t>
      </w:r>
    </w:p>
    <w:p w:rsidR="00C922FF" w:rsidRDefault="00C922FF">
      <w:pPr>
        <w:pStyle w:val="JuPara"/>
        <w:rPr>
          <w:lang w:eastAsia="en-US"/>
        </w:rPr>
      </w:pPr>
      <w:r>
        <w:fldChar w:fldCharType="begin"/>
      </w:r>
      <w:r>
        <w:instrText xml:space="preserve"> SEQ level0 \*arabic </w:instrText>
      </w:r>
      <w:r>
        <w:fldChar w:fldCharType="separate"/>
      </w:r>
      <w:r w:rsidR="0083532A">
        <w:rPr>
          <w:noProof/>
        </w:rPr>
        <w:t>53</w:t>
      </w:r>
      <w:r>
        <w:fldChar w:fldCharType="end"/>
      </w:r>
      <w:r>
        <w:t>.  </w:t>
      </w:r>
      <w:r w:rsidR="00895EAC">
        <w:t xml:space="preserve">In the many previous </w:t>
      </w:r>
      <w:r>
        <w:t xml:space="preserve">cases </w:t>
      </w:r>
      <w:r w:rsidR="00895EAC">
        <w:t xml:space="preserve">heard by the Court </w:t>
      </w:r>
      <w:r>
        <w:t xml:space="preserve">concerning similar issues to those </w:t>
      </w:r>
      <w:r w:rsidR="00476E65">
        <w:t>in</w:t>
      </w:r>
      <w:r>
        <w:t xml:space="preserve"> the instant case</w:t>
      </w:r>
      <w:r w:rsidR="00895EAC">
        <w:t>, it</w:t>
      </w:r>
      <w:r>
        <w:t xml:space="preserve"> has found violation</w:t>
      </w:r>
      <w:r w:rsidR="00EE2258">
        <w:t>s</w:t>
      </w:r>
      <w:r>
        <w:t xml:space="preserve"> of Article 1 of Protocol No. 1 and of Article 6 § 1 </w:t>
      </w:r>
      <w:r w:rsidR="00476E65">
        <w:t xml:space="preserve">of the Convention </w:t>
      </w:r>
      <w:r>
        <w:t xml:space="preserve">(see </w:t>
      </w:r>
      <w:r w:rsidR="00DB4544">
        <w:rPr>
          <w:i/>
          <w:lang w:eastAsia="en-US"/>
        </w:rPr>
        <w:t>Immobiliare Saffi</w:t>
      </w:r>
      <w:r w:rsidRPr="00DB4544" w:rsidR="00DB4544">
        <w:rPr>
          <w:lang w:eastAsia="en-US"/>
        </w:rPr>
        <w:t>,</w:t>
      </w:r>
      <w:r w:rsidR="00DB4544">
        <w:rPr>
          <w:lang w:eastAsia="en-US"/>
        </w:rPr>
        <w:t xml:space="preserve"> cited above</w:t>
      </w:r>
      <w:r w:rsidR="005178B6">
        <w:rPr>
          <w:lang w:eastAsia="en-US"/>
        </w:rPr>
        <w:t>, §§ 46-75</w:t>
      </w:r>
      <w:r w:rsidR="00DB4544">
        <w:rPr>
          <w:lang w:eastAsia="en-US"/>
        </w:rPr>
        <w:t xml:space="preserve">; </w:t>
      </w:r>
      <w:r w:rsidR="00DB4544">
        <w:rPr>
          <w:i/>
          <w:lang w:eastAsia="en-US"/>
        </w:rPr>
        <w:t>Lunari v.</w:t>
      </w:r>
      <w:r w:rsidR="00476E65">
        <w:rPr>
          <w:i/>
          <w:lang w:eastAsia="en-US"/>
        </w:rPr>
        <w:t xml:space="preserve"> </w:t>
      </w:r>
      <w:r w:rsidRPr="00C922FF">
        <w:rPr>
          <w:i/>
          <w:lang w:eastAsia="en-US"/>
        </w:rPr>
        <w:t>Italy</w:t>
      </w:r>
      <w:r w:rsidRPr="00C922FF">
        <w:rPr>
          <w:lang w:eastAsia="en-US"/>
        </w:rPr>
        <w:t>, no. 21463/93, §</w:t>
      </w:r>
      <w:r>
        <w:rPr>
          <w:lang w:eastAsia="en-US"/>
        </w:rPr>
        <w:t>§ 34-46</w:t>
      </w:r>
      <w:r w:rsidRPr="00C922FF">
        <w:rPr>
          <w:lang w:eastAsia="en-US"/>
        </w:rPr>
        <w:t>, 11</w:t>
      </w:r>
      <w:r w:rsidR="005178B6">
        <w:rPr>
          <w:lang w:eastAsia="en-US"/>
        </w:rPr>
        <w:t> </w:t>
      </w:r>
      <w:r w:rsidRPr="00C922FF">
        <w:rPr>
          <w:lang w:eastAsia="en-US"/>
        </w:rPr>
        <w:t>January 2001</w:t>
      </w:r>
      <w:r>
        <w:rPr>
          <w:lang w:eastAsia="en-US"/>
        </w:rPr>
        <w:t xml:space="preserve">; and </w:t>
      </w:r>
      <w:r w:rsidRPr="00C922FF">
        <w:rPr>
          <w:i/>
          <w:lang w:eastAsia="en-US"/>
        </w:rPr>
        <w:t xml:space="preserve">Edoardo Palumbo v. </w:t>
      </w:r>
      <w:smartTag w:uri="urn:schemas-microsoft-com:office:smarttags" w:element="country-region">
        <w:smartTag w:uri="urn:schemas-microsoft-com:office:smarttags" w:element="place">
          <w:r w:rsidRPr="00C922FF">
            <w:rPr>
              <w:i/>
              <w:lang w:eastAsia="en-US"/>
            </w:rPr>
            <w:t>Italy</w:t>
          </w:r>
        </w:smartTag>
      </w:smartTag>
      <w:r w:rsidRPr="00C922FF">
        <w:rPr>
          <w:lang w:eastAsia="en-US"/>
        </w:rPr>
        <w:t>, no. 15919/89, §</w:t>
      </w:r>
      <w:r>
        <w:rPr>
          <w:lang w:eastAsia="en-US"/>
        </w:rPr>
        <w:t>§ 33-48</w:t>
      </w:r>
      <w:r w:rsidRPr="00C922FF">
        <w:rPr>
          <w:lang w:eastAsia="en-US"/>
        </w:rPr>
        <w:t>, 30</w:t>
      </w:r>
      <w:r w:rsidR="005178B6">
        <w:rPr>
          <w:lang w:eastAsia="en-US"/>
        </w:rPr>
        <w:t> </w:t>
      </w:r>
      <w:r w:rsidRPr="00C922FF">
        <w:rPr>
          <w:lang w:eastAsia="en-US"/>
        </w:rPr>
        <w:t>November 2000</w:t>
      </w:r>
      <w:r w:rsidR="00843816">
        <w:rPr>
          <w:lang w:eastAsia="en-US"/>
        </w:rPr>
        <w:t>).</w:t>
      </w:r>
    </w:p>
    <w:p w:rsidR="00843816" w:rsidRDefault="00843816">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83532A">
        <w:rPr>
          <w:noProof/>
          <w:lang w:eastAsia="en-US"/>
        </w:rPr>
        <w:t>54</w:t>
      </w:r>
      <w:r>
        <w:rPr>
          <w:lang w:eastAsia="en-US"/>
        </w:rPr>
        <w:fldChar w:fldCharType="end"/>
      </w:r>
      <w:r>
        <w:rPr>
          <w:lang w:eastAsia="en-US"/>
        </w:rPr>
        <w:t>.  </w:t>
      </w:r>
      <w:r w:rsidR="003A4074">
        <w:rPr>
          <w:lang w:eastAsia="en-US"/>
        </w:rPr>
        <w:t>After</w:t>
      </w:r>
      <w:r w:rsidR="00EE2258">
        <w:rPr>
          <w:lang w:eastAsia="en-US"/>
        </w:rPr>
        <w:t xml:space="preserve"> examin</w:t>
      </w:r>
      <w:r w:rsidR="003A4074">
        <w:rPr>
          <w:lang w:eastAsia="en-US"/>
        </w:rPr>
        <w:t>ing the</w:t>
      </w:r>
      <w:r w:rsidR="00EE2258">
        <w:rPr>
          <w:lang w:eastAsia="en-US"/>
        </w:rPr>
        <w:t xml:space="preserve"> </w:t>
      </w:r>
      <w:r w:rsidR="005751F7">
        <w:rPr>
          <w:lang w:eastAsia="en-US"/>
        </w:rPr>
        <w:t>case file</w:t>
      </w:r>
      <w:r w:rsidR="003A4074">
        <w:rPr>
          <w:lang w:eastAsia="en-US"/>
        </w:rPr>
        <w:t>, the Court</w:t>
      </w:r>
      <w:r w:rsidR="00EE2258">
        <w:rPr>
          <w:lang w:eastAsia="en-US"/>
        </w:rPr>
        <w:t xml:space="preserve"> considers that the Government have failed to provide any facts or arguments capable of </w:t>
      </w:r>
      <w:r w:rsidR="00895EAC">
        <w:rPr>
          <w:lang w:eastAsia="en-US"/>
        </w:rPr>
        <w:t>justifying</w:t>
      </w:r>
      <w:r w:rsidR="00EE2258">
        <w:rPr>
          <w:lang w:eastAsia="en-US"/>
        </w:rPr>
        <w:t xml:space="preserve"> a different conclusion</w:t>
      </w:r>
      <w:r w:rsidR="00895EAC">
        <w:rPr>
          <w:lang w:eastAsia="en-US"/>
        </w:rPr>
        <w:t xml:space="preserve"> on this occasion. It observes that the applicants were obliged to wait some five years from the first attempt at eviction by the bailiff before they </w:t>
      </w:r>
      <w:r w:rsidR="00966AE0">
        <w:rPr>
          <w:lang w:eastAsia="en-US"/>
        </w:rPr>
        <w:t>were able to recover possession of</w:t>
      </w:r>
      <w:r w:rsidR="00895EAC">
        <w:rPr>
          <w:lang w:eastAsia="en-US"/>
        </w:rPr>
        <w:t xml:space="preserve"> their </w:t>
      </w:r>
      <w:r w:rsidR="00F80664">
        <w:rPr>
          <w:lang w:eastAsia="en-US"/>
        </w:rPr>
        <w:t>flat</w:t>
      </w:r>
      <w:r w:rsidR="00895EAC">
        <w:rPr>
          <w:lang w:eastAsia="en-US"/>
        </w:rPr>
        <w:t>.</w:t>
      </w:r>
    </w:p>
    <w:p w:rsidRPr="00F43855" w:rsidR="00895EAC" w:rsidRDefault="00895EAC">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83532A">
        <w:rPr>
          <w:noProof/>
          <w:lang w:eastAsia="en-US"/>
        </w:rPr>
        <w:t>55</w:t>
      </w:r>
      <w:r>
        <w:rPr>
          <w:lang w:eastAsia="en-US"/>
        </w:rPr>
        <w:fldChar w:fldCharType="end"/>
      </w:r>
      <w:r>
        <w:rPr>
          <w:lang w:eastAsia="en-US"/>
        </w:rPr>
        <w:t>.  Consequently, in the present case, there has been a violation of Article 1 of Protocol No. 1 and of Article 6 § 1 of the Convention.</w:t>
      </w:r>
    </w:p>
    <w:p w:rsidRPr="00F43855" w:rsidR="00CD49A7" w:rsidRDefault="00C922FF">
      <w:pPr>
        <w:pStyle w:val="JuHIRoman"/>
      </w:pPr>
      <w:r>
        <w:t>III</w:t>
      </w:r>
      <w:r w:rsidRPr="00F43855" w:rsidR="00CD49A7">
        <w:t>.  APPLICATION OF ARTICLE 41 OF THE CONVENTION</w:t>
      </w:r>
    </w:p>
    <w:p w:rsidRPr="00F43855" w:rsidR="00CD49A7" w:rsidRDefault="00F43855">
      <w:pPr>
        <w:pStyle w:val="JuPara"/>
        <w:keepNext/>
        <w:keepLines/>
      </w:pPr>
      <w:r w:rsidRPr="00F43855">
        <w:fldChar w:fldCharType="begin"/>
      </w:r>
      <w:r w:rsidRPr="00F43855">
        <w:instrText xml:space="preserve"> SEQ level0 \*arabic </w:instrText>
      </w:r>
      <w:r w:rsidRPr="00F43855">
        <w:fldChar w:fldCharType="separate"/>
      </w:r>
      <w:r w:rsidR="0083532A">
        <w:rPr>
          <w:noProof/>
        </w:rPr>
        <w:t>56</w:t>
      </w:r>
      <w:r w:rsidRPr="00F43855">
        <w:fldChar w:fldCharType="end"/>
      </w:r>
      <w:r w:rsidRPr="00F43855" w:rsidR="00CD49A7">
        <w:t>.  Article 41 of the Convention provides:</w:t>
      </w:r>
    </w:p>
    <w:p w:rsidRPr="00F43855" w:rsidR="00CD49A7" w:rsidRDefault="00CD49A7">
      <w:pPr>
        <w:pStyle w:val="JuQuot"/>
        <w:keepNext/>
        <w:keepLines/>
      </w:pPr>
      <w:r w:rsidRPr="00F43855">
        <w:t>“If the Court finds that there has been a violation of the Convention or the Protocols thereto, and if the internal law of the High Contracting Party concerned allows only partial reparation to be made, the Court shall, if necessary, afford just satisfaction to the injured party.”</w:t>
      </w:r>
    </w:p>
    <w:p w:rsidRPr="00F43855" w:rsidR="00CD49A7" w:rsidRDefault="00CD49A7">
      <w:pPr>
        <w:pStyle w:val="JuHA"/>
      </w:pPr>
      <w:r w:rsidRPr="00F43855">
        <w:t>A.  </w:t>
      </w:r>
      <w:r w:rsidR="0056533A">
        <w:t>Pecuniary d</w:t>
      </w:r>
      <w:r w:rsidRPr="00F43855">
        <w:t>amage</w:t>
      </w:r>
    </w:p>
    <w:p w:rsidR="0056533A" w:rsidRDefault="00F43855">
      <w:pPr>
        <w:pStyle w:val="JuPara"/>
      </w:pPr>
      <w:r w:rsidRPr="00F43855">
        <w:fldChar w:fldCharType="begin"/>
      </w:r>
      <w:r w:rsidRPr="00F43855">
        <w:instrText xml:space="preserve"> SEQ level0 \*arabic </w:instrText>
      </w:r>
      <w:r w:rsidRPr="00F43855">
        <w:fldChar w:fldCharType="separate"/>
      </w:r>
      <w:r w:rsidR="0083532A">
        <w:rPr>
          <w:noProof/>
        </w:rPr>
        <w:t>57</w:t>
      </w:r>
      <w:r w:rsidRPr="00F43855">
        <w:fldChar w:fldCharType="end"/>
      </w:r>
      <w:r w:rsidRPr="00F43855" w:rsidR="00CD49A7">
        <w:t>.  </w:t>
      </w:r>
      <w:r w:rsidR="00895EAC">
        <w:t xml:space="preserve">The applicants claimed </w:t>
      </w:r>
      <w:r w:rsidR="00B95F4D">
        <w:t xml:space="preserve">27,845 </w:t>
      </w:r>
      <w:r w:rsidR="00ED6840">
        <w:t xml:space="preserve">euros (EUR) </w:t>
      </w:r>
      <w:r w:rsidR="00B95F4D">
        <w:t xml:space="preserve">for pecuniary damage, </w:t>
      </w:r>
      <w:r w:rsidR="004F02D1">
        <w:t>representing</w:t>
      </w:r>
      <w:r w:rsidR="00B95F4D">
        <w:t xml:space="preserve"> the difference between the </w:t>
      </w:r>
      <w:r w:rsidR="004F02D1">
        <w:t xml:space="preserve">potential </w:t>
      </w:r>
      <w:r w:rsidR="00B95F4D">
        <w:t xml:space="preserve">rent at </w:t>
      </w:r>
      <w:r w:rsidR="00BE76B4">
        <w:t xml:space="preserve">the going </w:t>
      </w:r>
      <w:r w:rsidR="00966AE0">
        <w:t xml:space="preserve">market </w:t>
      </w:r>
      <w:r w:rsidR="00BE76B4">
        <w:t>rate</w:t>
      </w:r>
      <w:r w:rsidR="00B95F4D">
        <w:t xml:space="preserve"> and the rent </w:t>
      </w:r>
      <w:r w:rsidR="004F02D1">
        <w:t xml:space="preserve">actually </w:t>
      </w:r>
      <w:r w:rsidR="00B95F4D">
        <w:t>paid by their tenant over a period of seventy-two months (from 15 September 1994 to October 2000).</w:t>
      </w:r>
    </w:p>
    <w:p w:rsidR="0056533A" w:rsidRDefault="00895EAC">
      <w:pPr>
        <w:pStyle w:val="JuPara"/>
      </w:pPr>
      <w:r>
        <w:fldChar w:fldCharType="begin"/>
      </w:r>
      <w:r>
        <w:instrText xml:space="preserve"> SEQ level0 \*arabic </w:instrText>
      </w:r>
      <w:r>
        <w:fldChar w:fldCharType="separate"/>
      </w:r>
      <w:r w:rsidR="0083532A">
        <w:rPr>
          <w:noProof/>
        </w:rPr>
        <w:t>58</w:t>
      </w:r>
      <w:r>
        <w:fldChar w:fldCharType="end"/>
      </w:r>
      <w:r>
        <w:t>.  </w:t>
      </w:r>
      <w:r w:rsidR="00B95F4D">
        <w:t>The</w:t>
      </w:r>
      <w:r w:rsidR="004D4E37">
        <w:t>y</w:t>
      </w:r>
      <w:r w:rsidR="00B95F4D">
        <w:t xml:space="preserve"> asserted that they had received from their former tenant the total sum of EUR 11,899 whereas they could have let their </w:t>
      </w:r>
      <w:r w:rsidR="00F80664">
        <w:t>flat</w:t>
      </w:r>
      <w:r w:rsidR="00B95F4D">
        <w:t xml:space="preserve"> for EUR 552 per month, in accordance with the </w:t>
      </w:r>
      <w:r w:rsidR="006166BE">
        <w:t>Regional Agreement on Residential Tenancies</w:t>
      </w:r>
      <w:r w:rsidR="00966AE0">
        <w:t xml:space="preserve"> of 16 July 1999 between </w:t>
      </w:r>
      <w:r w:rsidR="00B95F4D">
        <w:t>Florence</w:t>
      </w:r>
      <w:r w:rsidR="00966AE0">
        <w:t xml:space="preserve"> City Council</w:t>
      </w:r>
      <w:r w:rsidR="00B95F4D">
        <w:t xml:space="preserve">, other municipalities </w:t>
      </w:r>
      <w:r w:rsidR="006166BE">
        <w:t>in</w:t>
      </w:r>
      <w:r w:rsidR="00B95F4D">
        <w:t xml:space="preserve"> </w:t>
      </w:r>
      <w:smartTag w:uri="urn:schemas-microsoft-com:office:smarttags" w:element="place">
        <w:smartTag w:uri="urn:schemas-microsoft-com:office:smarttags" w:element="State">
          <w:r w:rsidR="00B95F4D">
            <w:t>Tuscany</w:t>
          </w:r>
        </w:smartTag>
      </w:smartTag>
      <w:r w:rsidR="00B95F4D">
        <w:t xml:space="preserve">, </w:t>
      </w:r>
      <w:r w:rsidR="00966AE0">
        <w:t>landlords</w:t>
      </w:r>
      <w:r w:rsidR="00E652BE">
        <w:t>'</w:t>
      </w:r>
      <w:r w:rsidR="00966AE0">
        <w:t xml:space="preserve"> </w:t>
      </w:r>
      <w:r w:rsidR="00B95F4D">
        <w:t>association</w:t>
      </w:r>
      <w:r w:rsidR="006166BE">
        <w:t>s</w:t>
      </w:r>
      <w:r w:rsidR="00B95F4D">
        <w:t xml:space="preserve"> and </w:t>
      </w:r>
      <w:r w:rsidR="00966AE0">
        <w:t>tenants</w:t>
      </w:r>
      <w:r w:rsidR="00E652BE">
        <w:t>'</w:t>
      </w:r>
      <w:r w:rsidR="00966AE0">
        <w:t xml:space="preserve"> associations</w:t>
      </w:r>
      <w:r w:rsidR="00B95F4D">
        <w:t xml:space="preserve">. The applicants provided the Court with a copy of that </w:t>
      </w:r>
      <w:r w:rsidR="00381795">
        <w:t>a</w:t>
      </w:r>
      <w:r w:rsidR="00B95F4D">
        <w:t>greement.</w:t>
      </w:r>
    </w:p>
    <w:p w:rsidR="00895EAC" w:rsidRDefault="006166BE">
      <w:pPr>
        <w:pStyle w:val="JuPara"/>
      </w:pPr>
      <w:r>
        <w:fldChar w:fldCharType="begin"/>
      </w:r>
      <w:r>
        <w:instrText xml:space="preserve"> SEQ level0 \*arabic </w:instrText>
      </w:r>
      <w:r>
        <w:fldChar w:fldCharType="separate"/>
      </w:r>
      <w:r w:rsidR="0083532A">
        <w:rPr>
          <w:noProof/>
        </w:rPr>
        <w:t>59</w:t>
      </w:r>
      <w:r>
        <w:fldChar w:fldCharType="end"/>
      </w:r>
      <w:r>
        <w:t>.  The</w:t>
      </w:r>
      <w:r w:rsidR="004F02D1">
        <w:t xml:space="preserve"> applicants</w:t>
      </w:r>
      <w:r>
        <w:t xml:space="preserve"> considered that </w:t>
      </w:r>
      <w:r w:rsidR="004D4E37">
        <w:t>such an</w:t>
      </w:r>
      <w:r w:rsidR="00966AE0">
        <w:t xml:space="preserve"> </w:t>
      </w:r>
      <w:r w:rsidR="00BE76B4">
        <w:t>award</w:t>
      </w:r>
      <w:r w:rsidR="00966AE0">
        <w:t xml:space="preserve"> </w:t>
      </w:r>
      <w:r w:rsidR="004D4E37">
        <w:t>w</w:t>
      </w:r>
      <w:r w:rsidR="00BE76B4">
        <w:t>ould be</w:t>
      </w:r>
      <w:r w:rsidR="004F02D1">
        <w:t xml:space="preserve"> equitable, </w:t>
      </w:r>
      <w:r w:rsidR="00966AE0">
        <w:t>since</w:t>
      </w:r>
      <w:r w:rsidR="004F02D1">
        <w:t xml:space="preserve"> they were no longer able to provide evidence of the </w:t>
      </w:r>
      <w:r w:rsidR="00966AE0">
        <w:t>expenses</w:t>
      </w:r>
      <w:r w:rsidR="004F02D1">
        <w:t xml:space="preserve"> incurred by M</w:t>
      </w:r>
      <w:r w:rsidR="005F397F">
        <w:t>rs</w:t>
      </w:r>
      <w:r w:rsidR="004F02D1">
        <w:t xml:space="preserve"> Ilaria Lo Tufo in finding alternative accommodation. </w:t>
      </w:r>
      <w:r w:rsidR="008421E1">
        <w:t>Either those</w:t>
      </w:r>
      <w:r w:rsidR="004F02D1">
        <w:t xml:space="preserve"> costs were incurred a long time a</w:t>
      </w:r>
      <w:r w:rsidR="008421E1">
        <w:t xml:space="preserve">go and the documentary evidence was </w:t>
      </w:r>
      <w:r w:rsidR="00966AE0">
        <w:t xml:space="preserve">therefore </w:t>
      </w:r>
      <w:r w:rsidR="008421E1">
        <w:t xml:space="preserve">difficult to trace or there had never been any such evidence because of the </w:t>
      </w:r>
      <w:r w:rsidRPr="008421E1" w:rsidR="008421E1">
        <w:t>temporary nature</w:t>
      </w:r>
      <w:r w:rsidR="008421E1">
        <w:t xml:space="preserve"> of the accommodation in question.</w:t>
      </w:r>
    </w:p>
    <w:p w:rsidR="008421E1" w:rsidRDefault="008421E1">
      <w:pPr>
        <w:pStyle w:val="JuPara"/>
      </w:pPr>
      <w:r>
        <w:fldChar w:fldCharType="begin"/>
      </w:r>
      <w:r>
        <w:instrText xml:space="preserve"> SEQ level0 \*arabic </w:instrText>
      </w:r>
      <w:r>
        <w:fldChar w:fldCharType="separate"/>
      </w:r>
      <w:r w:rsidR="0083532A">
        <w:rPr>
          <w:noProof/>
        </w:rPr>
        <w:t>60</w:t>
      </w:r>
      <w:r>
        <w:fldChar w:fldCharType="end"/>
      </w:r>
      <w:r>
        <w:t xml:space="preserve">.  The applicants further referred to the expenses incurred </w:t>
      </w:r>
      <w:r w:rsidR="004D4E37">
        <w:t>for</w:t>
      </w:r>
      <w:r>
        <w:t xml:space="preserve"> the </w:t>
      </w:r>
      <w:r w:rsidR="00966AE0">
        <w:t>refurbishment</w:t>
      </w:r>
      <w:r>
        <w:t xml:space="preserve"> of the </w:t>
      </w:r>
      <w:r w:rsidR="00F80664">
        <w:t>flat</w:t>
      </w:r>
      <w:r>
        <w:t xml:space="preserve"> after they had recovered possession, because of the damage caused by the tenant, and </w:t>
      </w:r>
      <w:r w:rsidR="00C05752">
        <w:t>to their installation-related expenses</w:t>
      </w:r>
      <w:r w:rsidR="00653147">
        <w:t>.</w:t>
      </w:r>
    </w:p>
    <w:p w:rsidR="00653147" w:rsidRDefault="00653147">
      <w:pPr>
        <w:pStyle w:val="JuPara"/>
      </w:pPr>
      <w:r>
        <w:fldChar w:fldCharType="begin"/>
      </w:r>
      <w:r>
        <w:instrText xml:space="preserve"> SEQ level0 \*arabic </w:instrText>
      </w:r>
      <w:r>
        <w:fldChar w:fldCharType="separate"/>
      </w:r>
      <w:r w:rsidR="0083532A">
        <w:rPr>
          <w:noProof/>
        </w:rPr>
        <w:t>61</w:t>
      </w:r>
      <w:r>
        <w:fldChar w:fldCharType="end"/>
      </w:r>
      <w:r>
        <w:t xml:space="preserve">.  The Government claimed that it was for the person concerned by the judicial decision, namely the tenant, to execute that decision, and not the State. For its part, the State had </w:t>
      </w:r>
      <w:r w:rsidR="004D4E37">
        <w:t>only</w:t>
      </w:r>
      <w:r>
        <w:t xml:space="preserve"> an incidental obligation to assist the private individual in </w:t>
      </w:r>
      <w:r w:rsidR="00BE76B4">
        <w:t>exercising</w:t>
      </w:r>
      <w:r>
        <w:t xml:space="preserve"> his or her right. Any failure, delay or deficiency in the fulfilment of that obligation might entail a procedura</w:t>
      </w:r>
      <w:r w:rsidR="00C05752">
        <w:t xml:space="preserve">l violation of the Convention, as in cases concerning the procedural obligation to conduct an inquiry into a death, but direct liability for interference with the </w:t>
      </w:r>
      <w:r w:rsidR="00966AE0">
        <w:t>landlord</w:t>
      </w:r>
      <w:r w:rsidR="00E652BE">
        <w:t>'</w:t>
      </w:r>
      <w:r w:rsidR="00C05752">
        <w:t xml:space="preserve">s right to peaceful enjoyment of </w:t>
      </w:r>
      <w:r w:rsidR="00966AE0">
        <w:t xml:space="preserve">his </w:t>
      </w:r>
      <w:r w:rsidR="00C05752">
        <w:t xml:space="preserve">property </w:t>
      </w:r>
      <w:r w:rsidR="00BE76B4">
        <w:t>lay</w:t>
      </w:r>
      <w:r w:rsidR="00C05752">
        <w:t xml:space="preserve"> with the uncooperative tenant.</w:t>
      </w:r>
    </w:p>
    <w:p w:rsidR="00653147" w:rsidRDefault="00C05752">
      <w:pPr>
        <w:pStyle w:val="JuPara"/>
      </w:pPr>
      <w:r>
        <w:fldChar w:fldCharType="begin"/>
      </w:r>
      <w:r>
        <w:instrText xml:space="preserve"> SEQ level0 \*arabic </w:instrText>
      </w:r>
      <w:r>
        <w:fldChar w:fldCharType="separate"/>
      </w:r>
      <w:r w:rsidR="0083532A">
        <w:rPr>
          <w:noProof/>
        </w:rPr>
        <w:t>62</w:t>
      </w:r>
      <w:r>
        <w:fldChar w:fldCharType="end"/>
      </w:r>
      <w:r>
        <w:t>.  In this connection, the Government considered that the applicants could have sought compensation through the Italian courts for the damage sustained</w:t>
      </w:r>
      <w:r w:rsidR="00BE76B4">
        <w:t>,</w:t>
      </w:r>
      <w:r>
        <w:t xml:space="preserve"> within the meaning of Article 1591 of the Civil Code, that is to say for the loss of rent resulting from their inability to let their </w:t>
      </w:r>
      <w:r w:rsidR="00F80664">
        <w:t>flat</w:t>
      </w:r>
      <w:r>
        <w:t xml:space="preserve">, or for the costs and expenses incurred in finding alternative accommodation for the periods 5 October 1995 to 30 December 1998 and 23 September 1999 to 25 February 2000. </w:t>
      </w:r>
      <w:r w:rsidR="00C26D71">
        <w:t xml:space="preserve">This was the </w:t>
      </w:r>
      <w:r w:rsidR="004D4E37">
        <w:t>same</w:t>
      </w:r>
      <w:r w:rsidR="00C26D71">
        <w:t xml:space="preserve"> damage that the applicants had claimed before the Court and had imputed to the State, whereas their </w:t>
      </w:r>
      <w:r w:rsidR="002D2D26">
        <w:t>loss</w:t>
      </w:r>
      <w:r w:rsidR="00C26D71">
        <w:t xml:space="preserve"> had clearly been caused directly by the tenant.</w:t>
      </w:r>
    </w:p>
    <w:p w:rsidR="00C26D71" w:rsidRDefault="00C26D71">
      <w:pPr>
        <w:pStyle w:val="JuPara"/>
      </w:pPr>
      <w:r>
        <w:fldChar w:fldCharType="begin"/>
      </w:r>
      <w:r>
        <w:instrText xml:space="preserve"> SEQ level0 \*arabic </w:instrText>
      </w:r>
      <w:r>
        <w:fldChar w:fldCharType="separate"/>
      </w:r>
      <w:r w:rsidR="0083532A">
        <w:rPr>
          <w:noProof/>
        </w:rPr>
        <w:t>63</w:t>
      </w:r>
      <w:r>
        <w:fldChar w:fldCharType="end"/>
      </w:r>
      <w:r>
        <w:t>.  </w:t>
      </w:r>
      <w:r w:rsidR="00135747">
        <w:t xml:space="preserve">The Government contended that, since the applicants had failed to seek redress for the damage </w:t>
      </w:r>
      <w:r w:rsidR="004D4E37">
        <w:t>under</w:t>
      </w:r>
      <w:r w:rsidR="00135747">
        <w:t xml:space="preserve"> Article 1591 of the Civil Code, their request for just satisfaction </w:t>
      </w:r>
      <w:r w:rsidR="00966AE0">
        <w:t xml:space="preserve">in that connection </w:t>
      </w:r>
      <w:r w:rsidR="00135747">
        <w:t>should be dismissed.</w:t>
      </w:r>
    </w:p>
    <w:p w:rsidR="00135747" w:rsidRDefault="00135747">
      <w:pPr>
        <w:pStyle w:val="JuPara"/>
      </w:pPr>
      <w:r>
        <w:fldChar w:fldCharType="begin"/>
      </w:r>
      <w:r>
        <w:instrText xml:space="preserve"> SEQ level0 \*arabic </w:instrText>
      </w:r>
      <w:r>
        <w:fldChar w:fldCharType="separate"/>
      </w:r>
      <w:r w:rsidR="0083532A">
        <w:rPr>
          <w:noProof/>
        </w:rPr>
        <w:t>64</w:t>
      </w:r>
      <w:r>
        <w:fldChar w:fldCharType="end"/>
      </w:r>
      <w:r>
        <w:t xml:space="preserve">.  The Government observed that the applicants had subsequently signed a solemn declaration that they urgently needed to recover possession of the </w:t>
      </w:r>
      <w:r w:rsidR="00F80664">
        <w:t>flat</w:t>
      </w:r>
      <w:r>
        <w:t xml:space="preserve"> so that one of them could make use of it for </w:t>
      </w:r>
      <w:r w:rsidR="005F397F">
        <w:t xml:space="preserve">personal </w:t>
      </w:r>
      <w:r>
        <w:t xml:space="preserve">accommodation. Accordingly, if they had succeeded in recovering the </w:t>
      </w:r>
      <w:r w:rsidR="00F80664">
        <w:t>flat</w:t>
      </w:r>
      <w:r>
        <w:t xml:space="preserve"> earlier, they would not have been able to let it.</w:t>
      </w:r>
      <w:r w:rsidR="00B569C9">
        <w:t xml:space="preserve"> </w:t>
      </w:r>
      <w:r w:rsidR="00966AE0">
        <w:t>In so far as</w:t>
      </w:r>
      <w:r w:rsidR="00B569C9">
        <w:t xml:space="preserve"> the applicants were claiming the difference between </w:t>
      </w:r>
      <w:r w:rsidR="00966AE0">
        <w:t xml:space="preserve">rent at </w:t>
      </w:r>
      <w:r w:rsidR="00B569C9">
        <w:t xml:space="preserve">the statutory rate and </w:t>
      </w:r>
      <w:r w:rsidR="00966AE0">
        <w:t>rent at</w:t>
      </w:r>
      <w:r w:rsidR="00B569C9">
        <w:t xml:space="preserve"> market</w:t>
      </w:r>
      <w:r w:rsidR="00966AE0">
        <w:t xml:space="preserve"> value</w:t>
      </w:r>
      <w:r w:rsidR="00B569C9">
        <w:t xml:space="preserve">, their claims </w:t>
      </w:r>
      <w:r w:rsidR="00D17135">
        <w:t>should</w:t>
      </w:r>
      <w:r w:rsidR="00B569C9">
        <w:t xml:space="preserve"> be dismissed. Similarly, regarding their claim for the reimbursement of expenses incurred in their search for alternative accommodation, the Government considered that they had not </w:t>
      </w:r>
      <w:r w:rsidR="005F397F">
        <w:t xml:space="preserve">adduced </w:t>
      </w:r>
      <w:r w:rsidR="00D17135">
        <w:t>any</w:t>
      </w:r>
      <w:r w:rsidR="00BE76B4">
        <w:t xml:space="preserve"> </w:t>
      </w:r>
      <w:r w:rsidR="00B569C9">
        <w:t xml:space="preserve">evidence. In their opinion, the claims submitted under that head also </w:t>
      </w:r>
      <w:r w:rsidR="00966AE0">
        <w:t xml:space="preserve">had to </w:t>
      </w:r>
      <w:r w:rsidR="00B569C9">
        <w:t>be dismissed.</w:t>
      </w:r>
    </w:p>
    <w:p w:rsidR="00B569C9" w:rsidRDefault="00B569C9">
      <w:pPr>
        <w:pStyle w:val="JuPara"/>
      </w:pPr>
      <w:r>
        <w:fldChar w:fldCharType="begin"/>
      </w:r>
      <w:r>
        <w:instrText xml:space="preserve"> SEQ level0 \*arabic </w:instrText>
      </w:r>
      <w:r>
        <w:fldChar w:fldCharType="separate"/>
      </w:r>
      <w:r w:rsidR="0083532A">
        <w:rPr>
          <w:noProof/>
        </w:rPr>
        <w:t>65</w:t>
      </w:r>
      <w:r>
        <w:fldChar w:fldCharType="end"/>
      </w:r>
      <w:r>
        <w:t xml:space="preserve">.  Lastly, the Government considered that the Court should take account of the fact that the applicants had purchased </w:t>
      </w:r>
      <w:r w:rsidR="005F397F">
        <w:t>an</w:t>
      </w:r>
      <w:r>
        <w:t xml:space="preserve"> occupied </w:t>
      </w:r>
      <w:r w:rsidR="00F80664">
        <w:t>flat</w:t>
      </w:r>
      <w:r>
        <w:t xml:space="preserve"> and had thus </w:t>
      </w:r>
      <w:r w:rsidR="00370399">
        <w:t>benefited</w:t>
      </w:r>
      <w:r>
        <w:t xml:space="preserve"> from a more advantageous </w:t>
      </w:r>
      <w:r w:rsidR="00846162">
        <w:t>price</w:t>
      </w:r>
      <w:r>
        <w:t xml:space="preserve"> </w:t>
      </w:r>
      <w:r w:rsidR="00966AE0">
        <w:t xml:space="preserve">on the market </w:t>
      </w:r>
      <w:r w:rsidRPr="005F397F">
        <w:t xml:space="preserve">than </w:t>
      </w:r>
      <w:r w:rsidRPr="005F397F" w:rsidR="00846162">
        <w:t xml:space="preserve">if it had been </w:t>
      </w:r>
      <w:r w:rsidR="00236043">
        <w:t>vacant</w:t>
      </w:r>
      <w:r w:rsidR="00846162">
        <w:t>.</w:t>
      </w:r>
    </w:p>
    <w:p w:rsidR="00135747" w:rsidRDefault="00846162">
      <w:pPr>
        <w:pStyle w:val="JuPara"/>
      </w:pPr>
      <w:r>
        <w:fldChar w:fldCharType="begin"/>
      </w:r>
      <w:r>
        <w:instrText xml:space="preserve"> SEQ level0 \*arabic </w:instrText>
      </w:r>
      <w:r>
        <w:fldChar w:fldCharType="separate"/>
      </w:r>
      <w:r w:rsidR="0083532A">
        <w:rPr>
          <w:noProof/>
        </w:rPr>
        <w:t>66</w:t>
      </w:r>
      <w:r>
        <w:fldChar w:fldCharType="end"/>
      </w:r>
      <w:r>
        <w:t xml:space="preserve">.  The Court first observes that the Government have not raised any arguments concerning the possibility, which appears to have been referred to in the case-law of the Court of Cassation, of bringing proceedings for damages against the State in the event of an unjustified </w:t>
      </w:r>
      <w:r w:rsidR="00F80664">
        <w:t xml:space="preserve">failure to </w:t>
      </w:r>
      <w:r w:rsidR="00D17135">
        <w:t>provide</w:t>
      </w:r>
      <w:r>
        <w:t xml:space="preserve"> police assistance.</w:t>
      </w:r>
    </w:p>
    <w:p w:rsidR="00846162" w:rsidRDefault="00846162">
      <w:pPr>
        <w:pStyle w:val="JuPara"/>
      </w:pPr>
      <w:r>
        <w:fldChar w:fldCharType="begin"/>
      </w:r>
      <w:r>
        <w:instrText xml:space="preserve"> SEQ level0 \*arabic </w:instrText>
      </w:r>
      <w:r>
        <w:fldChar w:fldCharType="separate"/>
      </w:r>
      <w:r w:rsidR="0083532A">
        <w:rPr>
          <w:noProof/>
        </w:rPr>
        <w:t>67</w:t>
      </w:r>
      <w:r>
        <w:fldChar w:fldCharType="end"/>
      </w:r>
      <w:r>
        <w:t xml:space="preserve">.  The Court </w:t>
      </w:r>
      <w:r w:rsidR="00F80664">
        <w:t>further</w:t>
      </w:r>
      <w:r>
        <w:t xml:space="preserve"> notes that the applicants are entitled to </w:t>
      </w:r>
      <w:r w:rsidR="00F733F9">
        <w:t xml:space="preserve">bring an action against their former tenant </w:t>
      </w:r>
      <w:r w:rsidR="005F397F">
        <w:t>in</w:t>
      </w:r>
      <w:r>
        <w:t xml:space="preserve"> the civil courts, under Article 1591 of the Civil Code, </w:t>
      </w:r>
      <w:r w:rsidR="00C214F4">
        <w:t xml:space="preserve">to seek compensation for the damage </w:t>
      </w:r>
      <w:r w:rsidR="00D17135">
        <w:t>attributable to him</w:t>
      </w:r>
      <w:r w:rsidR="00C214F4">
        <w:t xml:space="preserve"> as a result of the delay in recover</w:t>
      </w:r>
      <w:r w:rsidR="000E3E10">
        <w:t>ing</w:t>
      </w:r>
      <w:r w:rsidR="00C214F4">
        <w:t xml:space="preserve"> possession of the property.</w:t>
      </w:r>
    </w:p>
    <w:p w:rsidR="00846162" w:rsidRDefault="00C214F4">
      <w:pPr>
        <w:pStyle w:val="JuPara"/>
      </w:pPr>
      <w:r>
        <w:fldChar w:fldCharType="begin"/>
      </w:r>
      <w:r>
        <w:instrText xml:space="preserve"> SEQ level0 \*arabic </w:instrText>
      </w:r>
      <w:r>
        <w:fldChar w:fldCharType="separate"/>
      </w:r>
      <w:r w:rsidR="0083532A">
        <w:rPr>
          <w:noProof/>
        </w:rPr>
        <w:t>68</w:t>
      </w:r>
      <w:r>
        <w:fldChar w:fldCharType="end"/>
      </w:r>
      <w:r>
        <w:t xml:space="preserve">.  The damage, in the present case, </w:t>
      </w:r>
      <w:r w:rsidR="00D17135">
        <w:t>actually</w:t>
      </w:r>
      <w:r>
        <w:t xml:space="preserve"> stems from the unlawful conduct of the tenant, who, whether or not the State cooperated in the enforcement of the judicial eviction order, was bound to return the flat to its owners. The violation of the applicants</w:t>
      </w:r>
      <w:r w:rsidR="00E652BE">
        <w:t>'</w:t>
      </w:r>
      <w:r>
        <w:t xml:space="preserve"> right to the peaceful enjoyment of their property is mainly the consequence of the tenant</w:t>
      </w:r>
      <w:r w:rsidR="00E652BE">
        <w:t>'</w:t>
      </w:r>
      <w:r>
        <w:t xml:space="preserve">s unlawful conduct. The Court thus concludes that the breach of Article 6 of the Convention by the State </w:t>
      </w:r>
      <w:r w:rsidR="003A4074">
        <w:t>was</w:t>
      </w:r>
      <w:r>
        <w:t xml:space="preserve"> procedural in nature and </w:t>
      </w:r>
      <w:r w:rsidR="003A4074">
        <w:t>was</w:t>
      </w:r>
      <w:r>
        <w:t xml:space="preserve"> </w:t>
      </w:r>
      <w:r w:rsidR="003A4074">
        <w:t>subsequent</w:t>
      </w:r>
      <w:r>
        <w:t xml:space="preserve"> to the tenant</w:t>
      </w:r>
      <w:r w:rsidR="00E652BE">
        <w:t>'</w:t>
      </w:r>
      <w:r>
        <w:t>s own conduct.</w:t>
      </w:r>
    </w:p>
    <w:p w:rsidRPr="00F43855" w:rsidR="00C214F4" w:rsidRDefault="00C214F4">
      <w:pPr>
        <w:pStyle w:val="JuPara"/>
        <w:rPr>
          <w:lang w:eastAsia="en-US"/>
        </w:rPr>
      </w:pPr>
      <w:r>
        <w:fldChar w:fldCharType="begin"/>
      </w:r>
      <w:r>
        <w:instrText xml:space="preserve"> SEQ level0 \*arabic </w:instrText>
      </w:r>
      <w:r>
        <w:fldChar w:fldCharType="separate"/>
      </w:r>
      <w:r w:rsidR="0083532A">
        <w:rPr>
          <w:noProof/>
        </w:rPr>
        <w:t>69</w:t>
      </w:r>
      <w:r>
        <w:fldChar w:fldCharType="end"/>
      </w:r>
      <w:r>
        <w:t xml:space="preserve">.  The Court accordingly finds that Italian domestic law allows reparation to be </w:t>
      </w:r>
      <w:r w:rsidR="00D17135">
        <w:t>made</w:t>
      </w:r>
      <w:r>
        <w:t xml:space="preserve"> </w:t>
      </w:r>
      <w:r w:rsidR="00171824">
        <w:t xml:space="preserve">for </w:t>
      </w:r>
      <w:r>
        <w:t xml:space="preserve">the </w:t>
      </w:r>
      <w:r w:rsidR="00D17135">
        <w:t>pecuniary</w:t>
      </w:r>
      <w:r>
        <w:t xml:space="preserve"> consequences of the breach and considers that the claim of just satisfaction should be dismissed in respect of pecuniary damage (see </w:t>
      </w:r>
      <w:r w:rsidRPr="00C214F4">
        <w:rPr>
          <w:i/>
          <w:lang w:eastAsia="en-US"/>
        </w:rPr>
        <w:t>Mascolo v. Italy</w:t>
      </w:r>
      <w:r w:rsidRPr="00C214F4">
        <w:rPr>
          <w:lang w:eastAsia="en-US"/>
        </w:rPr>
        <w:t xml:space="preserve">, no. 68792/01, </w:t>
      </w:r>
      <w:smartTag w:uri="urn:schemas-microsoft-com:office:smarttags" w:element="date">
        <w:smartTagPr>
          <w:attr w:name="Month" w:val="12"/>
          <w:attr w:name="Day" w:val="16"/>
          <w:attr w:name="Year" w:val="2004"/>
        </w:smartTagPr>
        <w:r w:rsidRPr="00C214F4">
          <w:rPr>
            <w:lang w:eastAsia="en-US"/>
          </w:rPr>
          <w:t>16 December 2004</w:t>
        </w:r>
      </w:smartTag>
      <w:r>
        <w:rPr>
          <w:lang w:eastAsia="en-US"/>
        </w:rPr>
        <w:t>).</w:t>
      </w:r>
    </w:p>
    <w:p w:rsidRPr="00F43855" w:rsidR="00CD49A7" w:rsidRDefault="00CD49A7">
      <w:pPr>
        <w:pStyle w:val="JuHA"/>
      </w:pPr>
      <w:r w:rsidRPr="00F43855">
        <w:t>B.  </w:t>
      </w:r>
      <w:r w:rsidR="0056533A">
        <w:t>Non-pecuniary damage</w:t>
      </w:r>
    </w:p>
    <w:p w:rsidR="0056533A" w:rsidRDefault="00F43855">
      <w:pPr>
        <w:pStyle w:val="JuPara"/>
      </w:pPr>
      <w:r w:rsidRPr="00F43855">
        <w:fldChar w:fldCharType="begin"/>
      </w:r>
      <w:r w:rsidRPr="00F43855">
        <w:instrText xml:space="preserve"> SEQ level0 \*arabic </w:instrText>
      </w:r>
      <w:r w:rsidRPr="00F43855">
        <w:fldChar w:fldCharType="separate"/>
      </w:r>
      <w:r w:rsidR="0083532A">
        <w:rPr>
          <w:noProof/>
        </w:rPr>
        <w:t>70</w:t>
      </w:r>
      <w:r w:rsidRPr="00F43855">
        <w:fldChar w:fldCharType="end"/>
      </w:r>
      <w:r w:rsidRPr="00F43855" w:rsidR="00CD49A7">
        <w:t>. </w:t>
      </w:r>
      <w:r w:rsidRPr="00171824" w:rsidR="00CD49A7">
        <w:t> </w:t>
      </w:r>
      <w:r w:rsidRPr="00171824" w:rsidR="0056533A">
        <w:t xml:space="preserve">The applicants claimed </w:t>
      </w:r>
      <w:r w:rsidR="00171824">
        <w:t>EUR 14,400</w:t>
      </w:r>
      <w:r w:rsidRPr="00171824" w:rsidR="0056533A">
        <w:t xml:space="preserve"> for non-pecuniary damage.</w:t>
      </w:r>
    </w:p>
    <w:p w:rsidRPr="00171824" w:rsidR="00171824" w:rsidRDefault="00171824">
      <w:pPr>
        <w:pStyle w:val="JuPara"/>
      </w:pPr>
      <w:r>
        <w:fldChar w:fldCharType="begin"/>
      </w:r>
      <w:r>
        <w:instrText xml:space="preserve"> SEQ level0 \*arabic </w:instrText>
      </w:r>
      <w:r>
        <w:fldChar w:fldCharType="separate"/>
      </w:r>
      <w:r w:rsidR="0083532A">
        <w:rPr>
          <w:noProof/>
        </w:rPr>
        <w:t>71</w:t>
      </w:r>
      <w:r>
        <w:fldChar w:fldCharType="end"/>
      </w:r>
      <w:r>
        <w:t>.  </w:t>
      </w:r>
      <w:r w:rsidRPr="00171824">
        <w:t>The Government contested th</w:t>
      </w:r>
      <w:r w:rsidR="00381795">
        <w:t>is</w:t>
      </w:r>
      <w:r w:rsidRPr="00171824">
        <w:t xml:space="preserve"> claim.</w:t>
      </w:r>
    </w:p>
    <w:p w:rsidRPr="00F43855" w:rsidR="0056533A" w:rsidRDefault="00171824">
      <w:pPr>
        <w:pStyle w:val="JuPara"/>
      </w:pPr>
      <w:r>
        <w:fldChar w:fldCharType="begin"/>
      </w:r>
      <w:r>
        <w:instrText xml:space="preserve"> SEQ level0 \*arabic </w:instrText>
      </w:r>
      <w:r>
        <w:fldChar w:fldCharType="separate"/>
      </w:r>
      <w:r w:rsidR="0083532A">
        <w:rPr>
          <w:noProof/>
        </w:rPr>
        <w:t>72</w:t>
      </w:r>
      <w:r>
        <w:fldChar w:fldCharType="end"/>
      </w:r>
      <w:r>
        <w:t>.  </w:t>
      </w:r>
      <w:r w:rsidRPr="00171824">
        <w:t>The Court considers that the applicant</w:t>
      </w:r>
      <w:r>
        <w:t>s</w:t>
      </w:r>
      <w:r w:rsidRPr="00171824">
        <w:t xml:space="preserve"> indisputably suffered non-pecuniary damage.</w:t>
      </w:r>
      <w:r>
        <w:t xml:space="preserve"> </w:t>
      </w:r>
      <w:r w:rsidRPr="00171824" w:rsidR="0056533A">
        <w:t xml:space="preserve">Making an assessment on an equitable basis, </w:t>
      </w:r>
      <w:r>
        <w:t>it</w:t>
      </w:r>
      <w:r w:rsidRPr="00171824" w:rsidR="0056533A">
        <w:t xml:space="preserve"> awards EUR 5,000 </w:t>
      </w:r>
      <w:r>
        <w:t xml:space="preserve">to each applicant </w:t>
      </w:r>
      <w:r w:rsidRPr="00171824" w:rsidR="0056533A">
        <w:t>under this head.</w:t>
      </w:r>
    </w:p>
    <w:p w:rsidRPr="00F43855" w:rsidR="00CD49A7" w:rsidRDefault="00CD49A7">
      <w:pPr>
        <w:pStyle w:val="JuHA"/>
      </w:pPr>
      <w:r w:rsidRPr="00F43855">
        <w:t>C.  Default interest</w:t>
      </w:r>
    </w:p>
    <w:p w:rsidRPr="00F43855" w:rsidR="00CD49A7" w:rsidRDefault="00F43855">
      <w:pPr>
        <w:pStyle w:val="JuPara"/>
      </w:pPr>
      <w:r w:rsidRPr="00F43855">
        <w:fldChar w:fldCharType="begin"/>
      </w:r>
      <w:r w:rsidRPr="00F43855">
        <w:instrText xml:space="preserve"> SEQ level0 \*arabic </w:instrText>
      </w:r>
      <w:r w:rsidRPr="00F43855">
        <w:fldChar w:fldCharType="separate"/>
      </w:r>
      <w:r w:rsidR="0083532A">
        <w:rPr>
          <w:noProof/>
        </w:rPr>
        <w:t>73</w:t>
      </w:r>
      <w:r w:rsidRPr="00F43855">
        <w:fldChar w:fldCharType="end"/>
      </w:r>
      <w:r w:rsidRPr="00F43855" w:rsidR="00CD49A7">
        <w:t>.  The Court considers it appropriate that the default interest should be based on the marginal lending rate of the European Central Bank, to which should be added three percentage points.</w:t>
      </w:r>
    </w:p>
    <w:p w:rsidRPr="00F43855" w:rsidR="00CD49A7" w:rsidRDefault="00ED6840">
      <w:pPr>
        <w:pStyle w:val="JuHHead"/>
      </w:pPr>
      <w:r>
        <w:t>FOR THESE REASONS, THE COURT</w:t>
      </w:r>
      <w:r w:rsidR="00171824">
        <w:t xml:space="preserve"> </w:t>
      </w:r>
      <w:r w:rsidRPr="00F43855" w:rsidR="00CD49A7">
        <w:t>UNANIMOUSLY</w:t>
      </w:r>
    </w:p>
    <w:p w:rsidRPr="00F43855" w:rsidR="00CD49A7" w:rsidRDefault="00CD49A7">
      <w:pPr>
        <w:pStyle w:val="JuList"/>
      </w:pPr>
      <w:r w:rsidRPr="00F43855">
        <w:t>1.  </w:t>
      </w:r>
      <w:r w:rsidRPr="00F43855">
        <w:rPr>
          <w:i/>
        </w:rPr>
        <w:t>Dismisses</w:t>
      </w:r>
      <w:r w:rsidRPr="00F43855">
        <w:t xml:space="preserve"> the Government</w:t>
      </w:r>
      <w:r w:rsidR="00E652BE">
        <w:t>'</w:t>
      </w:r>
      <w:r w:rsidR="00171824">
        <w:t>s preliminary objection</w:t>
      </w:r>
      <w:r w:rsidRPr="00F43855">
        <w:t>;</w:t>
      </w:r>
    </w:p>
    <w:p w:rsidRPr="00F43855" w:rsidR="00CD49A7" w:rsidRDefault="00CD49A7">
      <w:pPr>
        <w:pStyle w:val="JuList"/>
      </w:pPr>
    </w:p>
    <w:p w:rsidRPr="00F43855" w:rsidR="00CD49A7" w:rsidRDefault="00171824">
      <w:pPr>
        <w:pStyle w:val="JuList"/>
      </w:pPr>
      <w:r>
        <w:t>2</w:t>
      </w:r>
      <w:r w:rsidRPr="00F43855" w:rsidR="00CD49A7">
        <w:t>.  </w:t>
      </w:r>
      <w:r w:rsidRPr="00F43855" w:rsidR="00CD49A7">
        <w:rPr>
          <w:i/>
        </w:rPr>
        <w:t>Holds</w:t>
      </w:r>
      <w:r w:rsidRPr="00F43855" w:rsidR="00CD49A7">
        <w:t xml:space="preserve"> that there </w:t>
      </w:r>
      <w:r w:rsidR="00ED6840">
        <w:t xml:space="preserve">has been a violation of Article </w:t>
      </w:r>
      <w:r>
        <w:t>1 of Protocol No. 1</w:t>
      </w:r>
      <w:r w:rsidRPr="00F43855" w:rsidR="00CD49A7">
        <w:t>;</w:t>
      </w:r>
    </w:p>
    <w:p w:rsidRPr="00F43855" w:rsidR="00CD49A7" w:rsidRDefault="00CD49A7">
      <w:pPr>
        <w:pStyle w:val="JuList"/>
      </w:pPr>
    </w:p>
    <w:p w:rsidRPr="00F43855" w:rsidR="00171824" w:rsidP="00171824" w:rsidRDefault="00171824">
      <w:pPr>
        <w:pStyle w:val="JuList"/>
      </w:pPr>
      <w:r>
        <w:t>3</w:t>
      </w:r>
      <w:r w:rsidRPr="00F43855">
        <w:t>.  </w:t>
      </w:r>
      <w:r w:rsidRPr="00F43855">
        <w:rPr>
          <w:i/>
        </w:rPr>
        <w:t>Holds</w:t>
      </w:r>
      <w:r w:rsidRPr="00F43855">
        <w:t xml:space="preserve"> that there </w:t>
      </w:r>
      <w:r w:rsidR="00ED6840">
        <w:t xml:space="preserve">has been a violation of Article </w:t>
      </w:r>
      <w:r>
        <w:t>6 § 1</w:t>
      </w:r>
      <w:r w:rsidRPr="00F43855">
        <w:t xml:space="preserve"> of the Convention;</w:t>
      </w:r>
    </w:p>
    <w:p w:rsidRPr="00F43855" w:rsidR="00CD49A7" w:rsidRDefault="00CD49A7">
      <w:pPr>
        <w:pStyle w:val="JuList"/>
      </w:pPr>
    </w:p>
    <w:p w:rsidRPr="00F43855" w:rsidR="00CD49A7" w:rsidRDefault="00171824">
      <w:pPr>
        <w:pStyle w:val="JuList"/>
      </w:pPr>
      <w:r>
        <w:t>4</w:t>
      </w:r>
      <w:r w:rsidRPr="00F43855" w:rsidR="00CD49A7">
        <w:t>.  </w:t>
      </w:r>
      <w:r w:rsidRPr="00F43855" w:rsidR="00CD49A7">
        <w:rPr>
          <w:i/>
        </w:rPr>
        <w:t>Holds</w:t>
      </w:r>
    </w:p>
    <w:p w:rsidRPr="00F43855" w:rsidR="00CD49A7" w:rsidRDefault="00CD49A7">
      <w:pPr>
        <w:pStyle w:val="JuLista"/>
      </w:pPr>
      <w:r w:rsidRPr="00F43855">
        <w:t xml:space="preserve">(a)  that the respondent State is to pay </w:t>
      </w:r>
      <w:r w:rsidR="00171824">
        <w:t>each</w:t>
      </w:r>
      <w:r w:rsidRPr="00F43855">
        <w:t xml:space="preserve"> </w:t>
      </w:r>
      <w:r w:rsidR="00171824">
        <w:t>applicant</w:t>
      </w:r>
      <w:r w:rsidRPr="00F43855">
        <w:t>, within three months</w:t>
      </w:r>
      <w:r w:rsidR="00171824">
        <w:t xml:space="preserve"> </w:t>
      </w:r>
      <w:r w:rsidRPr="00F43855" w:rsidR="00F43855">
        <w:t>from the date on which the judgment becomes f</w:t>
      </w:r>
      <w:r w:rsidR="00ED6840">
        <w:t xml:space="preserve">inal in accordance with Article 44 § </w:t>
      </w:r>
      <w:r w:rsidRPr="00F43855" w:rsidR="00F43855">
        <w:t>2 of the Convention</w:t>
      </w:r>
      <w:r w:rsidRPr="00F43855">
        <w:t xml:space="preserve">, </w:t>
      </w:r>
      <w:r w:rsidR="00D17135">
        <w:t xml:space="preserve">EUR </w:t>
      </w:r>
      <w:r w:rsidR="00171824">
        <w:t xml:space="preserve">5,000 </w:t>
      </w:r>
      <w:r w:rsidRPr="00F43855">
        <w:t>(</w:t>
      </w:r>
      <w:r w:rsidR="00171824">
        <w:t>five thousand</w:t>
      </w:r>
      <w:r w:rsidR="00D17135">
        <w:t xml:space="preserve"> euros</w:t>
      </w:r>
      <w:r w:rsidR="00370399">
        <w:t xml:space="preserve">) </w:t>
      </w:r>
      <w:r w:rsidRPr="00F43855">
        <w:t>in respect of non-pecuniary damage, plus any tax that may be chargeable;</w:t>
      </w:r>
    </w:p>
    <w:p w:rsidRPr="00F43855" w:rsidR="00CD49A7" w:rsidRDefault="00CD49A7">
      <w:pPr>
        <w:pStyle w:val="JuLista"/>
      </w:pPr>
      <w:r w:rsidRPr="00F43855">
        <w:t>(b)  that from the expiry of the above-mentioned three months until settlement simple interest shall be payable on the above amount at a rate equal to the marginal lending rate of the European Central Bank during the default period plus three percentage points;</w:t>
      </w:r>
    </w:p>
    <w:p w:rsidRPr="00F43855" w:rsidR="00CD49A7" w:rsidRDefault="00CD49A7">
      <w:pPr>
        <w:pStyle w:val="JuList"/>
      </w:pPr>
    </w:p>
    <w:p w:rsidRPr="00F43855" w:rsidR="00CD49A7" w:rsidRDefault="00171824">
      <w:pPr>
        <w:pStyle w:val="JuList"/>
      </w:pPr>
      <w:r>
        <w:t>5</w:t>
      </w:r>
      <w:r w:rsidRPr="00F43855" w:rsidR="00CD49A7">
        <w:t>.  </w:t>
      </w:r>
      <w:r w:rsidRPr="00F43855" w:rsidR="00CD49A7">
        <w:rPr>
          <w:i/>
        </w:rPr>
        <w:t>Dismisses</w:t>
      </w:r>
      <w:r w:rsidRPr="00F43855" w:rsidR="00CD49A7">
        <w:t xml:space="preserve"> the remainder of the </w:t>
      </w:r>
      <w:r w:rsidRPr="00F43855" w:rsidR="00F43855">
        <w:t>applicants</w:t>
      </w:r>
      <w:r w:rsidR="00E652BE">
        <w:t>'</w:t>
      </w:r>
      <w:r w:rsidRPr="00F43855" w:rsidR="00CD49A7">
        <w:t xml:space="preserve"> claim</w:t>
      </w:r>
      <w:r w:rsidR="00370399">
        <w:t>s</w:t>
      </w:r>
      <w:r w:rsidRPr="00F43855" w:rsidR="00CD49A7">
        <w:t xml:space="preserve"> for just satisfaction.</w:t>
      </w:r>
    </w:p>
    <w:p w:rsidRPr="00F43855" w:rsidR="00CD49A7" w:rsidRDefault="00CD49A7">
      <w:pPr>
        <w:pStyle w:val="JuParaLast"/>
      </w:pPr>
      <w:r w:rsidRPr="00F43855">
        <w:t xml:space="preserve">Done in </w:t>
      </w:r>
      <w:r w:rsidR="00171824">
        <w:t>French</w:t>
      </w:r>
      <w:r w:rsidRPr="00F43855">
        <w:t xml:space="preserve">, and notified in writing on </w:t>
      </w:r>
      <w:smartTag w:uri="urn:schemas-microsoft-com:office:smarttags" w:element="date">
        <w:smartTagPr>
          <w:attr w:name="Month" w:val="4"/>
          <w:attr w:name="Day" w:val="21"/>
          <w:attr w:name="Year" w:val="2005"/>
        </w:smartTagPr>
        <w:r w:rsidR="00171824">
          <w:t>21 April 2005</w:t>
        </w:r>
      </w:smartTag>
      <w:r w:rsidRPr="00F43855">
        <w:t>, pursuant to Rule 77 §§</w:t>
      </w:r>
      <w:r w:rsidR="00171824">
        <w:t xml:space="preserve"> 2 and 3 of the Rules of Court.</w:t>
      </w:r>
    </w:p>
    <w:p w:rsidRPr="00F43855" w:rsidR="00CD49A7" w:rsidRDefault="00CD49A7">
      <w:pPr>
        <w:pStyle w:val="JuSigned"/>
        <w:keepNext/>
        <w:keepLines/>
      </w:pPr>
      <w:r w:rsidRPr="00F43855">
        <w:tab/>
      </w:r>
      <w:r w:rsidRPr="00F43855" w:rsidR="00F43855">
        <w:t xml:space="preserve">Søren </w:t>
      </w:r>
      <w:r w:rsidRPr="00F43855" w:rsidR="00F43855">
        <w:rPr>
          <w:rStyle w:val="JuNames"/>
        </w:rPr>
        <w:t>Nielsen</w:t>
      </w:r>
      <w:r w:rsidRPr="00F43855" w:rsidR="00F43855">
        <w:tab/>
        <w:t xml:space="preserve">Christos </w:t>
      </w:r>
      <w:r w:rsidRPr="00F43855" w:rsidR="00F43855">
        <w:rPr>
          <w:rStyle w:val="JuNames"/>
        </w:rPr>
        <w:t>Rozakis</w:t>
      </w:r>
      <w:r w:rsidRPr="00F43855" w:rsidR="00F43855">
        <w:br/>
      </w:r>
      <w:r w:rsidRPr="00F43855" w:rsidR="00F43855">
        <w:tab/>
        <w:t>Registrar</w:t>
      </w:r>
      <w:r w:rsidRPr="00F43855" w:rsidR="00F43855">
        <w:tab/>
        <w:t>President</w:t>
      </w:r>
    </w:p>
    <w:p w:rsidRPr="00F43855" w:rsidR="00CD49A7" w:rsidRDefault="00CD49A7">
      <w:pPr>
        <w:pStyle w:val="JuParaLast"/>
      </w:pPr>
      <w:r w:rsidRPr="00F43855">
        <w:t>In accordance with Article 45 § 2 of the Convention and Rule 74 § 2 of the Rules of Court, the concurring</w:t>
      </w:r>
      <w:r w:rsidR="00171824">
        <w:t xml:space="preserve"> </w:t>
      </w:r>
      <w:r w:rsidRPr="00F43855">
        <w:t>opinion</w:t>
      </w:r>
      <w:r w:rsidR="00171824">
        <w:t xml:space="preserve"> </w:t>
      </w:r>
      <w:r w:rsidRPr="00F43855">
        <w:t xml:space="preserve">of </w:t>
      </w:r>
      <w:r w:rsidR="00D17135">
        <w:t>Mr</w:t>
      </w:r>
      <w:r w:rsidR="008B7522">
        <w:t xml:space="preserve"> </w:t>
      </w:r>
      <w:r w:rsidR="00171824">
        <w:t>Spielmann</w:t>
      </w:r>
      <w:r w:rsidR="008B7522">
        <w:t xml:space="preserve"> joined by </w:t>
      </w:r>
      <w:r w:rsidR="00D17135">
        <w:t>Mr</w:t>
      </w:r>
      <w:r w:rsidR="00476E65">
        <w:t> </w:t>
      </w:r>
      <w:r w:rsidR="00ED6840">
        <w:t>Loucaides</w:t>
      </w:r>
      <w:r w:rsidR="00171824">
        <w:t xml:space="preserve"> is</w:t>
      </w:r>
      <w:r w:rsidRPr="00F43855">
        <w:t xml:space="preserve"> annexed to this judgment</w:t>
      </w:r>
      <w:r w:rsidR="008B7522">
        <w:t>.</w:t>
      </w:r>
    </w:p>
    <w:p w:rsidR="0009053A" w:rsidRDefault="00F43855">
      <w:pPr>
        <w:pStyle w:val="JuInitialled"/>
      </w:pPr>
      <w:r w:rsidRPr="00F43855">
        <w:t>C.L.</w:t>
      </w:r>
      <w:r w:rsidR="008B7522">
        <w:t>R</w:t>
      </w:r>
      <w:r w:rsidRPr="00F43855" w:rsidR="00CD49A7">
        <w:t>.</w:t>
      </w:r>
      <w:r w:rsidRPr="00F43855" w:rsidR="00CD49A7">
        <w:br/>
      </w:r>
      <w:r w:rsidRPr="00F43855">
        <w:t>S.</w:t>
      </w:r>
      <w:r w:rsidR="008B7522">
        <w:t>N</w:t>
      </w:r>
      <w:r w:rsidRPr="00F43855" w:rsidR="00CD49A7">
        <w:t>.</w:t>
      </w:r>
    </w:p>
    <w:p w:rsidR="00ED6840" w:rsidRDefault="00ED6840">
      <w:pPr>
        <w:pStyle w:val="JuInitialled"/>
        <w:sectPr w:rsidR="00ED6840" w:rsidSect="00F43855">
          <w:headerReference w:type="default" r:id="rId9"/>
          <w:footnotePr>
            <w:numRestart w:val="eachPage"/>
          </w:footnotePr>
          <w:pgSz w:w="11906" w:h="16838" w:code="9"/>
          <w:pgMar w:top="2274" w:right="2274" w:bottom="2274" w:left="2274" w:header="1701" w:footer="720" w:gutter="0"/>
          <w:pgNumType w:start="1"/>
          <w:cols w:space="720"/>
          <w:docGrid w:linePitch="78"/>
        </w:sectPr>
      </w:pPr>
    </w:p>
    <w:p w:rsidR="00A316C0" w:rsidRDefault="00A316C0">
      <w:pPr>
        <w:pStyle w:val="JuInitialled"/>
        <w:sectPr w:rsidR="00A316C0" w:rsidSect="0009053A">
          <w:footnotePr>
            <w:numRestart w:val="eachPage"/>
          </w:footnotePr>
          <w:pgSz w:w="11906" w:h="16838" w:code="9"/>
          <w:pgMar w:top="2274" w:right="2274" w:bottom="2274" w:left="2274" w:header="1701" w:footer="720" w:gutter="0"/>
          <w:cols w:space="720"/>
          <w:docGrid w:linePitch="78"/>
        </w:sectPr>
      </w:pPr>
    </w:p>
    <w:p w:rsidRPr="004E1BED" w:rsidR="00A316C0" w:rsidP="00A316C0" w:rsidRDefault="00A316C0">
      <w:pPr>
        <w:pStyle w:val="OpiHHead"/>
      </w:pPr>
      <w:r w:rsidRPr="004E1BED">
        <w:t>CONCURRING</w:t>
      </w:r>
      <w:r w:rsidR="00ED6840">
        <w:t xml:space="preserve"> OPINION OF JUDGE SPIELMANN</w:t>
      </w:r>
      <w:r w:rsidRPr="004E1BED">
        <w:t xml:space="preserve"> </w:t>
      </w:r>
      <w:r w:rsidR="00ED6840">
        <w:br/>
      </w:r>
      <w:r w:rsidRPr="004E1BED">
        <w:t>JOINED BY JUDGE LOUCAIDES</w:t>
      </w:r>
    </w:p>
    <w:p w:rsidRPr="004E1BED" w:rsidR="00A316C0" w:rsidP="00A316C0" w:rsidRDefault="00A316C0">
      <w:pPr>
        <w:pStyle w:val="OpiTranslation"/>
        <w:rPr>
          <w:i/>
        </w:rPr>
      </w:pPr>
      <w:r>
        <w:rPr>
          <w:i/>
        </w:rPr>
        <w:t>(Translation)</w:t>
      </w:r>
    </w:p>
    <w:p w:rsidRPr="004E1BED" w:rsidR="00A316C0" w:rsidP="00A316C0" w:rsidRDefault="00ED6840">
      <w:pPr>
        <w:pStyle w:val="OpiPara"/>
      </w:pPr>
      <w:r>
        <w:t>1.  </w:t>
      </w:r>
      <w:r w:rsidR="00A316C0">
        <w:t>I</w:t>
      </w:r>
      <w:r w:rsidRPr="004E1BED" w:rsidR="00A316C0">
        <w:t xml:space="preserve">n </w:t>
      </w:r>
      <w:r w:rsidR="00A316C0">
        <w:t>point 5 of the</w:t>
      </w:r>
      <w:r w:rsidRPr="004E1BED" w:rsidR="00A316C0">
        <w:t xml:space="preserve"> operative </w:t>
      </w:r>
      <w:r w:rsidR="00A316C0">
        <w:t>provisions</w:t>
      </w:r>
      <w:r w:rsidRPr="004E1BED" w:rsidR="00A316C0">
        <w:t xml:space="preserve"> of the judgment</w:t>
      </w:r>
      <w:r w:rsidR="00A316C0">
        <w:t xml:space="preserve"> the Court </w:t>
      </w:r>
      <w:r w:rsidRPr="004E1BED" w:rsidR="00A316C0">
        <w:t>quite rightly dismissed the claim for just satisfaction in respect of the alleged pecuniary damage.</w:t>
      </w:r>
    </w:p>
    <w:p w:rsidRPr="004E1BED" w:rsidR="00A316C0" w:rsidP="00A316C0" w:rsidRDefault="00ED6840">
      <w:pPr>
        <w:pStyle w:val="JuPara"/>
      </w:pPr>
      <w:r>
        <w:t>2.  </w:t>
      </w:r>
      <w:r w:rsidRPr="004E1BED" w:rsidR="00A316C0">
        <w:t xml:space="preserve">It should be </w:t>
      </w:r>
      <w:r w:rsidR="00381795">
        <w:t>noted</w:t>
      </w:r>
      <w:r w:rsidRPr="004E1BED" w:rsidR="00A316C0">
        <w:t xml:space="preserve"> at the outset that</w:t>
      </w:r>
      <w:r w:rsidR="00381795">
        <w:t>,</w:t>
      </w:r>
      <w:r w:rsidRPr="004E1BED" w:rsidR="00A316C0">
        <w:t xml:space="preserve"> if the State had been </w:t>
      </w:r>
      <w:r w:rsidR="00A316C0">
        <w:t>able</w:t>
      </w:r>
      <w:r w:rsidRPr="004E1BED" w:rsidR="00A316C0">
        <w:t xml:space="preserve"> to enforce the eviction order, the applicants would normally have been able to recover possession of their flat and would not have incurred any additional expenses in finding alternative accommodation (contrast </w:t>
      </w:r>
      <w:r w:rsidRPr="004E1BED" w:rsidR="00A316C0">
        <w:rPr>
          <w:i/>
          <w:lang w:eastAsia="en-US"/>
        </w:rPr>
        <w:t>Bertuccelli v. Italy</w:t>
      </w:r>
      <w:r w:rsidRPr="004E1BED" w:rsidR="00A316C0">
        <w:rPr>
          <w:lang w:eastAsia="en-US"/>
        </w:rPr>
        <w:t>, no. 37110/97, § 30, 4 December 2003</w:t>
      </w:r>
      <w:r w:rsidRPr="004E1BED" w:rsidR="00A316C0">
        <w:t xml:space="preserve">). On </w:t>
      </w:r>
      <w:smartTag w:uri="urn:schemas-microsoft-com:office:smarttags" w:element="date">
        <w:smartTagPr>
          <w:attr w:name="Month" w:val="11"/>
          <w:attr w:name="Day" w:val="17"/>
          <w:attr w:name="Year" w:val="1994"/>
        </w:smartTagPr>
        <w:r w:rsidR="00A316C0" w:rsidRPr="004E1BED">
          <w:t>17 November 1994</w:t>
        </w:r>
      </w:smartTag>
      <w:r w:rsidRPr="004E1BED" w:rsidR="00A316C0">
        <w:t xml:space="preserve"> one of the applicants made a </w:t>
      </w:r>
      <w:r w:rsidR="00A316C0">
        <w:t>statutory</w:t>
      </w:r>
      <w:r w:rsidRPr="004E1BED" w:rsidR="00A316C0">
        <w:t xml:space="preserve"> declaration to the effect that she urgently needed to recover the flat for her own accommodation.</w:t>
      </w:r>
    </w:p>
    <w:p w:rsidRPr="004E1BED" w:rsidR="00A316C0" w:rsidP="00A316C0" w:rsidRDefault="00ED6840">
      <w:pPr>
        <w:pStyle w:val="JuPara"/>
        <w:rPr>
          <w:lang w:eastAsia="en-US"/>
        </w:rPr>
      </w:pPr>
      <w:r>
        <w:t>3.  </w:t>
      </w:r>
      <w:r w:rsidRPr="004E1BED" w:rsidR="00A316C0">
        <w:t xml:space="preserve">The applicants were not therefore entitled to claim the reimbursement of lost rent. They could only seek the reimbursement of the expenses incurred for the rental of alternative accommodation in so far as those expenses exceeded the amount of the rent paid by the tenant (see, among other authorities, </w:t>
      </w:r>
      <w:r w:rsidRPr="004E1BED" w:rsidR="00A316C0">
        <w:rPr>
          <w:i/>
          <w:lang w:eastAsia="en-US"/>
        </w:rPr>
        <w:t>Scamaccia v. Italy</w:t>
      </w:r>
      <w:r w:rsidRPr="004E1BED" w:rsidR="00A316C0">
        <w:rPr>
          <w:lang w:eastAsia="en-US"/>
        </w:rPr>
        <w:t>, no. 61282/00, § 31, 4 December 2003).</w:t>
      </w:r>
    </w:p>
    <w:p w:rsidRPr="004E1BED" w:rsidR="00A316C0" w:rsidP="00A316C0" w:rsidRDefault="00ED6840">
      <w:pPr>
        <w:pStyle w:val="JuPara"/>
        <w:rPr>
          <w:lang w:eastAsia="en-US"/>
        </w:rPr>
      </w:pPr>
      <w:r>
        <w:rPr>
          <w:lang w:eastAsia="en-US"/>
        </w:rPr>
        <w:t>4.  </w:t>
      </w:r>
      <w:r w:rsidRPr="004E1BED" w:rsidR="00A316C0">
        <w:rPr>
          <w:lang w:eastAsia="en-US"/>
        </w:rPr>
        <w:t xml:space="preserve">Whilst the applicants did make such a claim, they were unable to submit itemised particulars or the necessary supporting documents, as required by Rule 60 of the Rules of Court. That claim therefore had to be dismissed (see, </w:t>
      </w:r>
      <w:r w:rsidRPr="00813D11" w:rsidR="00A316C0">
        <w:rPr>
          <w:lang w:eastAsia="en-US"/>
        </w:rPr>
        <w:t>among other authorities</w:t>
      </w:r>
      <w:r w:rsidRPr="004E1BED" w:rsidR="00A316C0">
        <w:rPr>
          <w:lang w:eastAsia="en-US"/>
        </w:rPr>
        <w:t xml:space="preserve">, </w:t>
      </w:r>
      <w:r w:rsidRPr="004E1BED" w:rsidR="00A316C0">
        <w:rPr>
          <w:i/>
          <w:lang w:eastAsia="en-US"/>
        </w:rPr>
        <w:t>Fabbri v. Italy</w:t>
      </w:r>
      <w:r w:rsidRPr="004E1BED" w:rsidR="00A316C0">
        <w:rPr>
          <w:lang w:eastAsia="en-US"/>
        </w:rPr>
        <w:t xml:space="preserve">, no. 58413/00, § 29, </w:t>
      </w:r>
      <w:smartTag w:uri="urn:schemas-microsoft-com:office:smarttags" w:element="date">
        <w:smartTagPr>
          <w:attr w:name="Month" w:val="12"/>
          <w:attr w:name="Day" w:val="4"/>
          <w:attr w:name="Year" w:val="2003"/>
        </w:smartTagPr>
        <w:r w:rsidR="00A316C0" w:rsidRPr="004E1BED">
          <w:rPr>
            <w:lang w:eastAsia="en-US"/>
          </w:rPr>
          <w:t>4 December 2003</w:t>
        </w:r>
      </w:smartTag>
      <w:r w:rsidRPr="004E1BED" w:rsidR="00A316C0">
        <w:rPr>
          <w:lang w:eastAsia="en-US"/>
        </w:rPr>
        <w:t>).</w:t>
      </w:r>
    </w:p>
    <w:p w:rsidRPr="004E1BED" w:rsidR="00A316C0" w:rsidP="00A316C0" w:rsidRDefault="00ED6840">
      <w:pPr>
        <w:pStyle w:val="JuPara"/>
        <w:rPr>
          <w:lang w:eastAsia="en-US"/>
        </w:rPr>
      </w:pPr>
      <w:r>
        <w:rPr>
          <w:lang w:eastAsia="en-US"/>
        </w:rPr>
        <w:t>5.  </w:t>
      </w:r>
      <w:r w:rsidRPr="004E1BED" w:rsidR="00A316C0">
        <w:rPr>
          <w:lang w:eastAsia="en-US"/>
        </w:rPr>
        <w:t>The applicants likewise failed to submit an</w:t>
      </w:r>
      <w:r w:rsidR="00A316C0">
        <w:rPr>
          <w:lang w:eastAsia="en-US"/>
        </w:rPr>
        <w:t>y</w:t>
      </w:r>
      <w:r w:rsidRPr="004E1BED" w:rsidR="00A316C0">
        <w:rPr>
          <w:lang w:eastAsia="en-US"/>
        </w:rPr>
        <w:t xml:space="preserve"> </w:t>
      </w:r>
      <w:r w:rsidR="00D17135">
        <w:rPr>
          <w:lang w:eastAsia="en-US"/>
        </w:rPr>
        <w:t>figures</w:t>
      </w:r>
      <w:r w:rsidRPr="004E1BED" w:rsidR="00A316C0">
        <w:rPr>
          <w:lang w:eastAsia="en-US"/>
        </w:rPr>
        <w:t>, supporting documents or itemised particulars in respect of the expenses allegedly incurred for the refurbishment of the</w:t>
      </w:r>
      <w:r w:rsidR="00A316C0">
        <w:rPr>
          <w:lang w:eastAsia="en-US"/>
        </w:rPr>
        <w:t>ir</w:t>
      </w:r>
      <w:r w:rsidRPr="004E1BED" w:rsidR="00A316C0">
        <w:rPr>
          <w:lang w:eastAsia="en-US"/>
        </w:rPr>
        <w:t xml:space="preserve"> flat.</w:t>
      </w:r>
    </w:p>
    <w:p w:rsidRPr="004E1BED" w:rsidR="00A316C0" w:rsidP="00A316C0" w:rsidRDefault="00ED6840">
      <w:pPr>
        <w:pStyle w:val="JuPara"/>
        <w:rPr>
          <w:lang w:eastAsia="en-US"/>
        </w:rPr>
      </w:pPr>
      <w:r>
        <w:rPr>
          <w:lang w:eastAsia="en-US"/>
        </w:rPr>
        <w:t>6.  </w:t>
      </w:r>
      <w:r w:rsidRPr="004E1BED" w:rsidR="00A316C0">
        <w:rPr>
          <w:lang w:eastAsia="en-US"/>
        </w:rPr>
        <w:t>Those claims also had to be dismissed</w:t>
      </w:r>
      <w:r w:rsidR="00A316C0">
        <w:rPr>
          <w:lang w:eastAsia="en-US"/>
        </w:rPr>
        <w:t>,</w:t>
      </w:r>
      <w:r w:rsidRPr="004E1BED" w:rsidR="00A316C0">
        <w:rPr>
          <w:lang w:eastAsia="en-US"/>
        </w:rPr>
        <w:t xml:space="preserve"> as the State</w:t>
      </w:r>
      <w:r w:rsidR="00E652BE">
        <w:rPr>
          <w:lang w:eastAsia="en-US"/>
        </w:rPr>
        <w:t>'</w:t>
      </w:r>
      <w:r w:rsidRPr="004E1BED" w:rsidR="00A316C0">
        <w:rPr>
          <w:lang w:eastAsia="en-US"/>
        </w:rPr>
        <w:t>s obligation under the Convention was to ensure that the eviction order was executed and not to supervise the tenant</w:t>
      </w:r>
      <w:r w:rsidR="00E652BE">
        <w:rPr>
          <w:lang w:eastAsia="en-US"/>
        </w:rPr>
        <w:t>'</w:t>
      </w:r>
      <w:r w:rsidRPr="004E1BED" w:rsidR="00A316C0">
        <w:rPr>
          <w:lang w:eastAsia="en-US"/>
        </w:rPr>
        <w:t xml:space="preserve">s private conduct. The Court has always dismissed claims by applicants seeking to obtain the reimbursement of any expenses that may have been incurred in repairing damage caused to the flat by </w:t>
      </w:r>
      <w:r w:rsidR="00A316C0">
        <w:rPr>
          <w:lang w:eastAsia="en-US"/>
        </w:rPr>
        <w:t>a</w:t>
      </w:r>
      <w:r w:rsidRPr="004E1BED" w:rsidR="00A316C0">
        <w:rPr>
          <w:lang w:eastAsia="en-US"/>
        </w:rPr>
        <w:t xml:space="preserve"> tenant or in respect of unpaid service charges or rent. </w:t>
      </w:r>
      <w:r w:rsidR="00A316C0">
        <w:rPr>
          <w:lang w:eastAsia="en-US"/>
        </w:rPr>
        <w:t>I</w:t>
      </w:r>
      <w:r w:rsidRPr="004E1BED" w:rsidR="00A316C0">
        <w:rPr>
          <w:lang w:eastAsia="en-US"/>
        </w:rPr>
        <w:t xml:space="preserve">n </w:t>
      </w:r>
      <w:r w:rsidR="00A316C0">
        <w:rPr>
          <w:lang w:eastAsia="en-US"/>
        </w:rPr>
        <w:t>such</w:t>
      </w:r>
      <w:r w:rsidRPr="004E1BED" w:rsidR="00A316C0">
        <w:rPr>
          <w:lang w:eastAsia="en-US"/>
        </w:rPr>
        <w:t xml:space="preserve"> cases the liability lies with the tenant and applicants have to bring proceedings </w:t>
      </w:r>
      <w:r w:rsidR="00A316C0">
        <w:rPr>
          <w:lang w:eastAsia="en-US"/>
        </w:rPr>
        <w:t>in</w:t>
      </w:r>
      <w:r w:rsidRPr="004E1BED" w:rsidR="00A316C0">
        <w:rPr>
          <w:lang w:eastAsia="en-US"/>
        </w:rPr>
        <w:t xml:space="preserve"> domestic courts under the appropriate </w:t>
      </w:r>
      <w:r w:rsidR="00381795">
        <w:rPr>
          <w:lang w:eastAsia="en-US"/>
        </w:rPr>
        <w:t>internal</w:t>
      </w:r>
      <w:r w:rsidRPr="004E1BED" w:rsidR="00A316C0">
        <w:rPr>
          <w:lang w:eastAsia="en-US"/>
        </w:rPr>
        <w:t xml:space="preserve"> law (see, among other authorities, </w:t>
      </w:r>
      <w:r w:rsidRPr="004E1BED" w:rsidR="00A316C0">
        <w:rPr>
          <w:i/>
          <w:lang w:eastAsia="en-US"/>
        </w:rPr>
        <w:t>Auditore v. Italy</w:t>
      </w:r>
      <w:r w:rsidRPr="004E1BED" w:rsidR="00A316C0">
        <w:rPr>
          <w:lang w:eastAsia="en-US"/>
        </w:rPr>
        <w:t xml:space="preserve">, no. 35550/97, § 24, </w:t>
      </w:r>
      <w:smartTag w:uri="urn:schemas-microsoft-com:office:smarttags" w:element="date">
        <w:smartTagPr>
          <w:attr w:name="Month" w:val="12"/>
          <w:attr w:name="Day" w:val="19"/>
          <w:attr w:name="Year" w:val="2002"/>
        </w:smartTagPr>
        <w:r w:rsidR="00A316C0" w:rsidRPr="004E1BED">
          <w:rPr>
            <w:lang w:eastAsia="en-US"/>
          </w:rPr>
          <w:t>19 December 2002</w:t>
        </w:r>
      </w:smartTag>
      <w:r w:rsidRPr="004E1BED" w:rsidR="00A316C0">
        <w:rPr>
          <w:lang w:eastAsia="en-US"/>
        </w:rPr>
        <w:t>).</w:t>
      </w:r>
    </w:p>
    <w:p w:rsidRPr="004E1BED" w:rsidR="00A316C0" w:rsidP="00A316C0" w:rsidRDefault="00ED6840">
      <w:pPr>
        <w:pStyle w:val="JuPara"/>
        <w:rPr>
          <w:lang w:eastAsia="en-US"/>
        </w:rPr>
      </w:pPr>
      <w:r>
        <w:rPr>
          <w:lang w:eastAsia="en-US"/>
        </w:rPr>
        <w:t>7.  </w:t>
      </w:r>
      <w:r w:rsidRPr="004E1BED" w:rsidR="00A316C0">
        <w:rPr>
          <w:lang w:eastAsia="en-US"/>
        </w:rPr>
        <w:t>The applicants</w:t>
      </w:r>
      <w:r w:rsidR="00E652BE">
        <w:rPr>
          <w:lang w:eastAsia="en-US"/>
        </w:rPr>
        <w:t>'</w:t>
      </w:r>
      <w:r w:rsidRPr="004E1BED" w:rsidR="00A316C0">
        <w:rPr>
          <w:lang w:eastAsia="en-US"/>
        </w:rPr>
        <w:t xml:space="preserve"> failure to submit </w:t>
      </w:r>
      <w:r w:rsidR="00C70B5C">
        <w:rPr>
          <w:lang w:eastAsia="en-US"/>
        </w:rPr>
        <w:t>figures</w:t>
      </w:r>
      <w:r w:rsidRPr="004E1BED" w:rsidR="00A316C0">
        <w:rPr>
          <w:lang w:eastAsia="en-US"/>
        </w:rPr>
        <w:t>, supporting documents or itemised particulars</w:t>
      </w:r>
      <w:r w:rsidR="00A316C0">
        <w:rPr>
          <w:lang w:eastAsia="en-US"/>
        </w:rPr>
        <w:t xml:space="preserve"> of their claims</w:t>
      </w:r>
      <w:r w:rsidRPr="004E1BED" w:rsidR="00A316C0">
        <w:rPr>
          <w:lang w:eastAsia="en-US"/>
        </w:rPr>
        <w:t xml:space="preserve"> also concerns the expenses they allegedly incurred in moving into their flat. Those claims </w:t>
      </w:r>
      <w:r w:rsidR="00C70B5C">
        <w:rPr>
          <w:lang w:eastAsia="en-US"/>
        </w:rPr>
        <w:t>were</w:t>
      </w:r>
      <w:r w:rsidRPr="004E1BED" w:rsidR="00A316C0">
        <w:rPr>
          <w:lang w:eastAsia="en-US"/>
        </w:rPr>
        <w:t xml:space="preserve"> th</w:t>
      </w:r>
      <w:r w:rsidR="00A316C0">
        <w:rPr>
          <w:lang w:eastAsia="en-US"/>
        </w:rPr>
        <w:t>erefore</w:t>
      </w:r>
      <w:r w:rsidRPr="004E1BED" w:rsidR="00A316C0">
        <w:rPr>
          <w:lang w:eastAsia="en-US"/>
        </w:rPr>
        <w:t xml:space="preserve"> rightly dismissed.</w:t>
      </w:r>
    </w:p>
    <w:p w:rsidRPr="004E1BED" w:rsidR="00A316C0" w:rsidP="00A316C0" w:rsidRDefault="00ED6840">
      <w:pPr>
        <w:pStyle w:val="JuPara"/>
        <w:rPr>
          <w:lang w:eastAsia="en-US"/>
        </w:rPr>
      </w:pPr>
      <w:r>
        <w:rPr>
          <w:lang w:eastAsia="en-US"/>
        </w:rPr>
        <w:t>8.  </w:t>
      </w:r>
      <w:r w:rsidRPr="004E1BED" w:rsidR="00A316C0">
        <w:rPr>
          <w:lang w:eastAsia="en-US"/>
        </w:rPr>
        <w:t>For all these reasons, though they are not the ones given by the Court in this judgment, I agree with the dismissal of the claim for just satisfaction in respect of pecuniary damage.</w:t>
      </w:r>
    </w:p>
    <w:p w:rsidRPr="004E1BED" w:rsidR="00A316C0" w:rsidP="00A316C0" w:rsidRDefault="00ED6840">
      <w:pPr>
        <w:pStyle w:val="JuPara"/>
        <w:rPr>
          <w:lang w:eastAsia="en-US"/>
        </w:rPr>
      </w:pPr>
      <w:r>
        <w:rPr>
          <w:lang w:eastAsia="en-US"/>
        </w:rPr>
        <w:t>9.  </w:t>
      </w:r>
      <w:r w:rsidR="00A316C0">
        <w:rPr>
          <w:lang w:eastAsia="en-US"/>
        </w:rPr>
        <w:t xml:space="preserve">However, </w:t>
      </w:r>
      <w:r w:rsidRPr="004E1BED" w:rsidR="00A316C0">
        <w:rPr>
          <w:lang w:eastAsia="en-US"/>
        </w:rPr>
        <w:t xml:space="preserve">I do not agree with the </w:t>
      </w:r>
      <w:r w:rsidRPr="004E1BED" w:rsidR="00A316C0">
        <w:rPr>
          <w:i/>
          <w:lang w:eastAsia="en-US"/>
        </w:rPr>
        <w:t>reasons</w:t>
      </w:r>
      <w:r w:rsidRPr="004E1BED" w:rsidR="00A316C0">
        <w:rPr>
          <w:lang w:eastAsia="en-US"/>
        </w:rPr>
        <w:t xml:space="preserve"> given in the judgment for the dismissal of that claim in respect of such damage (</w:t>
      </w:r>
      <w:r w:rsidR="00381795">
        <w:rPr>
          <w:lang w:eastAsia="en-US"/>
        </w:rPr>
        <w:t xml:space="preserve">see </w:t>
      </w:r>
      <w:r>
        <w:rPr>
          <w:lang w:eastAsia="en-US"/>
        </w:rPr>
        <w:t>paragraphs</w:t>
      </w:r>
      <w:r w:rsidRPr="004E1BED" w:rsidR="00A316C0">
        <w:rPr>
          <w:lang w:eastAsia="en-US"/>
        </w:rPr>
        <w:t xml:space="preserve"> 67-69 of the judgment).</w:t>
      </w:r>
    </w:p>
    <w:p w:rsidRPr="004E1BED" w:rsidR="00A316C0" w:rsidP="00A316C0" w:rsidRDefault="00ED6840">
      <w:pPr>
        <w:pStyle w:val="JuPara"/>
        <w:rPr>
          <w:lang w:eastAsia="en-US"/>
        </w:rPr>
      </w:pPr>
      <w:r>
        <w:rPr>
          <w:lang w:eastAsia="en-US"/>
        </w:rPr>
        <w:t>10.  </w:t>
      </w:r>
      <w:r w:rsidRPr="004E1BED" w:rsidR="00A316C0">
        <w:rPr>
          <w:lang w:eastAsia="en-US"/>
        </w:rPr>
        <w:t>The Court</w:t>
      </w:r>
      <w:r w:rsidR="00E652BE">
        <w:rPr>
          <w:lang w:eastAsia="en-US"/>
        </w:rPr>
        <w:t>'</w:t>
      </w:r>
      <w:r w:rsidRPr="004E1BED" w:rsidR="00A316C0">
        <w:rPr>
          <w:lang w:eastAsia="en-US"/>
        </w:rPr>
        <w:t xml:space="preserve">s reasoning, which on this precise point follows that of the </w:t>
      </w:r>
      <w:r w:rsidRPr="004E1BED" w:rsidR="00A316C0">
        <w:rPr>
          <w:i/>
          <w:lang w:eastAsia="en-US"/>
        </w:rPr>
        <w:t xml:space="preserve">Mascolo </w:t>
      </w:r>
      <w:r>
        <w:rPr>
          <w:i/>
          <w:lang w:eastAsia="en-US"/>
        </w:rPr>
        <w:t xml:space="preserve">v. Italy </w:t>
      </w:r>
      <w:r w:rsidRPr="004E1BED" w:rsidR="00A316C0">
        <w:rPr>
          <w:lang w:eastAsia="en-US"/>
        </w:rPr>
        <w:t>judgment (no. 68792/01, § 55, 16</w:t>
      </w:r>
      <w:r>
        <w:rPr>
          <w:lang w:eastAsia="en-US"/>
        </w:rPr>
        <w:t xml:space="preserve"> </w:t>
      </w:r>
      <w:r w:rsidRPr="004E1BED" w:rsidR="00A316C0">
        <w:rPr>
          <w:lang w:eastAsia="en-US"/>
        </w:rPr>
        <w:t>December 2004)</w:t>
      </w:r>
      <w:r w:rsidR="00381795">
        <w:rPr>
          <w:lang w:eastAsia="en-US"/>
        </w:rPr>
        <w:t>,</w:t>
      </w:r>
      <w:r w:rsidRPr="004E1BED" w:rsidR="00A316C0">
        <w:rPr>
          <w:lang w:eastAsia="en-US"/>
        </w:rPr>
        <w:t xml:space="preserve"> raises a serious question </w:t>
      </w:r>
      <w:r w:rsidR="00A316C0">
        <w:rPr>
          <w:lang w:eastAsia="en-US"/>
        </w:rPr>
        <w:t>affecting</w:t>
      </w:r>
      <w:r w:rsidRPr="004E1BED" w:rsidR="00A316C0">
        <w:rPr>
          <w:lang w:eastAsia="en-US"/>
        </w:rPr>
        <w:t xml:space="preserve"> the interpretation of Article 41 of the Convention, which would have </w:t>
      </w:r>
      <w:r w:rsidR="00C70B5C">
        <w:rPr>
          <w:lang w:eastAsia="en-US"/>
        </w:rPr>
        <w:t>been sufficient in itself</w:t>
      </w:r>
      <w:r w:rsidRPr="004E1BED" w:rsidR="00A316C0">
        <w:rPr>
          <w:lang w:eastAsia="en-US"/>
        </w:rPr>
        <w:t xml:space="preserve"> to justify the relinquishment of jurisdiction </w:t>
      </w:r>
      <w:r w:rsidR="00C70B5C">
        <w:rPr>
          <w:lang w:eastAsia="en-US"/>
        </w:rPr>
        <w:t>in favour of</w:t>
      </w:r>
      <w:r w:rsidRPr="004E1BED" w:rsidR="00A316C0">
        <w:rPr>
          <w:lang w:eastAsia="en-US"/>
        </w:rPr>
        <w:t xml:space="preserve"> the Grand Chamber. It would have been necessary to do so, in any event, if the Chamber had adopted an approach that</w:t>
      </w:r>
      <w:r w:rsidR="00A316C0">
        <w:rPr>
          <w:lang w:eastAsia="en-US"/>
        </w:rPr>
        <w:t xml:space="preserve"> differed </w:t>
      </w:r>
      <w:r w:rsidR="00C70B5C">
        <w:rPr>
          <w:lang w:eastAsia="en-US"/>
        </w:rPr>
        <w:t>from</w:t>
      </w:r>
      <w:r w:rsidRPr="004E1BED" w:rsidR="00A316C0">
        <w:rPr>
          <w:lang w:eastAsia="en-US"/>
        </w:rPr>
        <w:t xml:space="preserve"> that of the </w:t>
      </w:r>
      <w:r w:rsidR="00A316C0">
        <w:rPr>
          <w:lang w:eastAsia="en-US"/>
        </w:rPr>
        <w:t>T</w:t>
      </w:r>
      <w:r w:rsidRPr="004E1BED" w:rsidR="00A316C0">
        <w:rPr>
          <w:lang w:eastAsia="en-US"/>
        </w:rPr>
        <w:t xml:space="preserve">hird </w:t>
      </w:r>
      <w:r w:rsidR="00A316C0">
        <w:rPr>
          <w:lang w:eastAsia="en-US"/>
        </w:rPr>
        <w:t>S</w:t>
      </w:r>
      <w:r w:rsidRPr="004E1BED" w:rsidR="00A316C0">
        <w:rPr>
          <w:lang w:eastAsia="en-US"/>
        </w:rPr>
        <w:t xml:space="preserve">ection in </w:t>
      </w:r>
      <w:r w:rsidRPr="004E1BED" w:rsidR="00A316C0">
        <w:rPr>
          <w:i/>
          <w:lang w:eastAsia="en-US"/>
        </w:rPr>
        <w:t>Mascolo</w:t>
      </w:r>
      <w:r w:rsidRPr="004E1BED" w:rsidR="00A316C0">
        <w:rPr>
          <w:lang w:eastAsia="en-US"/>
        </w:rPr>
        <w:t>.</w:t>
      </w:r>
    </w:p>
    <w:p w:rsidRPr="004E1BED" w:rsidR="00A316C0" w:rsidP="00A316C0" w:rsidRDefault="00ED6840">
      <w:pPr>
        <w:pStyle w:val="JuPara"/>
        <w:rPr>
          <w:lang w:eastAsia="en-US"/>
        </w:rPr>
      </w:pPr>
      <w:r>
        <w:rPr>
          <w:lang w:eastAsia="en-US"/>
        </w:rPr>
        <w:t>11.  </w:t>
      </w:r>
      <w:r w:rsidR="00C70B5C">
        <w:rPr>
          <w:lang w:eastAsia="en-US"/>
        </w:rPr>
        <w:t>Saving an objection by</w:t>
      </w:r>
      <w:r w:rsidRPr="004E1BED" w:rsidR="00A316C0">
        <w:rPr>
          <w:lang w:eastAsia="en-US"/>
        </w:rPr>
        <w:t xml:space="preserve"> one of the parties to the case, relinquishment </w:t>
      </w:r>
      <w:r w:rsidR="00C70B5C">
        <w:rPr>
          <w:lang w:eastAsia="en-US"/>
        </w:rPr>
        <w:t>in favour of</w:t>
      </w:r>
      <w:r w:rsidRPr="004E1BED" w:rsidR="00A316C0">
        <w:rPr>
          <w:lang w:eastAsia="en-US"/>
        </w:rPr>
        <w:t xml:space="preserve"> the Grand Chamber would thus have been </w:t>
      </w:r>
      <w:r w:rsidR="00A316C0">
        <w:rPr>
          <w:lang w:eastAsia="en-US"/>
        </w:rPr>
        <w:t>necessary and, moreover,</w:t>
      </w:r>
      <w:r w:rsidRPr="004E1BED" w:rsidR="00A316C0">
        <w:rPr>
          <w:lang w:eastAsia="en-US"/>
        </w:rPr>
        <w:t xml:space="preserve"> it would have been preferable if the Court had </w:t>
      </w:r>
      <w:r w:rsidR="00A316C0">
        <w:rPr>
          <w:lang w:eastAsia="en-US"/>
        </w:rPr>
        <w:t>departed from its approach in</w:t>
      </w:r>
      <w:r w:rsidRPr="004E1BED" w:rsidR="00A316C0">
        <w:rPr>
          <w:lang w:eastAsia="en-US"/>
        </w:rPr>
        <w:t xml:space="preserve"> </w:t>
      </w:r>
      <w:r w:rsidRPr="004E1BED" w:rsidR="00A316C0">
        <w:rPr>
          <w:i/>
          <w:lang w:eastAsia="en-US"/>
        </w:rPr>
        <w:t>Mascolo</w:t>
      </w:r>
      <w:r w:rsidRPr="004E1BED" w:rsidR="00A316C0">
        <w:rPr>
          <w:lang w:eastAsia="en-US"/>
        </w:rPr>
        <w:t>.</w:t>
      </w:r>
    </w:p>
    <w:p w:rsidRPr="004E1BED" w:rsidR="00A316C0" w:rsidP="00A316C0" w:rsidRDefault="00ED6840">
      <w:pPr>
        <w:pStyle w:val="JuPara"/>
        <w:rPr>
          <w:lang w:eastAsia="en-US"/>
        </w:rPr>
      </w:pPr>
      <w:r>
        <w:rPr>
          <w:lang w:eastAsia="en-US"/>
        </w:rPr>
        <w:t>12.  </w:t>
      </w:r>
      <w:r w:rsidRPr="004E1BED" w:rsidR="00A316C0">
        <w:rPr>
          <w:lang w:eastAsia="en-US"/>
        </w:rPr>
        <w:t xml:space="preserve">It should be borne in mind that, in all cases before the Court, it is the international responsibility of the State that counts. Governments are accountable under the Convention for the acts of their authorities or of any other public body to which a breach of the Convention may be imputed in the domestic system (see, </w:t>
      </w:r>
      <w:r w:rsidRPr="004E1BED" w:rsidR="00A316C0">
        <w:rPr>
          <w:i/>
          <w:lang w:eastAsia="en-US"/>
        </w:rPr>
        <w:t>mutatis mutandis</w:t>
      </w:r>
      <w:r w:rsidRPr="004E1BED" w:rsidR="00A316C0">
        <w:rPr>
          <w:lang w:eastAsia="en-US"/>
        </w:rPr>
        <w:t xml:space="preserve">, </w:t>
      </w:r>
      <w:r w:rsidRPr="004E1BED" w:rsidR="00A316C0">
        <w:rPr>
          <w:i/>
          <w:lang w:eastAsia="en-US"/>
        </w:rPr>
        <w:t>Foti and Others v. Italy</w:t>
      </w:r>
      <w:r w:rsidRPr="004E1BED" w:rsidR="00A316C0">
        <w:rPr>
          <w:lang w:eastAsia="en-US"/>
        </w:rPr>
        <w:t>, judgment of 10 December 1982, Series A no. 56, p. 21, § 63).</w:t>
      </w:r>
    </w:p>
    <w:p w:rsidRPr="004E1BED" w:rsidR="00A316C0" w:rsidP="00A316C0" w:rsidRDefault="00ED6840">
      <w:pPr>
        <w:pStyle w:val="JuPara"/>
        <w:rPr>
          <w:lang w:eastAsia="en-US"/>
        </w:rPr>
      </w:pPr>
      <w:r>
        <w:rPr>
          <w:lang w:eastAsia="en-US"/>
        </w:rPr>
        <w:t>13.  </w:t>
      </w:r>
      <w:r w:rsidRPr="004E1BED" w:rsidR="00A316C0">
        <w:rPr>
          <w:lang w:eastAsia="en-US"/>
        </w:rPr>
        <w:t xml:space="preserve">Accordingly, a State </w:t>
      </w:r>
      <w:r w:rsidR="00A316C0">
        <w:rPr>
          <w:lang w:eastAsia="en-US"/>
        </w:rPr>
        <w:t>only becomes responsible</w:t>
      </w:r>
      <w:r w:rsidRPr="004E1BED" w:rsidR="00A316C0">
        <w:rPr>
          <w:lang w:eastAsia="en-US"/>
        </w:rPr>
        <w:t xml:space="preserve"> under the Convention when an alleged violation can be imputed to it (see, </w:t>
      </w:r>
      <w:r w:rsidRPr="004E1BED" w:rsidR="00A316C0">
        <w:rPr>
          <w:i/>
          <w:lang w:eastAsia="en-US"/>
        </w:rPr>
        <w:t>mutatis mutandis</w:t>
      </w:r>
      <w:r w:rsidRPr="004E1BED" w:rsidR="00A316C0">
        <w:rPr>
          <w:lang w:eastAsia="en-US"/>
        </w:rPr>
        <w:t xml:space="preserve">, </w:t>
      </w:r>
      <w:r w:rsidRPr="004E1BED" w:rsidR="00A316C0">
        <w:rPr>
          <w:i/>
          <w:lang w:eastAsia="en-US"/>
        </w:rPr>
        <w:t>Assanidz</w:t>
      </w:r>
      <w:r w:rsidR="00C70B5C">
        <w:rPr>
          <w:i/>
          <w:lang w:eastAsia="en-US"/>
        </w:rPr>
        <w:t>e</w:t>
      </w:r>
      <w:r w:rsidRPr="004E1BED" w:rsidR="00A316C0">
        <w:rPr>
          <w:i/>
          <w:lang w:eastAsia="en-US"/>
        </w:rPr>
        <w:t xml:space="preserve"> v. Georgia </w:t>
      </w:r>
      <w:r w:rsidRPr="004E1BED" w:rsidR="00A316C0">
        <w:rPr>
          <w:lang w:eastAsia="en-US"/>
        </w:rPr>
        <w:t xml:space="preserve">[GC], </w:t>
      </w:r>
      <w:r>
        <w:rPr>
          <w:lang w:eastAsia="en-US"/>
        </w:rPr>
        <w:t>no. 71503/01, § 137, ECHR 2004-</w:t>
      </w:r>
      <w:r w:rsidRPr="004E1BED" w:rsidR="00A316C0">
        <w:rPr>
          <w:lang w:eastAsia="en-US"/>
        </w:rPr>
        <w:t>II).</w:t>
      </w:r>
    </w:p>
    <w:p w:rsidRPr="004E1BED" w:rsidR="00A316C0" w:rsidP="00A316C0" w:rsidRDefault="00ED6840">
      <w:pPr>
        <w:pStyle w:val="JuPara"/>
        <w:rPr>
          <w:lang w:eastAsia="en-US"/>
        </w:rPr>
      </w:pPr>
      <w:r>
        <w:rPr>
          <w:lang w:eastAsia="en-US"/>
        </w:rPr>
        <w:t>14.  </w:t>
      </w:r>
      <w:r w:rsidRPr="004E1BED" w:rsidR="00A316C0">
        <w:rPr>
          <w:lang w:eastAsia="en-US"/>
        </w:rPr>
        <w:t xml:space="preserve">The principle underlying just satisfaction awards is well-established: the applicant </w:t>
      </w:r>
      <w:r w:rsidR="00C70B5C">
        <w:rPr>
          <w:lang w:eastAsia="en-US"/>
        </w:rPr>
        <w:t>should</w:t>
      </w:r>
      <w:r w:rsidRPr="004E1BED" w:rsidR="00A316C0">
        <w:rPr>
          <w:lang w:eastAsia="en-US"/>
        </w:rPr>
        <w:t>, as far as possible, be</w:t>
      </w:r>
      <w:r w:rsidR="00C70B5C">
        <w:rPr>
          <w:lang w:eastAsia="en-US"/>
        </w:rPr>
        <w:t xml:space="preserve"> put in the position he would have enjoyed had the</w:t>
      </w:r>
      <w:r w:rsidR="00A316C0">
        <w:rPr>
          <w:lang w:eastAsia="en-US"/>
        </w:rPr>
        <w:t xml:space="preserve"> </w:t>
      </w:r>
      <w:r w:rsidRPr="004E1BED" w:rsidR="00A316C0">
        <w:rPr>
          <w:lang w:eastAsia="en-US"/>
        </w:rPr>
        <w:t xml:space="preserve">proceedings </w:t>
      </w:r>
      <w:r w:rsidR="00C70B5C">
        <w:rPr>
          <w:lang w:eastAsia="en-US"/>
        </w:rPr>
        <w:t>complied with</w:t>
      </w:r>
      <w:r w:rsidRPr="004E1BED" w:rsidR="00A316C0">
        <w:rPr>
          <w:lang w:eastAsia="en-US"/>
        </w:rPr>
        <w:t xml:space="preserve"> the Convention</w:t>
      </w:r>
      <w:r w:rsidR="00E652BE">
        <w:rPr>
          <w:lang w:eastAsia="en-US"/>
        </w:rPr>
        <w:t>'</w:t>
      </w:r>
      <w:r w:rsidR="00C70B5C">
        <w:rPr>
          <w:lang w:eastAsia="en-US"/>
        </w:rPr>
        <w:t>s</w:t>
      </w:r>
      <w:r w:rsidRPr="004E1BED" w:rsidR="00A316C0">
        <w:rPr>
          <w:lang w:eastAsia="en-US"/>
        </w:rPr>
        <w:t xml:space="preserve"> requirements. The Court </w:t>
      </w:r>
      <w:r w:rsidR="004C1134">
        <w:rPr>
          <w:lang w:eastAsia="en-US"/>
        </w:rPr>
        <w:t>will award</w:t>
      </w:r>
      <w:r w:rsidRPr="004E1BED" w:rsidR="00A316C0">
        <w:rPr>
          <w:lang w:eastAsia="en-US"/>
        </w:rPr>
        <w:t xml:space="preserve"> </w:t>
      </w:r>
      <w:r w:rsidR="004C1134">
        <w:rPr>
          <w:lang w:eastAsia="en-US"/>
        </w:rPr>
        <w:t>financial</w:t>
      </w:r>
      <w:r w:rsidRPr="004E1BED" w:rsidR="00A316C0">
        <w:rPr>
          <w:lang w:eastAsia="en-US"/>
        </w:rPr>
        <w:t xml:space="preserve"> compensation under Article 41 </w:t>
      </w:r>
      <w:r w:rsidR="004C1134">
        <w:rPr>
          <w:lang w:eastAsia="en-US"/>
        </w:rPr>
        <w:t>only where</w:t>
      </w:r>
      <w:r w:rsidRPr="004E1BED" w:rsidR="00A316C0">
        <w:rPr>
          <w:lang w:eastAsia="en-US"/>
        </w:rPr>
        <w:t xml:space="preserve"> it is </w:t>
      </w:r>
      <w:r w:rsidR="004C1134">
        <w:rPr>
          <w:lang w:eastAsia="en-US"/>
        </w:rPr>
        <w:t>satisfied</w:t>
      </w:r>
      <w:r w:rsidRPr="004E1BED" w:rsidR="00A316C0">
        <w:rPr>
          <w:lang w:eastAsia="en-US"/>
        </w:rPr>
        <w:t xml:space="preserve"> that the loss or damage complained of </w:t>
      </w:r>
      <w:r w:rsidR="004C1134">
        <w:rPr>
          <w:lang w:eastAsia="en-US"/>
        </w:rPr>
        <w:t>was actually caused by</w:t>
      </w:r>
      <w:r w:rsidRPr="004E1BED" w:rsidR="00A316C0">
        <w:rPr>
          <w:lang w:eastAsia="en-US"/>
        </w:rPr>
        <w:t xml:space="preserve"> the violation </w:t>
      </w:r>
      <w:r w:rsidR="00A316C0">
        <w:rPr>
          <w:lang w:eastAsia="en-US"/>
        </w:rPr>
        <w:t xml:space="preserve">it has </w:t>
      </w:r>
      <w:r w:rsidR="004C1134">
        <w:rPr>
          <w:lang w:eastAsia="en-US"/>
        </w:rPr>
        <w:t>found</w:t>
      </w:r>
      <w:r w:rsidRPr="004E1BED" w:rsidR="00A316C0">
        <w:rPr>
          <w:lang w:eastAsia="en-US"/>
        </w:rPr>
        <w:t xml:space="preserve">, as </w:t>
      </w:r>
      <w:r w:rsidR="00A316C0">
        <w:rPr>
          <w:lang w:eastAsia="en-US"/>
        </w:rPr>
        <w:t>a</w:t>
      </w:r>
      <w:r w:rsidRPr="004E1BED" w:rsidR="00A316C0">
        <w:rPr>
          <w:lang w:eastAsia="en-US"/>
        </w:rPr>
        <w:t xml:space="preserve"> State cannot be required to pay damages </w:t>
      </w:r>
      <w:r w:rsidR="00A316C0">
        <w:rPr>
          <w:lang w:eastAsia="en-US"/>
        </w:rPr>
        <w:t>in respect of</w:t>
      </w:r>
      <w:r w:rsidRPr="004E1BED" w:rsidR="00A316C0">
        <w:rPr>
          <w:lang w:eastAsia="en-US"/>
        </w:rPr>
        <w:t xml:space="preserve"> losses </w:t>
      </w:r>
      <w:r w:rsidR="00A316C0">
        <w:rPr>
          <w:lang w:eastAsia="en-US"/>
        </w:rPr>
        <w:t>for</w:t>
      </w:r>
      <w:r w:rsidRPr="004E1BED" w:rsidR="00A316C0">
        <w:rPr>
          <w:lang w:eastAsia="en-US"/>
        </w:rPr>
        <w:t xml:space="preserve"> which it </w:t>
      </w:r>
      <w:r w:rsidR="004C1134">
        <w:rPr>
          <w:lang w:eastAsia="en-US"/>
        </w:rPr>
        <w:t>is not responsible</w:t>
      </w:r>
      <w:r w:rsidRPr="004E1BED" w:rsidR="00A316C0">
        <w:rPr>
          <w:lang w:eastAsia="en-US"/>
        </w:rPr>
        <w:t xml:space="preserve"> (see, </w:t>
      </w:r>
      <w:r w:rsidRPr="004E1BED" w:rsidR="00A316C0">
        <w:rPr>
          <w:i/>
          <w:lang w:eastAsia="en-US"/>
        </w:rPr>
        <w:t>mutatis mutandis</w:t>
      </w:r>
      <w:r w:rsidRPr="004E1BED" w:rsidR="00A316C0">
        <w:rPr>
          <w:lang w:eastAsia="en-US"/>
        </w:rPr>
        <w:t xml:space="preserve">, </w:t>
      </w:r>
      <w:r w:rsidRPr="004E1BED" w:rsidR="00A316C0">
        <w:rPr>
          <w:i/>
          <w:lang w:eastAsia="en-US"/>
        </w:rPr>
        <w:t>Kingsley v. the United Kingdom</w:t>
      </w:r>
      <w:r w:rsidRPr="004E1BED" w:rsidR="00A316C0">
        <w:rPr>
          <w:lang w:eastAsia="en-US"/>
        </w:rPr>
        <w:t xml:space="preserve"> [GC],</w:t>
      </w:r>
      <w:r w:rsidRPr="004E1BED" w:rsidR="00A316C0">
        <w:rPr>
          <w:i/>
          <w:lang w:eastAsia="en-US"/>
        </w:rPr>
        <w:t xml:space="preserve"> </w:t>
      </w:r>
      <w:r>
        <w:rPr>
          <w:lang w:eastAsia="en-US"/>
        </w:rPr>
        <w:t>no. 35605/97, § 40, ECHR 2002-</w:t>
      </w:r>
      <w:r w:rsidRPr="004E1BED" w:rsidR="00A316C0">
        <w:rPr>
          <w:lang w:eastAsia="en-US"/>
        </w:rPr>
        <w:t>IV).</w:t>
      </w:r>
    </w:p>
    <w:p w:rsidRPr="004E1BED" w:rsidR="00A316C0" w:rsidP="00A316C0" w:rsidRDefault="00ED6840">
      <w:pPr>
        <w:pStyle w:val="JuPara"/>
        <w:rPr>
          <w:lang w:eastAsia="en-US"/>
        </w:rPr>
      </w:pPr>
      <w:r>
        <w:rPr>
          <w:lang w:eastAsia="en-US"/>
        </w:rPr>
        <w:t>15.  </w:t>
      </w:r>
      <w:r w:rsidR="00A316C0">
        <w:rPr>
          <w:lang w:eastAsia="en-US"/>
        </w:rPr>
        <w:t xml:space="preserve">In its reasoning in the present case, </w:t>
      </w:r>
      <w:r w:rsidRPr="004E1BED" w:rsidR="00A316C0">
        <w:rPr>
          <w:lang w:eastAsia="en-US"/>
        </w:rPr>
        <w:t xml:space="preserve">the Court </w:t>
      </w:r>
      <w:r w:rsidR="00A316C0">
        <w:rPr>
          <w:lang w:eastAsia="en-US"/>
        </w:rPr>
        <w:t>stated</w:t>
      </w:r>
      <w:r w:rsidRPr="004E1BED" w:rsidR="00A316C0">
        <w:rPr>
          <w:lang w:eastAsia="en-US"/>
        </w:rPr>
        <w:t xml:space="preserve"> </w:t>
      </w:r>
      <w:r w:rsidR="004C1134">
        <w:rPr>
          <w:lang w:eastAsia="en-US"/>
        </w:rPr>
        <w:t xml:space="preserve">in substance </w:t>
      </w:r>
      <w:r w:rsidRPr="004E1BED" w:rsidR="00A316C0">
        <w:rPr>
          <w:lang w:eastAsia="en-US"/>
        </w:rPr>
        <w:t xml:space="preserve">that the applicants </w:t>
      </w:r>
      <w:r w:rsidR="00A316C0">
        <w:rPr>
          <w:lang w:eastAsia="en-US"/>
        </w:rPr>
        <w:t>we</w:t>
      </w:r>
      <w:r w:rsidRPr="004E1BED" w:rsidR="00A316C0">
        <w:rPr>
          <w:lang w:eastAsia="en-US"/>
        </w:rPr>
        <w:t>re entitled to bring proceedings in</w:t>
      </w:r>
      <w:r w:rsidR="00A316C0">
        <w:rPr>
          <w:lang w:eastAsia="en-US"/>
        </w:rPr>
        <w:t xml:space="preserve"> the</w:t>
      </w:r>
      <w:r w:rsidRPr="004E1BED" w:rsidR="00A316C0">
        <w:rPr>
          <w:lang w:eastAsia="en-US"/>
        </w:rPr>
        <w:t xml:space="preserve"> civil courts by lodging a claim for compensation against their former tenant (Article 1591 of the Civil Code), as the breach of the applicants</w:t>
      </w:r>
      <w:r w:rsidR="00E652BE">
        <w:rPr>
          <w:lang w:eastAsia="en-US"/>
        </w:rPr>
        <w:t>'</w:t>
      </w:r>
      <w:r w:rsidRPr="004E1BED" w:rsidR="00A316C0">
        <w:rPr>
          <w:lang w:eastAsia="en-US"/>
        </w:rPr>
        <w:t xml:space="preserve"> right to the peaceful enjoyment of their property </w:t>
      </w:r>
      <w:r w:rsidR="00A316C0">
        <w:rPr>
          <w:lang w:eastAsia="en-US"/>
        </w:rPr>
        <w:t>was</w:t>
      </w:r>
      <w:r w:rsidRPr="004E1BED" w:rsidR="00A316C0">
        <w:rPr>
          <w:lang w:eastAsia="en-US"/>
        </w:rPr>
        <w:t xml:space="preserve"> mainly the consequence of the tenant</w:t>
      </w:r>
      <w:r w:rsidR="00E652BE">
        <w:rPr>
          <w:lang w:eastAsia="en-US"/>
        </w:rPr>
        <w:t>'</w:t>
      </w:r>
      <w:r w:rsidRPr="004E1BED" w:rsidR="00A316C0">
        <w:rPr>
          <w:lang w:eastAsia="en-US"/>
        </w:rPr>
        <w:t>s unlawful conduct (</w:t>
      </w:r>
      <w:r w:rsidR="00381795">
        <w:rPr>
          <w:lang w:eastAsia="en-US"/>
        </w:rPr>
        <w:t xml:space="preserve">see </w:t>
      </w:r>
      <w:r>
        <w:rPr>
          <w:lang w:eastAsia="en-US"/>
        </w:rPr>
        <w:t xml:space="preserve">paragraphs </w:t>
      </w:r>
      <w:r w:rsidRPr="004E1BED" w:rsidR="00A316C0">
        <w:rPr>
          <w:lang w:eastAsia="en-US"/>
        </w:rPr>
        <w:t>67</w:t>
      </w:r>
      <w:r w:rsidR="00A0048D">
        <w:rPr>
          <w:lang w:eastAsia="en-US"/>
        </w:rPr>
        <w:t>-</w:t>
      </w:r>
      <w:r w:rsidRPr="004E1BED" w:rsidR="00A316C0">
        <w:rPr>
          <w:lang w:eastAsia="en-US"/>
        </w:rPr>
        <w:t>68 of the judgment).</w:t>
      </w:r>
    </w:p>
    <w:p w:rsidRPr="004E1BED" w:rsidR="00A316C0" w:rsidP="00A316C0" w:rsidRDefault="00ED6840">
      <w:pPr>
        <w:pStyle w:val="JuPara"/>
        <w:rPr>
          <w:lang w:eastAsia="en-US"/>
        </w:rPr>
      </w:pPr>
      <w:r>
        <w:rPr>
          <w:lang w:eastAsia="en-US"/>
        </w:rPr>
        <w:t>16.  </w:t>
      </w:r>
      <w:r w:rsidRPr="004E1BED" w:rsidR="00A316C0">
        <w:rPr>
          <w:lang w:eastAsia="en-US"/>
        </w:rPr>
        <w:t xml:space="preserve">I do not </w:t>
      </w:r>
      <w:r w:rsidR="00A316C0">
        <w:rPr>
          <w:lang w:eastAsia="en-US"/>
        </w:rPr>
        <w:t>agree with</w:t>
      </w:r>
      <w:r w:rsidRPr="004E1BED" w:rsidR="00A316C0">
        <w:rPr>
          <w:lang w:eastAsia="en-US"/>
        </w:rPr>
        <w:t xml:space="preserve"> th</w:t>
      </w:r>
      <w:r w:rsidR="00A316C0">
        <w:rPr>
          <w:lang w:eastAsia="en-US"/>
        </w:rPr>
        <w:t>at</w:t>
      </w:r>
      <w:r w:rsidRPr="004E1BED" w:rsidR="00A316C0">
        <w:rPr>
          <w:lang w:eastAsia="en-US"/>
        </w:rPr>
        <w:t xml:space="preserve"> approach.</w:t>
      </w:r>
    </w:p>
    <w:p w:rsidRPr="004E1BED" w:rsidR="00A316C0" w:rsidP="00A316C0" w:rsidRDefault="00ED6840">
      <w:pPr>
        <w:pStyle w:val="JuPara"/>
        <w:rPr>
          <w:lang w:eastAsia="en-US"/>
        </w:rPr>
      </w:pPr>
      <w:r>
        <w:rPr>
          <w:lang w:eastAsia="en-US"/>
        </w:rPr>
        <w:t>17.  </w:t>
      </w:r>
      <w:r w:rsidRPr="004E1BED" w:rsidR="00A316C0">
        <w:rPr>
          <w:lang w:eastAsia="en-US"/>
        </w:rPr>
        <w:t>In asserting that the violation of the applicants</w:t>
      </w:r>
      <w:r w:rsidR="00E652BE">
        <w:rPr>
          <w:lang w:eastAsia="en-US"/>
        </w:rPr>
        <w:t>'</w:t>
      </w:r>
      <w:r w:rsidRPr="004E1BED" w:rsidR="00A316C0">
        <w:rPr>
          <w:lang w:eastAsia="en-US"/>
        </w:rPr>
        <w:t xml:space="preserve"> right to peaceful enjoyment of their property </w:t>
      </w:r>
      <w:r w:rsidR="004C1134">
        <w:rPr>
          <w:lang w:eastAsia="en-US"/>
        </w:rPr>
        <w:t>was</w:t>
      </w:r>
      <w:r w:rsidRPr="004E1BED" w:rsidR="00A316C0">
        <w:rPr>
          <w:lang w:eastAsia="en-US"/>
        </w:rPr>
        <w:t xml:space="preserve"> </w:t>
      </w:r>
      <w:r w:rsidRPr="004E1BED" w:rsidR="00A316C0">
        <w:rPr>
          <w:i/>
          <w:lang w:eastAsia="en-US"/>
        </w:rPr>
        <w:t>mainly</w:t>
      </w:r>
      <w:r w:rsidRPr="004E1BED" w:rsidR="00A316C0">
        <w:rPr>
          <w:lang w:eastAsia="en-US"/>
        </w:rPr>
        <w:t xml:space="preserve"> the consequence of the tenant</w:t>
      </w:r>
      <w:r w:rsidR="00E652BE">
        <w:rPr>
          <w:lang w:eastAsia="en-US"/>
        </w:rPr>
        <w:t>'</w:t>
      </w:r>
      <w:r w:rsidRPr="004E1BED" w:rsidR="00A316C0">
        <w:rPr>
          <w:lang w:eastAsia="en-US"/>
        </w:rPr>
        <w:t>s unlawful conduct, the Court itself acknowledg</w:t>
      </w:r>
      <w:r w:rsidR="00A316C0">
        <w:rPr>
          <w:lang w:eastAsia="en-US"/>
        </w:rPr>
        <w:t>ed</w:t>
      </w:r>
      <w:r w:rsidRPr="004E1BED" w:rsidR="00A316C0">
        <w:rPr>
          <w:lang w:eastAsia="en-US"/>
        </w:rPr>
        <w:t xml:space="preserve"> that the violation in question </w:t>
      </w:r>
      <w:r w:rsidRPr="00B7756D" w:rsidR="00A316C0">
        <w:rPr>
          <w:lang w:eastAsia="en-US"/>
        </w:rPr>
        <w:t>was</w:t>
      </w:r>
      <w:r w:rsidRPr="004E1BED" w:rsidR="00A316C0">
        <w:rPr>
          <w:i/>
          <w:lang w:eastAsia="en-US"/>
        </w:rPr>
        <w:t xml:space="preserve"> </w:t>
      </w:r>
      <w:r w:rsidRPr="00476E65" w:rsidR="00A316C0">
        <w:rPr>
          <w:lang w:eastAsia="en-US"/>
        </w:rPr>
        <w:t>not</w:t>
      </w:r>
      <w:r w:rsidRPr="004E1BED" w:rsidR="00A316C0">
        <w:rPr>
          <w:i/>
          <w:lang w:eastAsia="en-US"/>
        </w:rPr>
        <w:t xml:space="preserve"> exclusively</w:t>
      </w:r>
      <w:r w:rsidRPr="004E1BED" w:rsidR="00A316C0">
        <w:rPr>
          <w:lang w:eastAsia="en-US"/>
        </w:rPr>
        <w:t xml:space="preserve"> the consequence of that conduct.</w:t>
      </w:r>
    </w:p>
    <w:p w:rsidRPr="004E1BED" w:rsidR="00A316C0" w:rsidP="00A316C0" w:rsidRDefault="00ED6840">
      <w:pPr>
        <w:pStyle w:val="JuPara"/>
        <w:rPr>
          <w:lang w:eastAsia="en-US"/>
        </w:rPr>
      </w:pPr>
      <w:r>
        <w:rPr>
          <w:lang w:eastAsia="en-US"/>
        </w:rPr>
        <w:t>18.  </w:t>
      </w:r>
      <w:r w:rsidRPr="004E1BED" w:rsidR="00A316C0">
        <w:rPr>
          <w:lang w:eastAsia="en-US"/>
        </w:rPr>
        <w:t xml:space="preserve">In the instant case, as the violations (see </w:t>
      </w:r>
      <w:r>
        <w:rPr>
          <w:lang w:eastAsia="en-US"/>
        </w:rPr>
        <w:t>paragraphs</w:t>
      </w:r>
      <w:r w:rsidRPr="004E1BED" w:rsidR="00A316C0">
        <w:rPr>
          <w:lang w:eastAsia="en-US"/>
        </w:rPr>
        <w:t xml:space="preserve"> 51-55 of the judgment) were constituted by the protracted failure to execute the eviction order, it should be accepted that the responsibility of the State was incurred (see, among other authorities, </w:t>
      </w:r>
      <w:r w:rsidRPr="004E1BED" w:rsidR="00A316C0">
        <w:rPr>
          <w:i/>
          <w:lang w:eastAsia="en-US"/>
        </w:rPr>
        <w:t>Scollo v. Italy</w:t>
      </w:r>
      <w:r w:rsidRPr="004E1BED" w:rsidR="00A316C0">
        <w:rPr>
          <w:lang w:eastAsia="en-US"/>
        </w:rPr>
        <w:t xml:space="preserve">, judgment of </w:t>
      </w:r>
      <w:smartTag w:uri="urn:schemas-microsoft-com:office:smarttags" w:element="date">
        <w:smartTagPr>
          <w:attr w:name="Month" w:val="9"/>
          <w:attr w:name="Day" w:val="28"/>
          <w:attr w:name="Year" w:val="1995"/>
        </w:smartTagPr>
        <w:r w:rsidR="00A316C0" w:rsidRPr="004E1BED">
          <w:rPr>
            <w:lang w:eastAsia="en-US"/>
          </w:rPr>
          <w:t>28 September 1995</w:t>
        </w:r>
      </w:smartTag>
      <w:r>
        <w:rPr>
          <w:lang w:eastAsia="en-US"/>
        </w:rPr>
        <w:t>, Series A no. 315-</w:t>
      </w:r>
      <w:r w:rsidRPr="004E1BED" w:rsidR="00A316C0">
        <w:rPr>
          <w:lang w:eastAsia="en-US"/>
        </w:rPr>
        <w:t xml:space="preserve">C, </w:t>
      </w:r>
      <w:r>
        <w:rPr>
          <w:lang w:eastAsia="en-US"/>
        </w:rPr>
        <w:t xml:space="preserve">p. 55, </w:t>
      </w:r>
      <w:r w:rsidRPr="004E1BED" w:rsidR="00A316C0">
        <w:rPr>
          <w:lang w:eastAsia="en-US"/>
        </w:rPr>
        <w:t>§ 44).</w:t>
      </w:r>
    </w:p>
    <w:p w:rsidRPr="004E1BED" w:rsidR="00A316C0" w:rsidP="00A316C0" w:rsidRDefault="00ED6840">
      <w:pPr>
        <w:pStyle w:val="JuPara"/>
        <w:rPr>
          <w:lang w:eastAsia="en-US"/>
        </w:rPr>
      </w:pPr>
      <w:r>
        <w:rPr>
          <w:lang w:eastAsia="en-US"/>
        </w:rPr>
        <w:t>19.  </w:t>
      </w:r>
      <w:r w:rsidRPr="004E1BED" w:rsidR="00A316C0">
        <w:rPr>
          <w:lang w:eastAsia="en-US"/>
        </w:rPr>
        <w:t>If the breach of the applicants</w:t>
      </w:r>
      <w:r w:rsidR="00E652BE">
        <w:rPr>
          <w:lang w:eastAsia="en-US"/>
        </w:rPr>
        <w:t>'</w:t>
      </w:r>
      <w:r w:rsidRPr="004E1BED" w:rsidR="00A316C0">
        <w:rPr>
          <w:lang w:eastAsia="en-US"/>
        </w:rPr>
        <w:t xml:space="preserve"> right to the peaceful enjoyment of their property is </w:t>
      </w:r>
      <w:r w:rsidRPr="00476E65" w:rsidR="00A316C0">
        <w:rPr>
          <w:lang w:eastAsia="en-US"/>
        </w:rPr>
        <w:t>not</w:t>
      </w:r>
      <w:r w:rsidRPr="004E1BED" w:rsidR="00A316C0">
        <w:rPr>
          <w:i/>
          <w:lang w:eastAsia="en-US"/>
        </w:rPr>
        <w:t xml:space="preserve"> exclusively</w:t>
      </w:r>
      <w:r w:rsidRPr="004E1BED" w:rsidR="00A316C0">
        <w:rPr>
          <w:lang w:eastAsia="en-US"/>
        </w:rPr>
        <w:t xml:space="preserve"> the consequence of the tenant</w:t>
      </w:r>
      <w:r w:rsidR="00E652BE">
        <w:rPr>
          <w:lang w:eastAsia="en-US"/>
        </w:rPr>
        <w:t>'</w:t>
      </w:r>
      <w:r w:rsidRPr="004E1BED" w:rsidR="00A316C0">
        <w:rPr>
          <w:lang w:eastAsia="en-US"/>
        </w:rPr>
        <w:t>s conduct, but also stems from the protracted failure</w:t>
      </w:r>
      <w:r w:rsidR="00A316C0">
        <w:rPr>
          <w:lang w:eastAsia="en-US"/>
        </w:rPr>
        <w:t xml:space="preserve"> to execute the eviction order – something for which </w:t>
      </w:r>
      <w:r w:rsidRPr="004E1BED" w:rsidR="00A316C0">
        <w:rPr>
          <w:lang w:eastAsia="en-US"/>
        </w:rPr>
        <w:t>the State</w:t>
      </w:r>
      <w:r w:rsidR="00A316C0">
        <w:rPr>
          <w:lang w:eastAsia="en-US"/>
        </w:rPr>
        <w:t xml:space="preserve"> is responsible –</w:t>
      </w:r>
      <w:r w:rsidRPr="004E1BED" w:rsidR="00A316C0">
        <w:rPr>
          <w:lang w:eastAsia="en-US"/>
        </w:rPr>
        <w:t xml:space="preserve"> there is nothing </w:t>
      </w:r>
      <w:r w:rsidRPr="004E1BED" w:rsidR="00A316C0">
        <w:rPr>
          <w:i/>
          <w:lang w:eastAsia="en-US"/>
        </w:rPr>
        <w:t>in principle</w:t>
      </w:r>
      <w:r w:rsidRPr="004E1BED" w:rsidR="00A316C0">
        <w:rPr>
          <w:lang w:eastAsia="en-US"/>
        </w:rPr>
        <w:t xml:space="preserve"> to preclude an award of just satisfaction</w:t>
      </w:r>
      <w:r w:rsidR="00A316C0">
        <w:rPr>
          <w:lang w:eastAsia="en-US"/>
        </w:rPr>
        <w:t>,</w:t>
      </w:r>
      <w:r w:rsidRPr="004E1BED" w:rsidR="00A316C0">
        <w:rPr>
          <w:lang w:eastAsia="en-US"/>
        </w:rPr>
        <w:t xml:space="preserve"> provided</w:t>
      </w:r>
      <w:r w:rsidR="00A316C0">
        <w:rPr>
          <w:lang w:eastAsia="en-US"/>
        </w:rPr>
        <w:t>,</w:t>
      </w:r>
      <w:r w:rsidR="004C1134">
        <w:rPr>
          <w:lang w:eastAsia="en-US"/>
        </w:rPr>
        <w:t xml:space="preserve"> among other requirements</w:t>
      </w:r>
      <w:r w:rsidR="00A316C0">
        <w:rPr>
          <w:lang w:eastAsia="en-US"/>
        </w:rPr>
        <w:t>,</w:t>
      </w:r>
      <w:r w:rsidRPr="004E1BED" w:rsidR="00A316C0">
        <w:rPr>
          <w:lang w:eastAsia="en-US"/>
        </w:rPr>
        <w:t xml:space="preserve"> that </w:t>
      </w:r>
      <w:r w:rsidR="00A316C0">
        <w:rPr>
          <w:lang w:eastAsia="en-US"/>
        </w:rPr>
        <w:t>the</w:t>
      </w:r>
      <w:r w:rsidRPr="004E1BED" w:rsidR="00A316C0">
        <w:rPr>
          <w:lang w:eastAsia="en-US"/>
        </w:rPr>
        <w:t xml:space="preserve"> claim under Article 41 of the Convention also satisfies the conditions of Rule 60.</w:t>
      </w:r>
    </w:p>
    <w:p w:rsidRPr="004E1BED" w:rsidR="00A316C0" w:rsidP="00A316C0" w:rsidRDefault="00ED6840">
      <w:pPr>
        <w:pStyle w:val="JuPara"/>
        <w:rPr>
          <w:lang w:eastAsia="en-US"/>
        </w:rPr>
      </w:pPr>
      <w:r>
        <w:rPr>
          <w:lang w:eastAsia="en-US"/>
        </w:rPr>
        <w:t>20.  </w:t>
      </w:r>
      <w:r w:rsidRPr="004E1BED" w:rsidR="00A316C0">
        <w:rPr>
          <w:lang w:eastAsia="en-US"/>
        </w:rPr>
        <w:t>In paragraph 68 of the judgment, the Court state</w:t>
      </w:r>
      <w:r w:rsidR="004C1134">
        <w:rPr>
          <w:lang w:eastAsia="en-US"/>
        </w:rPr>
        <w:t>s</w:t>
      </w:r>
      <w:r w:rsidRPr="004E1BED" w:rsidR="00A316C0">
        <w:rPr>
          <w:lang w:eastAsia="en-US"/>
        </w:rPr>
        <w:t xml:space="preserve"> that the violation by the State of Article 6 of the Convention </w:t>
      </w:r>
      <w:r w:rsidR="00A316C0">
        <w:rPr>
          <w:lang w:eastAsia="en-US"/>
        </w:rPr>
        <w:t>wa</w:t>
      </w:r>
      <w:r w:rsidRPr="004E1BED" w:rsidR="00A316C0">
        <w:rPr>
          <w:lang w:eastAsia="en-US"/>
        </w:rPr>
        <w:t xml:space="preserve">s </w:t>
      </w:r>
      <w:r w:rsidRPr="004E1BED" w:rsidR="00A316C0">
        <w:rPr>
          <w:i/>
          <w:lang w:eastAsia="en-US"/>
        </w:rPr>
        <w:t>procedural in nature</w:t>
      </w:r>
      <w:r w:rsidRPr="004E1BED" w:rsidR="00A316C0">
        <w:rPr>
          <w:lang w:eastAsia="en-US"/>
        </w:rPr>
        <w:t xml:space="preserve"> and </w:t>
      </w:r>
      <w:r w:rsidRPr="004E1BED" w:rsidR="00A316C0">
        <w:rPr>
          <w:i/>
          <w:lang w:eastAsia="en-US"/>
        </w:rPr>
        <w:t>s</w:t>
      </w:r>
      <w:r w:rsidR="00A316C0">
        <w:rPr>
          <w:i/>
          <w:lang w:eastAsia="en-US"/>
        </w:rPr>
        <w:t>ubsequent</w:t>
      </w:r>
      <w:r>
        <w:rPr>
          <w:lang w:eastAsia="en-US"/>
        </w:rPr>
        <w:t xml:space="preserve"> to the tenant</w:t>
      </w:r>
      <w:r w:rsidR="00E652BE">
        <w:rPr>
          <w:lang w:eastAsia="en-US"/>
        </w:rPr>
        <w:t>'</w:t>
      </w:r>
      <w:r w:rsidRPr="004E1BED" w:rsidR="00A316C0">
        <w:rPr>
          <w:lang w:eastAsia="en-US"/>
        </w:rPr>
        <w:t>s own conduct.</w:t>
      </w:r>
    </w:p>
    <w:p w:rsidRPr="004E1BED" w:rsidR="00A316C0" w:rsidP="00A316C0" w:rsidRDefault="00ED6840">
      <w:pPr>
        <w:pStyle w:val="JuPara"/>
        <w:rPr>
          <w:lang w:eastAsia="en-US"/>
        </w:rPr>
      </w:pPr>
      <w:r>
        <w:rPr>
          <w:lang w:eastAsia="en-US"/>
        </w:rPr>
        <w:t>21.  </w:t>
      </w:r>
      <w:r w:rsidRPr="004E1BED" w:rsidR="00A316C0">
        <w:rPr>
          <w:lang w:eastAsia="en-US"/>
        </w:rPr>
        <w:t>I do not share th</w:t>
      </w:r>
      <w:r w:rsidR="00A316C0">
        <w:rPr>
          <w:lang w:eastAsia="en-US"/>
        </w:rPr>
        <w:t>at</w:t>
      </w:r>
      <w:r w:rsidRPr="004E1BED" w:rsidR="00A316C0">
        <w:rPr>
          <w:lang w:eastAsia="en-US"/>
        </w:rPr>
        <w:t xml:space="preserve"> view.</w:t>
      </w:r>
    </w:p>
    <w:p w:rsidRPr="004E1BED" w:rsidR="00A316C0" w:rsidP="00A316C0" w:rsidRDefault="00ED6840">
      <w:pPr>
        <w:pStyle w:val="JuPara"/>
        <w:rPr>
          <w:lang w:eastAsia="en-US"/>
        </w:rPr>
      </w:pPr>
      <w:r>
        <w:rPr>
          <w:lang w:eastAsia="en-US"/>
        </w:rPr>
        <w:t>22.  </w:t>
      </w:r>
      <w:r w:rsidRPr="004E1BED" w:rsidR="00A316C0">
        <w:rPr>
          <w:lang w:eastAsia="en-US"/>
        </w:rPr>
        <w:t>To be precise, I am of the opinion that it was the protracted failure to execute the eviction order that enabled the tenant to remain in the flat. The tenant</w:t>
      </w:r>
      <w:r w:rsidR="00E652BE">
        <w:rPr>
          <w:lang w:eastAsia="en-US"/>
        </w:rPr>
        <w:t>'</w:t>
      </w:r>
      <w:r w:rsidRPr="004E1BED" w:rsidR="00A316C0">
        <w:rPr>
          <w:lang w:eastAsia="en-US"/>
        </w:rPr>
        <w:t>s conduct was thus subsequent</w:t>
      </w:r>
      <w:r w:rsidR="004C1134">
        <w:rPr>
          <w:lang w:eastAsia="en-US"/>
        </w:rPr>
        <w:t xml:space="preserve"> to</w:t>
      </w:r>
      <w:r w:rsidRPr="004E1BED" w:rsidR="00A316C0">
        <w:rPr>
          <w:lang w:eastAsia="en-US"/>
        </w:rPr>
        <w:t xml:space="preserve">, or at least </w:t>
      </w:r>
      <w:r w:rsidR="004C1134">
        <w:rPr>
          <w:lang w:eastAsia="en-US"/>
        </w:rPr>
        <w:t>concurrent with</w:t>
      </w:r>
      <w:r w:rsidRPr="004E1BED" w:rsidR="00A316C0">
        <w:rPr>
          <w:lang w:eastAsia="en-US"/>
        </w:rPr>
        <w:t>, the State</w:t>
      </w:r>
      <w:r w:rsidR="00E652BE">
        <w:rPr>
          <w:lang w:eastAsia="en-US"/>
        </w:rPr>
        <w:t>'</w:t>
      </w:r>
      <w:r w:rsidRPr="004E1BED" w:rsidR="00A316C0">
        <w:rPr>
          <w:lang w:eastAsia="en-US"/>
        </w:rPr>
        <w:t xml:space="preserve">s inactivity, and such inactivity </w:t>
      </w:r>
      <w:r w:rsidR="004C1134">
        <w:rPr>
          <w:lang w:eastAsia="en-US"/>
        </w:rPr>
        <w:t>conveyed a suggestion</w:t>
      </w:r>
      <w:r w:rsidRPr="004E1BED" w:rsidR="00A316C0">
        <w:rPr>
          <w:lang w:eastAsia="en-US"/>
        </w:rPr>
        <w:t xml:space="preserve"> of impunity, verging on encouragement not to </w:t>
      </w:r>
      <w:r w:rsidR="00A316C0">
        <w:rPr>
          <w:lang w:eastAsia="en-US"/>
        </w:rPr>
        <w:t>comply with</w:t>
      </w:r>
      <w:r w:rsidRPr="004E1BED" w:rsidR="00A316C0">
        <w:rPr>
          <w:lang w:eastAsia="en-US"/>
        </w:rPr>
        <w:t xml:space="preserve"> a judicial decision. Far from simply being </w:t>
      </w:r>
      <w:r w:rsidR="00A316C0">
        <w:rPr>
          <w:lang w:eastAsia="en-US"/>
        </w:rPr>
        <w:t>subsequent</w:t>
      </w:r>
      <w:r w:rsidRPr="004E1BED" w:rsidR="00A316C0">
        <w:rPr>
          <w:lang w:eastAsia="en-US"/>
        </w:rPr>
        <w:t xml:space="preserve"> to the tenant</w:t>
      </w:r>
      <w:r w:rsidR="00E652BE">
        <w:rPr>
          <w:lang w:eastAsia="en-US"/>
        </w:rPr>
        <w:t>'</w:t>
      </w:r>
      <w:r w:rsidRPr="004E1BED" w:rsidR="00A316C0">
        <w:rPr>
          <w:lang w:eastAsia="en-US"/>
        </w:rPr>
        <w:t>s conduct, the violation of Article 6 of the Convention can be regarded, at least in part, as</w:t>
      </w:r>
      <w:r w:rsidR="00A316C0">
        <w:rPr>
          <w:lang w:eastAsia="en-US"/>
        </w:rPr>
        <w:t xml:space="preserve"> having occurred </w:t>
      </w:r>
      <w:r w:rsidRPr="00813D11" w:rsidR="00A316C0">
        <w:rPr>
          <w:i/>
          <w:lang w:eastAsia="en-US"/>
        </w:rPr>
        <w:t>prior</w:t>
      </w:r>
      <w:r w:rsidR="000D588A">
        <w:rPr>
          <w:lang w:eastAsia="en-US"/>
        </w:rPr>
        <w:t xml:space="preserve"> to</w:t>
      </w:r>
      <w:r w:rsidRPr="004E1BED" w:rsidR="00A316C0">
        <w:rPr>
          <w:lang w:eastAsia="en-US"/>
        </w:rPr>
        <w:t xml:space="preserve"> or </w:t>
      </w:r>
      <w:r w:rsidR="000D588A">
        <w:rPr>
          <w:i/>
          <w:lang w:eastAsia="en-US"/>
        </w:rPr>
        <w:t>concurrently</w:t>
      </w:r>
      <w:r w:rsidRPr="004E1BED" w:rsidR="00A316C0">
        <w:rPr>
          <w:lang w:eastAsia="en-US"/>
        </w:rPr>
        <w:t xml:space="preserve"> </w:t>
      </w:r>
      <w:r w:rsidR="000D588A">
        <w:rPr>
          <w:lang w:eastAsia="en-US"/>
        </w:rPr>
        <w:t>with</w:t>
      </w:r>
      <w:r w:rsidRPr="004E1BED" w:rsidR="00A316C0">
        <w:rPr>
          <w:lang w:eastAsia="en-US"/>
        </w:rPr>
        <w:t xml:space="preserve"> that conduct. Far from simply being procedural, the violation </w:t>
      </w:r>
      <w:r w:rsidR="00A316C0">
        <w:rPr>
          <w:lang w:eastAsia="en-US"/>
        </w:rPr>
        <w:t>wa</w:t>
      </w:r>
      <w:r w:rsidRPr="004E1BED" w:rsidR="00A316C0">
        <w:rPr>
          <w:lang w:eastAsia="en-US"/>
        </w:rPr>
        <w:t>s one of the causes of the damage. There is clearly a well-established causal link between the violation and at least part of the damage sustained by the applicants.</w:t>
      </w:r>
    </w:p>
    <w:p w:rsidRPr="004E1BED" w:rsidR="00A316C0" w:rsidP="00A316C0" w:rsidRDefault="00ED6840">
      <w:pPr>
        <w:pStyle w:val="JuPara"/>
        <w:rPr>
          <w:lang w:eastAsia="en-US"/>
        </w:rPr>
      </w:pPr>
      <w:r>
        <w:rPr>
          <w:lang w:eastAsia="en-US"/>
        </w:rPr>
        <w:t>23.  </w:t>
      </w:r>
      <w:r w:rsidRPr="004E1BED" w:rsidR="00A316C0">
        <w:rPr>
          <w:lang w:eastAsia="en-US"/>
        </w:rPr>
        <w:t xml:space="preserve">Consequently, the State and the tenant are jointly and severally </w:t>
      </w:r>
      <w:r w:rsidR="00A316C0">
        <w:rPr>
          <w:lang w:eastAsia="en-US"/>
        </w:rPr>
        <w:t>liable</w:t>
      </w:r>
      <w:r w:rsidRPr="004E1BED" w:rsidR="00A316C0">
        <w:rPr>
          <w:lang w:eastAsia="en-US"/>
        </w:rPr>
        <w:t xml:space="preserve"> for the damage caused.</w:t>
      </w:r>
    </w:p>
    <w:p w:rsidRPr="004E1BED" w:rsidR="00A316C0" w:rsidP="00A316C0" w:rsidRDefault="00ED6840">
      <w:pPr>
        <w:pStyle w:val="JuPara"/>
        <w:rPr>
          <w:lang w:eastAsia="en-US"/>
        </w:rPr>
      </w:pPr>
      <w:r>
        <w:rPr>
          <w:lang w:eastAsia="en-US"/>
        </w:rPr>
        <w:t>24.  </w:t>
      </w:r>
      <w:r w:rsidRPr="004E1BED" w:rsidR="00A316C0">
        <w:rPr>
          <w:lang w:eastAsia="en-US"/>
        </w:rPr>
        <w:t xml:space="preserve">This joint </w:t>
      </w:r>
      <w:r w:rsidR="00A316C0">
        <w:rPr>
          <w:lang w:eastAsia="en-US"/>
        </w:rPr>
        <w:t>liability</w:t>
      </w:r>
      <w:r w:rsidRPr="004E1BED" w:rsidR="00A316C0">
        <w:rPr>
          <w:lang w:eastAsia="en-US"/>
        </w:rPr>
        <w:t xml:space="preserve"> necessarily implies that the applicants had a choice between claiming compensation from the State, under Article 41 of the Convention, </w:t>
      </w:r>
      <w:r w:rsidR="000D588A">
        <w:rPr>
          <w:lang w:eastAsia="en-US"/>
        </w:rPr>
        <w:t>and</w:t>
      </w:r>
      <w:r w:rsidRPr="004E1BED" w:rsidR="00A316C0">
        <w:rPr>
          <w:lang w:eastAsia="en-US"/>
        </w:rPr>
        <w:t xml:space="preserve"> bringing </w:t>
      </w:r>
      <w:r w:rsidR="00A316C0">
        <w:rPr>
          <w:lang w:eastAsia="en-US"/>
        </w:rPr>
        <w:t>an</w:t>
      </w:r>
      <w:r w:rsidRPr="004E1BED" w:rsidR="00A316C0">
        <w:rPr>
          <w:lang w:eastAsia="en-US"/>
        </w:rPr>
        <w:t xml:space="preserve"> action against their former tenant under Article 1591 of the Civil Code.</w:t>
      </w:r>
    </w:p>
    <w:p w:rsidRPr="004E1BED" w:rsidR="00A316C0" w:rsidP="00A316C0" w:rsidRDefault="00ED6840">
      <w:pPr>
        <w:pStyle w:val="JuPara"/>
        <w:rPr>
          <w:lang w:eastAsia="en-US"/>
        </w:rPr>
      </w:pPr>
      <w:r>
        <w:rPr>
          <w:lang w:eastAsia="en-US"/>
        </w:rPr>
        <w:t>25.  </w:t>
      </w:r>
      <w:r w:rsidRPr="004E1BED" w:rsidR="00A316C0">
        <w:rPr>
          <w:lang w:eastAsia="en-US"/>
        </w:rPr>
        <w:t xml:space="preserve">Moreover, since execution of </w:t>
      </w:r>
      <w:r w:rsidR="000D588A">
        <w:rPr>
          <w:lang w:eastAsia="en-US"/>
        </w:rPr>
        <w:t>a judgment</w:t>
      </w:r>
      <w:r w:rsidRPr="004E1BED" w:rsidR="00A316C0">
        <w:rPr>
          <w:lang w:eastAsia="en-US"/>
        </w:rPr>
        <w:t xml:space="preserve"> </w:t>
      </w:r>
      <w:r w:rsidR="000D588A">
        <w:rPr>
          <w:lang w:eastAsia="en-US"/>
        </w:rPr>
        <w:t>given by</w:t>
      </w:r>
      <w:r w:rsidRPr="004E1BED" w:rsidR="00A316C0">
        <w:rPr>
          <w:lang w:eastAsia="en-US"/>
        </w:rPr>
        <w:t xml:space="preserve"> any </w:t>
      </w:r>
      <w:r w:rsidR="000D588A">
        <w:rPr>
          <w:lang w:eastAsia="en-US"/>
        </w:rPr>
        <w:t>court</w:t>
      </w:r>
      <w:r w:rsidRPr="004E1BED" w:rsidR="00A316C0">
        <w:rPr>
          <w:lang w:eastAsia="en-US"/>
        </w:rPr>
        <w:t xml:space="preserve"> must be regarded as an integral part of the “trial” </w:t>
      </w:r>
      <w:r w:rsidR="000D588A">
        <w:rPr>
          <w:lang w:eastAsia="en-US"/>
        </w:rPr>
        <w:t>for the purposes</w:t>
      </w:r>
      <w:r w:rsidRPr="004E1BED" w:rsidR="00A316C0">
        <w:rPr>
          <w:lang w:eastAsia="en-US"/>
        </w:rPr>
        <w:t xml:space="preserve"> of Article 6 of the Convention (see, among other authorities, </w:t>
      </w:r>
      <w:r w:rsidRPr="004E1BED" w:rsidR="00A316C0">
        <w:rPr>
          <w:i/>
          <w:lang w:eastAsia="en-US"/>
        </w:rPr>
        <w:t>Hornsby v. Greece</w:t>
      </w:r>
      <w:r w:rsidRPr="004E1BED" w:rsidR="00A316C0">
        <w:rPr>
          <w:lang w:eastAsia="en-US"/>
        </w:rPr>
        <w:t xml:space="preserve">, judgment of 19 March 1997, </w:t>
      </w:r>
      <w:r w:rsidRPr="004E1BED" w:rsidR="00A316C0">
        <w:rPr>
          <w:i/>
          <w:lang w:eastAsia="en-US"/>
        </w:rPr>
        <w:t>Reports of Judgments and Decisions</w:t>
      </w:r>
      <w:r>
        <w:rPr>
          <w:lang w:eastAsia="en-US"/>
        </w:rPr>
        <w:t xml:space="preserve"> 1997-II, pp. 510-</w:t>
      </w:r>
      <w:r w:rsidRPr="004E1BED" w:rsidR="00A316C0">
        <w:rPr>
          <w:lang w:eastAsia="en-US"/>
        </w:rPr>
        <w:t xml:space="preserve">11, </w:t>
      </w:r>
      <w:r>
        <w:rPr>
          <w:lang w:eastAsia="en-US"/>
        </w:rPr>
        <w:br/>
      </w:r>
      <w:r w:rsidRPr="004E1BED" w:rsidR="00A316C0">
        <w:rPr>
          <w:lang w:eastAsia="en-US"/>
        </w:rPr>
        <w:t>§ 40), the implementation of a judicial decision cannot be regarded as a secondary obligation, but, on the contrary, as a principal obligation of the State, regardless of its nature</w:t>
      </w:r>
      <w:r w:rsidRPr="004E1BED" w:rsidR="00A316C0">
        <w:rPr>
          <w:rStyle w:val="FootnoteReference"/>
          <w:lang w:eastAsia="en-US"/>
        </w:rPr>
        <w:footnoteReference w:id="1"/>
      </w:r>
      <w:r w:rsidRPr="004E1BED" w:rsidR="00A316C0">
        <w:rPr>
          <w:lang w:eastAsia="en-US"/>
        </w:rPr>
        <w:t>.</w:t>
      </w:r>
    </w:p>
    <w:p w:rsidRPr="004E1BED" w:rsidR="00A316C0" w:rsidP="00A316C0" w:rsidRDefault="00ED6840">
      <w:pPr>
        <w:pStyle w:val="JuPara"/>
        <w:rPr>
          <w:lang w:eastAsia="en-US"/>
        </w:rPr>
      </w:pPr>
      <w:r>
        <w:rPr>
          <w:lang w:eastAsia="en-US"/>
        </w:rPr>
        <w:t>26.  </w:t>
      </w:r>
      <w:r w:rsidRPr="004E1BED" w:rsidR="00A316C0">
        <w:rPr>
          <w:lang w:eastAsia="en-US"/>
        </w:rPr>
        <w:t xml:space="preserve">Under these </w:t>
      </w:r>
      <w:r w:rsidR="00A316C0">
        <w:rPr>
          <w:lang w:eastAsia="en-US"/>
        </w:rPr>
        <w:t>circumstances</w:t>
      </w:r>
      <w:r w:rsidRPr="004E1BED" w:rsidR="00A316C0">
        <w:rPr>
          <w:lang w:eastAsia="en-US"/>
        </w:rPr>
        <w:t xml:space="preserve">, I consider that Article 1591 of the Civil Code is not a legal instrument </w:t>
      </w:r>
      <w:r w:rsidR="00476E65">
        <w:rPr>
          <w:lang w:eastAsia="en-US"/>
        </w:rPr>
        <w:t>liable to</w:t>
      </w:r>
      <w:r w:rsidRPr="004E1BED" w:rsidR="00A316C0">
        <w:rPr>
          <w:lang w:eastAsia="en-US"/>
        </w:rPr>
        <w:t xml:space="preserve"> prevent the Court from </w:t>
      </w:r>
      <w:r w:rsidR="00A316C0">
        <w:rPr>
          <w:lang w:eastAsia="en-US"/>
        </w:rPr>
        <w:t>examining or ruling on</w:t>
      </w:r>
      <w:r w:rsidRPr="004E1BED" w:rsidR="00A316C0">
        <w:rPr>
          <w:lang w:eastAsia="en-US"/>
        </w:rPr>
        <w:t xml:space="preserve"> the </w:t>
      </w:r>
      <w:r w:rsidRPr="004E1BED" w:rsidR="000D588A">
        <w:rPr>
          <w:lang w:eastAsia="en-US"/>
        </w:rPr>
        <w:t>merits</w:t>
      </w:r>
      <w:r w:rsidR="000D588A">
        <w:rPr>
          <w:lang w:eastAsia="en-US"/>
        </w:rPr>
        <w:t xml:space="preserve"> of the </w:t>
      </w:r>
      <w:r w:rsidRPr="004E1BED" w:rsidR="00A316C0">
        <w:rPr>
          <w:lang w:eastAsia="en-US"/>
        </w:rPr>
        <w:t>applicants</w:t>
      </w:r>
      <w:r w:rsidR="00E652BE">
        <w:rPr>
          <w:lang w:eastAsia="en-US"/>
        </w:rPr>
        <w:t>'</w:t>
      </w:r>
      <w:r w:rsidRPr="004E1BED" w:rsidR="00A316C0">
        <w:rPr>
          <w:lang w:eastAsia="en-US"/>
        </w:rPr>
        <w:t xml:space="preserve"> claims. </w:t>
      </w:r>
      <w:r w:rsidR="00A316C0">
        <w:rPr>
          <w:lang w:eastAsia="en-US"/>
        </w:rPr>
        <w:t>To maintain the contrary</w:t>
      </w:r>
      <w:r w:rsidRPr="004E1BED" w:rsidR="00A316C0">
        <w:rPr>
          <w:lang w:eastAsia="en-US"/>
        </w:rPr>
        <w:t xml:space="preserve"> would imply, firstly, that the State</w:t>
      </w:r>
      <w:r w:rsidR="00E652BE">
        <w:rPr>
          <w:lang w:eastAsia="en-US"/>
        </w:rPr>
        <w:t>'</w:t>
      </w:r>
      <w:r w:rsidRPr="004E1BED" w:rsidR="00A316C0">
        <w:rPr>
          <w:lang w:eastAsia="en-US"/>
        </w:rPr>
        <w:t xml:space="preserve">s inactivity </w:t>
      </w:r>
      <w:r w:rsidR="00A316C0">
        <w:rPr>
          <w:lang w:eastAsia="en-US"/>
        </w:rPr>
        <w:t>can</w:t>
      </w:r>
      <w:r w:rsidRPr="004E1BED" w:rsidR="00A316C0">
        <w:rPr>
          <w:lang w:eastAsia="en-US"/>
        </w:rPr>
        <w:t xml:space="preserve"> have absolutely no repercussions, and, secondly, that the applicants have no guarantee of obtaining redress for their loss, bearing in mind that the tenant may, in the meantime, have disappeared or become insolvent. It should also be noted that Article 1591 of the Civil Code provides for ordinary </w:t>
      </w:r>
      <w:r w:rsidR="00A316C0">
        <w:rPr>
          <w:lang w:eastAsia="en-US"/>
        </w:rPr>
        <w:t>proceedings</w:t>
      </w:r>
      <w:r w:rsidRPr="004E1BED" w:rsidR="00A316C0">
        <w:rPr>
          <w:lang w:eastAsia="en-US"/>
        </w:rPr>
        <w:t xml:space="preserve"> which can </w:t>
      </w:r>
      <w:r w:rsidR="00A316C0">
        <w:rPr>
          <w:lang w:eastAsia="en-US"/>
        </w:rPr>
        <w:t>extend over</w:t>
      </w:r>
      <w:r w:rsidRPr="004E1BED" w:rsidR="00A316C0">
        <w:rPr>
          <w:lang w:eastAsia="en-US"/>
        </w:rPr>
        <w:t xml:space="preserve"> three levels of jurisdiction. The Court has, on many occasions, identified a </w:t>
      </w:r>
      <w:r w:rsidR="000D588A">
        <w:rPr>
          <w:lang w:eastAsia="en-US"/>
        </w:rPr>
        <w:t xml:space="preserve">practice incompatible with </w:t>
      </w:r>
      <w:r w:rsidRPr="004E1BED" w:rsidR="00A316C0">
        <w:rPr>
          <w:lang w:eastAsia="en-US"/>
        </w:rPr>
        <w:t xml:space="preserve">the Convention in </w:t>
      </w:r>
      <w:smartTag w:uri="urn:schemas-microsoft-com:office:smarttags" w:element="place">
        <w:smartTag w:uri="urn:schemas-microsoft-com:office:smarttags" w:element="country-region">
          <w:r w:rsidR="00A316C0" w:rsidRPr="004E1BED">
            <w:rPr>
              <w:lang w:eastAsia="en-US"/>
            </w:rPr>
            <w:t>Italy</w:t>
          </w:r>
        </w:smartTag>
      </w:smartTag>
      <w:r w:rsidRPr="004E1BED" w:rsidR="00A316C0">
        <w:rPr>
          <w:lang w:eastAsia="en-US"/>
        </w:rPr>
        <w:t xml:space="preserve"> because of an accumulation of failures to comply with the “reasonable</w:t>
      </w:r>
      <w:r w:rsidR="00A316C0">
        <w:rPr>
          <w:lang w:eastAsia="en-US"/>
        </w:rPr>
        <w:t xml:space="preserve"> </w:t>
      </w:r>
      <w:r w:rsidRPr="004E1BED" w:rsidR="00A316C0">
        <w:rPr>
          <w:lang w:eastAsia="en-US"/>
        </w:rPr>
        <w:t xml:space="preserve">time” requirement (see, for example, </w:t>
      </w:r>
      <w:r w:rsidRPr="004E1BED" w:rsidR="00A316C0">
        <w:rPr>
          <w:i/>
          <w:lang w:eastAsia="en-US"/>
        </w:rPr>
        <w:t xml:space="preserve">Bottazzi v. Italy </w:t>
      </w:r>
      <w:r w:rsidRPr="004E1BED" w:rsidR="00A316C0">
        <w:rPr>
          <w:lang w:eastAsia="en-US"/>
        </w:rPr>
        <w:t>[GC]</w:t>
      </w:r>
      <w:r>
        <w:rPr>
          <w:lang w:eastAsia="en-US"/>
        </w:rPr>
        <w:t>, no. 34884/97, § 22, ECHR 1999-</w:t>
      </w:r>
      <w:r w:rsidRPr="004E1BED" w:rsidR="00A316C0">
        <w:rPr>
          <w:lang w:eastAsia="en-US"/>
        </w:rPr>
        <w:t>V). Accordingly, there is also a significant risk that the applicants would have to wait a long time for the outcome of any proceedings under Article 1591 of the Italian Civil Code.</w:t>
      </w:r>
    </w:p>
    <w:p w:rsidRPr="004E1BED" w:rsidR="00A316C0" w:rsidP="00A316C0" w:rsidRDefault="00ED6840">
      <w:pPr>
        <w:pStyle w:val="JuPara"/>
        <w:rPr>
          <w:lang w:eastAsia="en-US"/>
        </w:rPr>
      </w:pPr>
      <w:r>
        <w:rPr>
          <w:lang w:eastAsia="en-US"/>
        </w:rPr>
        <w:t>27.  </w:t>
      </w:r>
      <w:r w:rsidRPr="004E1BED" w:rsidR="00A316C0">
        <w:rPr>
          <w:lang w:eastAsia="en-US"/>
        </w:rPr>
        <w:t xml:space="preserve">This principle concerning the interpretation of Article 41 (formerly Article 50) of the Convention has been established by the Court in a number of </w:t>
      </w:r>
      <w:r w:rsidR="00A316C0">
        <w:rPr>
          <w:lang w:eastAsia="en-US"/>
        </w:rPr>
        <w:t>precedents</w:t>
      </w:r>
      <w:r w:rsidRPr="004E1BED" w:rsidR="00A316C0">
        <w:rPr>
          <w:lang w:eastAsia="en-US"/>
        </w:rPr>
        <w:t xml:space="preserve">, and in particular in </w:t>
      </w:r>
      <w:r w:rsidRPr="004E1BED" w:rsidR="00A316C0">
        <w:rPr>
          <w:i/>
          <w:lang w:eastAsia="en-US"/>
        </w:rPr>
        <w:t>De Wilde</w:t>
      </w:r>
      <w:r w:rsidRPr="004E1BED" w:rsidR="00A316C0">
        <w:rPr>
          <w:i/>
          <w:iCs/>
          <w:lang w:eastAsia="en-US"/>
        </w:rPr>
        <w:t>,</w:t>
      </w:r>
      <w:r w:rsidRPr="004E1BED" w:rsidR="00A316C0">
        <w:rPr>
          <w:i/>
          <w:lang w:eastAsia="en-US"/>
        </w:rPr>
        <w:t xml:space="preserve"> Ooms and Versyp v. Belgium</w:t>
      </w:r>
      <w:r w:rsidRPr="004E1BED" w:rsidR="00A316C0">
        <w:rPr>
          <w:lang w:eastAsia="en-US"/>
        </w:rPr>
        <w:t xml:space="preserve"> </w:t>
      </w:r>
      <w:r w:rsidR="0083532A">
        <w:rPr>
          <w:lang w:eastAsia="en-US"/>
        </w:rPr>
        <w:t>(</w:t>
      </w:r>
      <w:r w:rsidR="000D588A">
        <w:rPr>
          <w:lang w:eastAsia="en-US"/>
        </w:rPr>
        <w:t>(Article 50),</w:t>
      </w:r>
      <w:r>
        <w:rPr>
          <w:lang w:eastAsia="en-US"/>
        </w:rPr>
        <w:t xml:space="preserve"> Series </w:t>
      </w:r>
      <w:r w:rsidRPr="004E1BED" w:rsidR="00A316C0">
        <w:rPr>
          <w:lang w:eastAsia="en-US"/>
        </w:rPr>
        <w:t xml:space="preserve">A no. 14, </w:t>
      </w:r>
      <w:r w:rsidRPr="004E1BED" w:rsidR="00476E65">
        <w:rPr>
          <w:lang w:eastAsia="en-US"/>
        </w:rPr>
        <w:t>judgment of 10 March 1972</w:t>
      </w:r>
      <w:r w:rsidR="0083532A">
        <w:rPr>
          <w:lang w:eastAsia="en-US"/>
        </w:rPr>
        <w:t>,</w:t>
      </w:r>
      <w:r w:rsidRPr="004E1BED" w:rsidR="00476E65">
        <w:rPr>
          <w:lang w:eastAsia="en-US"/>
        </w:rPr>
        <w:t xml:space="preserve"> </w:t>
      </w:r>
      <w:r w:rsidRPr="004E1BED" w:rsidR="00A316C0">
        <w:rPr>
          <w:lang w:eastAsia="en-US"/>
        </w:rPr>
        <w:t>pp.</w:t>
      </w:r>
      <w:r w:rsidR="0083532A">
        <w:rPr>
          <w:lang w:eastAsia="en-US"/>
        </w:rPr>
        <w:t xml:space="preserve"> </w:t>
      </w:r>
      <w:r w:rsidRPr="004E1BED" w:rsidR="00A316C0">
        <w:rPr>
          <w:lang w:eastAsia="en-US"/>
        </w:rPr>
        <w:t>8-9, § 16</w:t>
      </w:r>
      <w:r w:rsidR="0083532A">
        <w:rPr>
          <w:lang w:eastAsia="en-US"/>
        </w:rPr>
        <w:t>)</w:t>
      </w:r>
      <w:r w:rsidR="000D588A">
        <w:rPr>
          <w:lang w:eastAsia="en-US"/>
        </w:rPr>
        <w:t xml:space="preserve">, </w:t>
      </w:r>
      <w:r w:rsidR="00F35F5F">
        <w:rPr>
          <w:lang w:eastAsia="en-US"/>
        </w:rPr>
        <w:t xml:space="preserve">in which </w:t>
      </w:r>
      <w:r w:rsidR="008470E1">
        <w:rPr>
          <w:lang w:eastAsia="en-US"/>
        </w:rPr>
        <w:t>it</w:t>
      </w:r>
      <w:r w:rsidRPr="004E1BED" w:rsidR="00A316C0">
        <w:rPr>
          <w:lang w:eastAsia="en-US"/>
        </w:rPr>
        <w:t xml:space="preserve"> </w:t>
      </w:r>
      <w:r w:rsidR="00F35F5F">
        <w:rPr>
          <w:lang w:eastAsia="en-US"/>
        </w:rPr>
        <w:t>ruled</w:t>
      </w:r>
      <w:r w:rsidRPr="004E1BED" w:rsidR="00A316C0">
        <w:rPr>
          <w:lang w:eastAsia="en-US"/>
        </w:rPr>
        <w:t xml:space="preserve"> as follows:</w:t>
      </w:r>
    </w:p>
    <w:p w:rsidRPr="004E1BED" w:rsidR="00A316C0" w:rsidP="00A316C0" w:rsidRDefault="00ED6840">
      <w:pPr>
        <w:pStyle w:val="JuQuot"/>
      </w:pPr>
      <w:r>
        <w:t>“16.  </w:t>
      </w:r>
      <w:r w:rsidRPr="004E1BED" w:rsidR="00A316C0">
        <w:t xml:space="preserve">In support of its plea of inadmissibility, the Government put forward a second argument based on Article 50: as they had not exhausted domestic remedies, the applicants had not established, according to the Government, that Belgian internal law </w:t>
      </w:r>
      <w:r w:rsidR="00E652BE">
        <w:t>'</w:t>
      </w:r>
      <w:r w:rsidRPr="004E1BED" w:rsidR="00A316C0">
        <w:t>allows only partial reparation to be made for the consequences</w:t>
      </w:r>
      <w:r w:rsidR="00E652BE">
        <w:t>'</w:t>
      </w:r>
      <w:r w:rsidRPr="004E1BED" w:rsidR="00A316C0">
        <w:t xml:space="preserve"> of the violation found by the judgment of 18 June 1971; it followed that their claims for damages were inadmissible.</w:t>
      </w:r>
    </w:p>
    <w:p w:rsidRPr="004E1BED" w:rsidR="00A316C0" w:rsidP="00A316C0" w:rsidRDefault="00A316C0">
      <w:pPr>
        <w:pStyle w:val="JuQuot"/>
      </w:pPr>
      <w:r w:rsidRPr="004E1BED">
        <w:t>In the Court</w:t>
      </w:r>
      <w:r w:rsidR="00E652BE">
        <w:t>'</w:t>
      </w:r>
      <w:r w:rsidRPr="004E1BED">
        <w:t>s opinion, the part of the sentence just quoted states mere</w:t>
      </w:r>
      <w:r w:rsidR="004076E2">
        <w:t xml:space="preserve">ly a rule going to the merits. </w:t>
      </w:r>
      <w:r w:rsidRPr="004E1BED">
        <w:t xml:space="preserve">If the draftsmen of the Convention had meant to make the admissibility of claims for </w:t>
      </w:r>
      <w:r w:rsidR="00E652BE">
        <w:t>'</w:t>
      </w:r>
      <w:r w:rsidRPr="004E1BED">
        <w:t>just satisfaction</w:t>
      </w:r>
      <w:r w:rsidR="00E652BE">
        <w:t>'</w:t>
      </w:r>
      <w:r w:rsidRPr="004E1BED">
        <w:t xml:space="preserve"> subordinate to the prior exercise of domestic remedies they would have taken care to specify this in Article 50 as they did in </w:t>
      </w:r>
      <w:r w:rsidR="00F35F5F">
        <w:t>Article 26</w:t>
      </w:r>
      <w:r w:rsidRPr="004E1BED">
        <w:t>, combined with Article 27 (3), in respect of petitio</w:t>
      </w:r>
      <w:r w:rsidR="004076E2">
        <w:t>ns addressed to the Commission.</w:t>
      </w:r>
      <w:r w:rsidRPr="004E1BED">
        <w:t xml:space="preserve"> In the absence of such an explicit indication of their intention, the Court cannot take the view that Article 50 enunciates in substance the same rule as Article 26.</w:t>
      </w:r>
    </w:p>
    <w:p w:rsidRPr="004E1BED" w:rsidR="00A316C0" w:rsidP="00A316C0" w:rsidRDefault="00A316C0">
      <w:pPr>
        <w:pStyle w:val="JuQuot"/>
      </w:pPr>
      <w:r w:rsidRPr="004E1BED">
        <w:t>Moreover, Article 50 has its origin in certain clauses which appear i</w:t>
      </w:r>
      <w:r w:rsidR="008470E1">
        <w:t>n treaties of a classical type –</w:t>
      </w:r>
      <w:r w:rsidRPr="004E1BED">
        <w:t xml:space="preserve"> such as, Article 10 of the German Swiss Treaty on Arbitration and Conciliation, 1921, and Article 32 of the Geneva General Act for the Pacific Settlement of International Disputes, 1928 </w:t>
      </w:r>
      <w:r w:rsidR="0083532A">
        <w:t>–</w:t>
      </w:r>
      <w:r w:rsidRPr="004E1BED">
        <w:t xml:space="preserve"> and have no connection with the rule of exhaustion of domestic remedies.</w:t>
      </w:r>
    </w:p>
    <w:p w:rsidRPr="004E1BED" w:rsidR="00A316C0" w:rsidP="00A316C0" w:rsidRDefault="00A316C0">
      <w:pPr>
        <w:pStyle w:val="JuQuot"/>
      </w:pPr>
      <w:r w:rsidRPr="004E1BED">
        <w:t>In addition, if the victim, after exhausting in vain the domestic remedies before complaining at Strasbourg of a violation of his rights, were obliged to do so a second time before being able to obtain from the Court just satisfaction, the total length of the procedure instituted by the Convention would scarcely be in keeping with the idea of the effecti</w:t>
      </w:r>
      <w:r w:rsidR="004076E2">
        <w:t xml:space="preserve">ve protection of Human Rights. </w:t>
      </w:r>
      <w:r w:rsidRPr="004E1BED">
        <w:t>Such a requirement would lead to a situation incompatible with the aim and object of the Convention.”</w:t>
      </w:r>
      <w:r w:rsidRPr="004E1BED">
        <w:rPr>
          <w:rStyle w:val="FootnoteReference"/>
        </w:rPr>
        <w:footnoteReference w:id="2"/>
      </w:r>
    </w:p>
    <w:p w:rsidRPr="004E1BED" w:rsidR="00A316C0" w:rsidP="00A316C0" w:rsidRDefault="008470E1">
      <w:pPr>
        <w:pStyle w:val="OpiPara"/>
      </w:pPr>
      <w:r>
        <w:t>28.  </w:t>
      </w:r>
      <w:r w:rsidRPr="004E1BED" w:rsidR="00A316C0">
        <w:t>In the above-cited judgment of 10 March 1972 in</w:t>
      </w:r>
      <w:r w:rsidR="00F35F5F">
        <w:t xml:space="preserve"> the</w:t>
      </w:r>
      <w:r w:rsidRPr="004E1BED" w:rsidR="00A316C0">
        <w:t xml:space="preserve"> </w:t>
      </w:r>
      <w:r w:rsidRPr="004E1BED" w:rsidR="00A316C0">
        <w:rPr>
          <w:i/>
          <w:lang w:eastAsia="en-US"/>
        </w:rPr>
        <w:t>De Wilde</w:t>
      </w:r>
      <w:r w:rsidRPr="004E1BED" w:rsidR="00A316C0">
        <w:rPr>
          <w:i/>
          <w:iCs/>
          <w:lang w:eastAsia="en-US"/>
        </w:rPr>
        <w:t>,</w:t>
      </w:r>
      <w:r w:rsidRPr="004E1BED" w:rsidR="00A316C0">
        <w:rPr>
          <w:i/>
          <w:lang w:eastAsia="en-US"/>
        </w:rPr>
        <w:t xml:space="preserve"> Ooms and Versyp </w:t>
      </w:r>
      <w:r w:rsidR="00F35F5F">
        <w:rPr>
          <w:lang w:eastAsia="en-US"/>
        </w:rPr>
        <w:t>case,</w:t>
      </w:r>
      <w:r w:rsidRPr="004E1BED" w:rsidR="00A316C0">
        <w:rPr>
          <w:lang w:eastAsia="en-US"/>
        </w:rPr>
        <w:t xml:space="preserve"> the Court also stated as follows in paragraph 20:</w:t>
      </w:r>
    </w:p>
    <w:p w:rsidRPr="004E1BED" w:rsidR="00A316C0" w:rsidP="00A316C0" w:rsidRDefault="00A316C0">
      <w:pPr>
        <w:pStyle w:val="JuQuot"/>
      </w:pPr>
      <w:r w:rsidRPr="004E1BED">
        <w:t>“</w:t>
      </w:r>
      <w:r w:rsidR="00E652BE">
        <w:t>...</w:t>
      </w:r>
    </w:p>
    <w:p w:rsidRPr="004E1BED" w:rsidR="00A316C0" w:rsidP="00A316C0" w:rsidRDefault="00A316C0">
      <w:pPr>
        <w:pStyle w:val="JuQuot"/>
      </w:pPr>
      <w:r w:rsidRPr="004E1BED">
        <w:t>The mere fact that the applicants could have brought and could still bring their claims for damages before a Belgian court does not therefore require the Court to dismiss those claims as being ill-founded any more than it raises an obstacle to their admis</w:t>
      </w:r>
      <w:r w:rsidR="008470E1">
        <w:t>sibility</w:t>
      </w:r>
      <w:r w:rsidR="0083532A">
        <w:t xml:space="preserve"> ...</w:t>
      </w:r>
      <w:r w:rsidRPr="004E1BED">
        <w:t>”</w:t>
      </w:r>
      <w:r w:rsidRPr="004E1BED">
        <w:rPr>
          <w:rStyle w:val="FootnoteReference"/>
        </w:rPr>
        <w:footnoteReference w:id="3"/>
      </w:r>
    </w:p>
    <w:p w:rsidRPr="00677A45" w:rsidR="00A316C0" w:rsidP="00A316C0" w:rsidRDefault="008470E1">
      <w:pPr>
        <w:pStyle w:val="OpiPara"/>
      </w:pPr>
      <w:r>
        <w:t>29.  </w:t>
      </w:r>
      <w:r w:rsidRPr="00677A45" w:rsidR="00A316C0">
        <w:t xml:space="preserve">Moreover, concerning the failure to </w:t>
      </w:r>
      <w:r w:rsidR="00381795">
        <w:t>use</w:t>
      </w:r>
      <w:r w:rsidRPr="00677A45" w:rsidR="00A316C0">
        <w:t xml:space="preserve"> the remedy provided for under Article 1591 of the Civil Code, the Third Section of the Court, in its admissibility decision in </w:t>
      </w:r>
      <w:r w:rsidRPr="00677A45" w:rsidR="00A316C0">
        <w:rPr>
          <w:i/>
        </w:rPr>
        <w:t>Coggiola and Alba</w:t>
      </w:r>
      <w:r>
        <w:rPr>
          <w:i/>
        </w:rPr>
        <w:t xml:space="preserve"> v. Italy </w:t>
      </w:r>
      <w:r w:rsidRPr="008470E1">
        <w:t>(</w:t>
      </w:r>
      <w:r>
        <w:t>(</w:t>
      </w:r>
      <w:r w:rsidRPr="008470E1">
        <w:t>dec.),</w:t>
      </w:r>
      <w:r>
        <w:t xml:space="preserve"> no. 28513/02, 24 February 2005), </w:t>
      </w:r>
      <w:r w:rsidRPr="00677A45" w:rsidR="00A316C0">
        <w:t xml:space="preserve">dismissed the objection of non-exhaustion of </w:t>
      </w:r>
      <w:r w:rsidR="00F35F5F">
        <w:t>domestic</w:t>
      </w:r>
      <w:r w:rsidRPr="00677A45" w:rsidR="00A316C0">
        <w:t xml:space="preserve"> remedies in the following terms:</w:t>
      </w:r>
    </w:p>
    <w:p w:rsidRPr="004E1BED" w:rsidR="00A316C0" w:rsidP="00A316C0" w:rsidRDefault="008470E1">
      <w:pPr>
        <w:pStyle w:val="JuQuot"/>
      </w:pPr>
      <w:r>
        <w:t>“</w:t>
      </w:r>
      <w:r w:rsidRPr="0083532A">
        <w:rPr>
          <w:b/>
        </w:rPr>
        <w:t>B.  </w:t>
      </w:r>
      <w:r w:rsidR="00381795">
        <w:rPr>
          <w:b/>
        </w:rPr>
        <w:t>Failure to use</w:t>
      </w:r>
      <w:r w:rsidRPr="0083532A" w:rsidR="00A316C0">
        <w:rPr>
          <w:b/>
        </w:rPr>
        <w:t xml:space="preserve"> the remedy under Article 1591 of the Civil Code</w:t>
      </w:r>
    </w:p>
    <w:p w:rsidRPr="004E1BED" w:rsidR="00A316C0" w:rsidP="00A316C0" w:rsidRDefault="00A316C0">
      <w:pPr>
        <w:pStyle w:val="JuQuot"/>
      </w:pPr>
      <w:r w:rsidRPr="004E1BED">
        <w:t xml:space="preserve">The Government further submitted that </w:t>
      </w:r>
      <w:r w:rsidR="00F35F5F">
        <w:t>domestic</w:t>
      </w:r>
      <w:r w:rsidRPr="004E1BED">
        <w:t xml:space="preserve"> remedies had not been exhausted, as the applicants had failed to use the remedy provided for under Article 1591 of the Civil Code.</w:t>
      </w:r>
    </w:p>
    <w:p w:rsidRPr="004E1BED" w:rsidR="00A316C0" w:rsidP="00A316C0" w:rsidRDefault="00A316C0">
      <w:pPr>
        <w:pStyle w:val="JuQuot"/>
      </w:pPr>
      <w:r w:rsidRPr="004E1BED">
        <w:t>The applicants observed that they were unable, under Article 1591 of the Civil Code, to obtain compensation for the non-pecuniary damage they had suffered. In any event, they argue</w:t>
      </w:r>
      <w:r w:rsidR="00F35F5F">
        <w:t>d that</w:t>
      </w:r>
      <w:r w:rsidRPr="004E1BED">
        <w:t xml:space="preserve"> in view of the limit on the compensation that could be claimed for pecuniary damage, they would have been awarded </w:t>
      </w:r>
      <w:r w:rsidR="00F35F5F">
        <w:t>an</w:t>
      </w:r>
      <w:r w:rsidRPr="004E1BED">
        <w:t xml:space="preserve"> insignificant sum in relation to the loss actually sustained.</w:t>
      </w:r>
    </w:p>
    <w:p w:rsidRPr="004E1BED" w:rsidR="00A316C0" w:rsidP="00A316C0" w:rsidRDefault="00A316C0">
      <w:pPr>
        <w:pStyle w:val="JuQuot"/>
        <w:rPr>
          <w:lang w:eastAsia="en-US"/>
        </w:rPr>
      </w:pPr>
      <w:r w:rsidRPr="004E1BED">
        <w:t>With regard to the second objection, the Court considers that an action under Article 1591 of the Civil Code – a provision requiring an individual to fulfil an obligation towards another individual – is not an effective way of ensuring that the State acknowledges the alleged breach and awards compensation. In this connection, the Court reiterates that it is only where the national authorities acknowledge a violation of the Convention on the part of the State</w:t>
      </w:r>
      <w:r>
        <w:t>,</w:t>
      </w:r>
      <w:r w:rsidRPr="004E1BED">
        <w:t xml:space="preserve"> and grant reparation</w:t>
      </w:r>
      <w:r>
        <w:t>,</w:t>
      </w:r>
      <w:r w:rsidRPr="004E1BED">
        <w:t xml:space="preserve"> that an applicant will</w:t>
      </w:r>
      <w:r w:rsidR="0083532A">
        <w:t xml:space="preserve"> lose his or her standing as a </w:t>
      </w:r>
      <w:r w:rsidR="00E652BE">
        <w:t>'</w:t>
      </w:r>
      <w:r w:rsidRPr="004E1BED">
        <w:t>victim</w:t>
      </w:r>
      <w:r w:rsidR="00E652BE">
        <w:t>'</w:t>
      </w:r>
      <w:r w:rsidRPr="004E1BED">
        <w:t xml:space="preserve"> (see, </w:t>
      </w:r>
      <w:r w:rsidRPr="004E1BED">
        <w:rPr>
          <w:i/>
        </w:rPr>
        <w:t>mutatis mutandis</w:t>
      </w:r>
      <w:r w:rsidRPr="004E1BED">
        <w:t xml:space="preserve">, </w:t>
      </w:r>
      <w:r w:rsidRPr="004E1BED">
        <w:rPr>
          <w:i/>
          <w:lang w:eastAsia="en-US"/>
        </w:rPr>
        <w:t>Huart v. France</w:t>
      </w:r>
      <w:r w:rsidRPr="004E1BED">
        <w:rPr>
          <w:lang w:eastAsia="en-US"/>
        </w:rPr>
        <w:t>, no.</w:t>
      </w:r>
      <w:r w:rsidR="00F4793B">
        <w:rPr>
          <w:lang w:eastAsia="en-US"/>
        </w:rPr>
        <w:t> </w:t>
      </w:r>
      <w:r w:rsidRPr="004E1BED">
        <w:rPr>
          <w:lang w:eastAsia="en-US"/>
        </w:rPr>
        <w:t>55829/00, 25 November 2003). Consequently, the Government</w:t>
      </w:r>
      <w:r w:rsidR="00E652BE">
        <w:rPr>
          <w:lang w:eastAsia="en-US"/>
        </w:rPr>
        <w:t>'</w:t>
      </w:r>
      <w:r w:rsidRPr="004E1BED">
        <w:rPr>
          <w:lang w:eastAsia="en-US"/>
        </w:rPr>
        <w:t>s objection must be dismissed.”</w:t>
      </w:r>
      <w:r w:rsidRPr="004E1BED">
        <w:rPr>
          <w:rStyle w:val="FootnoteReference"/>
        </w:rPr>
        <w:footnoteReference w:id="4"/>
      </w:r>
    </w:p>
    <w:p w:rsidRPr="00677A45" w:rsidR="00A316C0" w:rsidP="00A316C0" w:rsidRDefault="008470E1">
      <w:pPr>
        <w:pStyle w:val="OpiPara"/>
      </w:pPr>
      <w:r>
        <w:t>30.  </w:t>
      </w:r>
      <w:r w:rsidRPr="00677A45" w:rsidR="00A316C0">
        <w:t xml:space="preserve">I find it inconsistent to dismiss the objection of non-exhaustion of </w:t>
      </w:r>
      <w:r w:rsidRPr="00F35F5F" w:rsidR="00F35F5F">
        <w:t>domestic</w:t>
      </w:r>
      <w:r w:rsidRPr="00677A45" w:rsidR="00A316C0">
        <w:t xml:space="preserve"> remedies whilst accepting, as in the present case, that Article 1591 of the Civil Code provides an adequate remedy in terms of just satisfaction.</w:t>
      </w:r>
    </w:p>
    <w:p w:rsidRPr="004E1BED" w:rsidR="00A316C0" w:rsidP="00A316C0" w:rsidRDefault="008470E1">
      <w:pPr>
        <w:pStyle w:val="JuPara"/>
        <w:rPr>
          <w:lang w:eastAsia="en-US"/>
        </w:rPr>
      </w:pPr>
      <w:r>
        <w:t>31.  </w:t>
      </w:r>
      <w:r w:rsidRPr="004E1BED" w:rsidR="00A316C0">
        <w:t xml:space="preserve">It may be added that, in the present case, proceedings under Article 1591 of the Civil Code would </w:t>
      </w:r>
      <w:r w:rsidR="00A316C0">
        <w:t>normally</w:t>
      </w:r>
      <w:r w:rsidRPr="004E1BED" w:rsidR="00A316C0">
        <w:t xml:space="preserve"> result in </w:t>
      </w:r>
      <w:r w:rsidR="00A316C0">
        <w:t xml:space="preserve">no more than a token </w:t>
      </w:r>
      <w:r w:rsidRPr="004E1BED" w:rsidR="00A316C0">
        <w:t>award of compensation, being limited, during the periods of statutory suspension of enforcement, to</w:t>
      </w:r>
      <w:r w:rsidR="00A316C0">
        <w:t xml:space="preserve"> </w:t>
      </w:r>
      <w:r w:rsidRPr="004E1BED" w:rsidR="00A316C0">
        <w:t>20% of the rent, which</w:t>
      </w:r>
      <w:r w:rsidR="00F35F5F">
        <w:t xml:space="preserve"> in turn</w:t>
      </w:r>
      <w:r w:rsidRPr="004E1BED" w:rsidR="00A316C0">
        <w:t xml:space="preserve"> is already limited in most cases as it is </w:t>
      </w:r>
      <w:r w:rsidR="00AD60F3">
        <w:t>fixed</w:t>
      </w:r>
      <w:r w:rsidRPr="004E1BED" w:rsidR="00A316C0">
        <w:t xml:space="preserve"> by law (see </w:t>
      </w:r>
      <w:r>
        <w:t>paragraphs</w:t>
      </w:r>
      <w:r w:rsidRPr="004E1BED" w:rsidR="00A316C0">
        <w:t xml:space="preserve"> 20 and 24 of the judgment). Any possible action under</w:t>
      </w:r>
      <w:r w:rsidR="00A316C0">
        <w:t xml:space="preserve"> domestic</w:t>
      </w:r>
      <w:r w:rsidRPr="004E1BED" w:rsidR="00A316C0">
        <w:t xml:space="preserve"> law must therefore be assessed in the light of </w:t>
      </w:r>
      <w:r w:rsidR="00A316C0">
        <w:t>those conditions</w:t>
      </w:r>
      <w:r w:rsidRPr="004E1BED" w:rsidR="00A316C0">
        <w:t xml:space="preserve">. I would </w:t>
      </w:r>
      <w:r w:rsidR="00381795">
        <w:t>point out</w:t>
      </w:r>
      <w:r w:rsidRPr="004E1BED" w:rsidR="00A316C0">
        <w:t xml:space="preserve"> that, in accordance with the Court</w:t>
      </w:r>
      <w:r w:rsidR="00E652BE">
        <w:t>'</w:t>
      </w:r>
      <w:r w:rsidRPr="004E1BED" w:rsidR="00A316C0">
        <w:t xml:space="preserve">s case-law, the </w:t>
      </w:r>
      <w:r w:rsidR="00A316C0">
        <w:t>effectiveness</w:t>
      </w:r>
      <w:r w:rsidRPr="004E1BED" w:rsidR="00A316C0">
        <w:t xml:space="preserve"> of an action may also depend on the level of compensation (see, among other authorities, </w:t>
      </w:r>
      <w:r w:rsidRPr="004E1BED" w:rsidR="00A316C0">
        <w:rPr>
          <w:i/>
          <w:lang w:eastAsia="en-US"/>
        </w:rPr>
        <w:t>Paulino Tom</w:t>
      </w:r>
      <w:r w:rsidR="00381795">
        <w:rPr>
          <w:i/>
          <w:lang w:eastAsia="en-US"/>
        </w:rPr>
        <w:t>á</w:t>
      </w:r>
      <w:r w:rsidRPr="004E1BED" w:rsidR="00A316C0">
        <w:rPr>
          <w:i/>
          <w:lang w:eastAsia="en-US"/>
        </w:rPr>
        <w:t xml:space="preserve">s v. Portugal </w:t>
      </w:r>
      <w:r w:rsidRPr="004E1BED" w:rsidR="00A316C0">
        <w:rPr>
          <w:lang w:eastAsia="en-US"/>
        </w:rPr>
        <w:t>(dec</w:t>
      </w:r>
      <w:r>
        <w:rPr>
          <w:lang w:eastAsia="en-US"/>
        </w:rPr>
        <w:t>.), no. 58698/00, ECHR 2003-</w:t>
      </w:r>
      <w:r w:rsidRPr="004E1BED" w:rsidR="00A316C0">
        <w:rPr>
          <w:lang w:eastAsia="en-US"/>
        </w:rPr>
        <w:t>VIII</w:t>
      </w:r>
      <w:r w:rsidR="004076E2">
        <w:rPr>
          <w:lang w:eastAsia="en-US"/>
        </w:rPr>
        <w:t>,</w:t>
      </w:r>
      <w:r w:rsidRPr="004E1BED" w:rsidR="00A316C0">
        <w:rPr>
          <w:lang w:eastAsia="en-US"/>
        </w:rPr>
        <w:t xml:space="preserve"> and </w:t>
      </w:r>
      <w:r>
        <w:rPr>
          <w:i/>
        </w:rPr>
        <w:t xml:space="preserve">Gouveia Da Silva Torrado v. </w:t>
      </w:r>
      <w:r w:rsidRPr="004E1BED" w:rsidR="00A316C0">
        <w:rPr>
          <w:i/>
        </w:rPr>
        <w:t>Portugal</w:t>
      </w:r>
      <w:r w:rsidRPr="004E1BED" w:rsidR="00A316C0">
        <w:t xml:space="preserve"> (dec.), no. 65305/01, </w:t>
      </w:r>
      <w:smartTag w:uri="urn:schemas-microsoft-com:office:smarttags" w:element="date">
        <w:smartTagPr>
          <w:attr w:name="Month" w:val="3"/>
          <w:attr w:name="Day" w:val="27"/>
          <w:attr w:name="Year" w:val="2003"/>
        </w:smartTagPr>
        <w:r w:rsidR="00A316C0" w:rsidRPr="004E1BED">
          <w:t>27 March 2003</w:t>
        </w:r>
      </w:smartTag>
      <w:r w:rsidRPr="004E1BED" w:rsidR="00A316C0">
        <w:t>).</w:t>
      </w:r>
    </w:p>
    <w:p w:rsidRPr="004E1BED" w:rsidR="00A316C0" w:rsidP="00A316C0" w:rsidRDefault="008470E1">
      <w:pPr>
        <w:pStyle w:val="OpiPara"/>
      </w:pPr>
      <w:r>
        <w:t>32.  </w:t>
      </w:r>
      <w:r w:rsidRPr="004E1BED" w:rsidR="00A316C0">
        <w:t>In addition, in the present case, the Government failed to produce any precedents to show that landlords have been successful in such proceedings.</w:t>
      </w:r>
    </w:p>
    <w:p w:rsidRPr="004E1BED" w:rsidR="00A316C0" w:rsidP="00A316C0" w:rsidRDefault="008470E1">
      <w:pPr>
        <w:pStyle w:val="OpiPara"/>
      </w:pPr>
      <w:r>
        <w:t>33.  </w:t>
      </w:r>
      <w:r w:rsidRPr="004E1BED" w:rsidR="00A316C0">
        <w:t xml:space="preserve">Concerning the risk of double </w:t>
      </w:r>
      <w:r w:rsidR="00A316C0">
        <w:t>compensation</w:t>
      </w:r>
      <w:r w:rsidRPr="004E1BED" w:rsidR="00A316C0">
        <w:t xml:space="preserve">, it should be noted that, in </w:t>
      </w:r>
      <w:r w:rsidR="00F35F5F">
        <w:t>principle</w:t>
      </w:r>
      <w:r w:rsidRPr="004E1BED" w:rsidR="00A316C0">
        <w:t xml:space="preserve">, the existence of Article 1591 of the Civil Code would not lead to two awards, one </w:t>
      </w:r>
      <w:r w:rsidR="00A316C0">
        <w:t>by</w:t>
      </w:r>
      <w:r w:rsidRPr="004E1BED" w:rsidR="00A316C0">
        <w:t xml:space="preserve"> domestic courts and another potentially </w:t>
      </w:r>
      <w:r w:rsidR="00A316C0">
        <w:t>by</w:t>
      </w:r>
      <w:r w:rsidRPr="004E1BED" w:rsidR="00A316C0">
        <w:t xml:space="preserve"> this Court, in respect of the same damage. Even though the damage may be </w:t>
      </w:r>
      <w:r w:rsidR="00A316C0">
        <w:t>the same</w:t>
      </w:r>
      <w:r w:rsidRPr="004E1BED" w:rsidR="00A316C0">
        <w:t>,</w:t>
      </w:r>
      <w:r w:rsidR="00F35F5F">
        <w:t xml:space="preserve"> liability is borne</w:t>
      </w:r>
      <w:r w:rsidR="00A316C0">
        <w:t xml:space="preserve"> on two distinct levels, </w:t>
      </w:r>
      <w:r w:rsidR="00F35F5F">
        <w:t>that of</w:t>
      </w:r>
      <w:r w:rsidR="00A316C0">
        <w:t xml:space="preserve"> </w:t>
      </w:r>
      <w:r w:rsidRPr="004E1BED" w:rsidR="00A316C0">
        <w:t xml:space="preserve">the State and </w:t>
      </w:r>
      <w:r w:rsidR="00F35F5F">
        <w:t>that of</w:t>
      </w:r>
      <w:r w:rsidRPr="004E1BED" w:rsidR="00A316C0">
        <w:t xml:space="preserve"> the tenant.</w:t>
      </w:r>
    </w:p>
    <w:p w:rsidRPr="004E1BED" w:rsidR="00A316C0" w:rsidP="00A316C0" w:rsidRDefault="008470E1">
      <w:pPr>
        <w:pStyle w:val="OpiPara"/>
      </w:pPr>
      <w:r>
        <w:t>34.  </w:t>
      </w:r>
      <w:r w:rsidR="00F35F5F">
        <w:t>In practice, too, d</w:t>
      </w:r>
      <w:r w:rsidRPr="004E1BED" w:rsidR="00A316C0">
        <w:t xml:space="preserve">ouble </w:t>
      </w:r>
      <w:r w:rsidR="00A316C0">
        <w:t>compensation</w:t>
      </w:r>
      <w:r w:rsidRPr="004E1BED" w:rsidR="00A316C0">
        <w:t xml:space="preserve"> </w:t>
      </w:r>
      <w:r w:rsidR="00F35F5F">
        <w:t>can</w:t>
      </w:r>
      <w:r w:rsidRPr="004E1BED" w:rsidR="00A316C0">
        <w:t xml:space="preserve"> be avoided.</w:t>
      </w:r>
    </w:p>
    <w:p w:rsidRPr="004E1BED" w:rsidR="00A316C0" w:rsidP="00A316C0" w:rsidRDefault="008470E1">
      <w:pPr>
        <w:pStyle w:val="OpiPara"/>
      </w:pPr>
      <w:r>
        <w:t>35.  </w:t>
      </w:r>
      <w:r w:rsidRPr="004E1BED" w:rsidR="00A316C0">
        <w:t>I</w:t>
      </w:r>
      <w:r w:rsidR="00F4793B">
        <w:t>f</w:t>
      </w:r>
      <w:r w:rsidRPr="004E1BED" w:rsidR="00A316C0">
        <w:t xml:space="preserve"> the applicants </w:t>
      </w:r>
      <w:r w:rsidR="00F4793B">
        <w:t xml:space="preserve">had </w:t>
      </w:r>
      <w:r w:rsidRPr="004E1BED" w:rsidR="00A316C0">
        <w:t>already received compensation prior to th</w:t>
      </w:r>
      <w:r w:rsidR="00A316C0">
        <w:t>is</w:t>
      </w:r>
      <w:r w:rsidRPr="004E1BED" w:rsidR="00A316C0">
        <w:t xml:space="preserve"> Court</w:t>
      </w:r>
      <w:r w:rsidR="00E652BE">
        <w:t>'</w:t>
      </w:r>
      <w:r w:rsidRPr="004E1BED" w:rsidR="00A316C0">
        <w:t xml:space="preserve">s judgment, the Court would have been informed of the reimbursement that they </w:t>
      </w:r>
      <w:r w:rsidR="00A316C0">
        <w:t>had succeeded in</w:t>
      </w:r>
      <w:r w:rsidRPr="004E1BED" w:rsidR="00A316C0">
        <w:t xml:space="preserve"> obtain</w:t>
      </w:r>
      <w:r w:rsidR="00A316C0">
        <w:t>ing</w:t>
      </w:r>
      <w:r w:rsidRPr="004E1BED" w:rsidR="00A316C0">
        <w:t xml:space="preserve"> through the domestic courts.</w:t>
      </w:r>
    </w:p>
    <w:p w:rsidRPr="004E1BED" w:rsidR="00A316C0" w:rsidP="00A316C0" w:rsidRDefault="008470E1">
      <w:pPr>
        <w:pStyle w:val="JuPara"/>
        <w:rPr>
          <w:lang w:eastAsia="en-US"/>
        </w:rPr>
      </w:pPr>
      <w:r>
        <w:t>36.  </w:t>
      </w:r>
      <w:r w:rsidRPr="004E1BED" w:rsidR="00A316C0">
        <w:t xml:space="preserve">Similarly, the domestic courts, in </w:t>
      </w:r>
      <w:r w:rsidR="00A316C0">
        <w:t>examining</w:t>
      </w:r>
      <w:r w:rsidRPr="004E1BED" w:rsidR="00A316C0">
        <w:t xml:space="preserve"> </w:t>
      </w:r>
      <w:r w:rsidR="00F4793B">
        <w:t>a hypothetical</w:t>
      </w:r>
      <w:r w:rsidRPr="004E1BED" w:rsidR="00A316C0">
        <w:t xml:space="preserve"> case referred to them after </w:t>
      </w:r>
      <w:r w:rsidR="00A316C0">
        <w:t xml:space="preserve">an </w:t>
      </w:r>
      <w:r w:rsidRPr="004E1BED" w:rsidR="00A316C0">
        <w:t xml:space="preserve">award of just satisfaction </w:t>
      </w:r>
      <w:r w:rsidR="00A316C0">
        <w:t xml:space="preserve">by this Court </w:t>
      </w:r>
      <w:r w:rsidRPr="004E1BED" w:rsidR="00A316C0">
        <w:t xml:space="preserve">in respect of pecuniary damage, could </w:t>
      </w:r>
      <w:r w:rsidR="00F4793B">
        <w:t>take</w:t>
      </w:r>
      <w:r w:rsidRPr="004E1BED" w:rsidR="00A316C0">
        <w:t xml:space="preserve"> account of any sum that the Court m</w:t>
      </w:r>
      <w:r w:rsidR="00F4793B">
        <w:t>ight</w:t>
      </w:r>
      <w:r w:rsidRPr="004E1BED" w:rsidR="00A316C0">
        <w:t xml:space="preserve"> have awarded to the applicants (see, </w:t>
      </w:r>
      <w:r w:rsidRPr="004E1BED" w:rsidR="00A316C0">
        <w:rPr>
          <w:i/>
        </w:rPr>
        <w:t>mutatis mutandis</w:t>
      </w:r>
      <w:r w:rsidRPr="004E1BED" w:rsidR="00A316C0">
        <w:t xml:space="preserve">, </w:t>
      </w:r>
      <w:r w:rsidRPr="004E1BED" w:rsidR="00A316C0">
        <w:rPr>
          <w:i/>
          <w:lang w:eastAsia="en-US"/>
        </w:rPr>
        <w:t xml:space="preserve">Terazzi S.r.l. v. Italy </w:t>
      </w:r>
      <w:r w:rsidRPr="004E1BED" w:rsidR="00A316C0">
        <w:rPr>
          <w:lang w:eastAsia="en-US"/>
        </w:rPr>
        <w:t>(friendly settlement), no. 27265/95, 26 October 2004).</w:t>
      </w:r>
    </w:p>
    <w:p w:rsidRPr="004E1BED" w:rsidR="00A316C0" w:rsidP="00A316C0" w:rsidRDefault="008470E1">
      <w:pPr>
        <w:pStyle w:val="OpiPara"/>
      </w:pPr>
      <w:r>
        <w:t>37.  </w:t>
      </w:r>
      <w:r w:rsidRPr="004E1BED" w:rsidR="00A316C0">
        <w:t xml:space="preserve">That is why I disagree with the </w:t>
      </w:r>
      <w:r w:rsidRPr="004E1BED" w:rsidR="00A316C0">
        <w:rPr>
          <w:i/>
        </w:rPr>
        <w:t>reasons</w:t>
      </w:r>
      <w:r w:rsidRPr="004E1BED" w:rsidR="00A316C0">
        <w:t xml:space="preserve"> given in the judgment for the dismissal of the claim for just satisfaction in respect of pecuniary damage. That reasoning, even though it is </w:t>
      </w:r>
      <w:r w:rsidR="00A316C0">
        <w:t>consistent</w:t>
      </w:r>
      <w:r w:rsidRPr="004E1BED" w:rsidR="00A316C0">
        <w:t xml:space="preserve"> with </w:t>
      </w:r>
      <w:r w:rsidR="00A316C0">
        <w:t xml:space="preserve">that of </w:t>
      </w:r>
      <w:r w:rsidRPr="004E1BED" w:rsidR="00A316C0">
        <w:t xml:space="preserve">the </w:t>
      </w:r>
      <w:r w:rsidRPr="004E1BED" w:rsidR="00A316C0">
        <w:rPr>
          <w:i/>
        </w:rPr>
        <w:t>Mascolo</w:t>
      </w:r>
      <w:r w:rsidRPr="004E1BED" w:rsidR="00A316C0">
        <w:t xml:space="preserve"> judgment, </w:t>
      </w:r>
      <w:r w:rsidR="00A316C0">
        <w:t xml:space="preserve">is </w:t>
      </w:r>
      <w:r w:rsidRPr="004E1BED" w:rsidR="00A316C0">
        <w:t xml:space="preserve">nevertheless </w:t>
      </w:r>
      <w:r w:rsidR="00A316C0">
        <w:t>at odds with</w:t>
      </w:r>
      <w:r w:rsidRPr="004E1BED" w:rsidR="00A316C0">
        <w:t xml:space="preserve"> the Court</w:t>
      </w:r>
      <w:r w:rsidR="00E652BE">
        <w:t>'</w:t>
      </w:r>
      <w:r w:rsidRPr="004E1BED" w:rsidR="00A316C0">
        <w:t xml:space="preserve">s traditional approach, which is well illustrated in the </w:t>
      </w:r>
      <w:r w:rsidRPr="004E1BED" w:rsidR="00A316C0">
        <w:rPr>
          <w:i/>
          <w:lang w:eastAsia="en-US"/>
        </w:rPr>
        <w:t>De Wilde</w:t>
      </w:r>
      <w:r w:rsidRPr="004E1BED" w:rsidR="00A316C0">
        <w:rPr>
          <w:i/>
          <w:iCs/>
          <w:lang w:eastAsia="en-US"/>
        </w:rPr>
        <w:t>,</w:t>
      </w:r>
      <w:r w:rsidRPr="004E1BED" w:rsidR="00A316C0">
        <w:rPr>
          <w:i/>
          <w:lang w:eastAsia="en-US"/>
        </w:rPr>
        <w:t xml:space="preserve"> Ooms and Versyp</w:t>
      </w:r>
      <w:r w:rsidRPr="004E1BED" w:rsidR="00A316C0">
        <w:rPr>
          <w:lang w:eastAsia="en-US"/>
        </w:rPr>
        <w:t xml:space="preserve"> </w:t>
      </w:r>
      <w:r w:rsidRPr="004E1BED" w:rsidR="00F4793B">
        <w:t xml:space="preserve">judgment </w:t>
      </w:r>
      <w:r w:rsidR="00381795">
        <w:t>cited above</w:t>
      </w:r>
      <w:r w:rsidR="00F4793B">
        <w:t xml:space="preserve"> </w:t>
      </w:r>
      <w:r w:rsidRPr="004E1BED" w:rsidR="00A316C0">
        <w:rPr>
          <w:lang w:eastAsia="en-US"/>
        </w:rPr>
        <w:t xml:space="preserve">and has </w:t>
      </w:r>
      <w:r w:rsidR="00A316C0">
        <w:rPr>
          <w:lang w:eastAsia="en-US"/>
        </w:rPr>
        <w:t xml:space="preserve">since </w:t>
      </w:r>
      <w:r w:rsidRPr="004E1BED" w:rsidR="00A316C0">
        <w:rPr>
          <w:lang w:eastAsia="en-US"/>
        </w:rPr>
        <w:t>been confirmed in many other judgments.</w:t>
      </w:r>
    </w:p>
    <w:p w:rsidRPr="004E1BED" w:rsidR="00A316C0" w:rsidP="00A316C0" w:rsidRDefault="008470E1">
      <w:pPr>
        <w:pStyle w:val="OpiPara"/>
      </w:pPr>
      <w:r>
        <w:t>38.  </w:t>
      </w:r>
      <w:r w:rsidRPr="004E1BED" w:rsidR="00A316C0">
        <w:t xml:space="preserve">It would thus have been preferable </w:t>
      </w:r>
      <w:r w:rsidR="00A316C0">
        <w:t>for</w:t>
      </w:r>
      <w:r w:rsidRPr="004E1BED" w:rsidR="00A316C0">
        <w:t xml:space="preserve"> the Chamber </w:t>
      </w:r>
      <w:r w:rsidR="00A316C0">
        <w:t>to have</w:t>
      </w:r>
      <w:r w:rsidRPr="004E1BED" w:rsidR="00A316C0">
        <w:t xml:space="preserve"> relinquished jurisdiction </w:t>
      </w:r>
      <w:r w:rsidR="00F4793B">
        <w:t>in favour of</w:t>
      </w:r>
      <w:r w:rsidRPr="004E1BED" w:rsidR="00A316C0">
        <w:t xml:space="preserve"> the </w:t>
      </w:r>
      <w:r w:rsidRPr="004E1BED" w:rsidR="00A316C0">
        <w:rPr>
          <w:lang w:eastAsia="en-US"/>
        </w:rPr>
        <w:t xml:space="preserve">Grand Chamber, </w:t>
      </w:r>
      <w:r w:rsidR="00F4793B">
        <w:rPr>
          <w:lang w:eastAsia="en-US"/>
        </w:rPr>
        <w:t>provided there was no objection by</w:t>
      </w:r>
      <w:r w:rsidRPr="004E1BED" w:rsidR="00A316C0">
        <w:rPr>
          <w:lang w:eastAsia="en-US"/>
        </w:rPr>
        <w:t xml:space="preserve"> one of the parties.</w:t>
      </w:r>
    </w:p>
    <w:p w:rsidRPr="004E1BED" w:rsidR="00A316C0" w:rsidP="00A316C0" w:rsidRDefault="00A316C0">
      <w:pPr>
        <w:pStyle w:val="OpiPara"/>
        <w:tabs>
          <w:tab w:val="left" w:pos="2820"/>
        </w:tabs>
      </w:pPr>
    </w:p>
    <w:sectPr w:rsidRPr="004E1BED" w:rsidR="00A316C0" w:rsidSect="0009053A">
      <w:headerReference w:type="even" r:id="rId10"/>
      <w:headerReference w:type="default" r:id="rId11"/>
      <w:footnotePr>
        <w:numRestart w:val="eachPage"/>
      </w:footnotePr>
      <w:type w:val="continuous"/>
      <w:pgSz w:w="11906" w:h="16838" w:code="9"/>
      <w:pgMar w:top="2274" w:right="2274" w:bottom="2274" w:left="2274" w:header="1701" w:footer="720" w:gutter="0"/>
      <w:cols w:space="720"/>
      <w:titlePg/>
      <w:docGrid w:linePitch="7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5F5F" w:rsidRDefault="00F35F5F">
      <w:r>
        <w:separator/>
      </w:r>
    </w:p>
  </w:endnote>
  <w:endnote w:type="continuationSeparator" w:id="0">
    <w:p w:rsidR="00F35F5F" w:rsidRDefault="00F35F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5F5F" w:rsidRDefault="00F35F5F">
      <w:r>
        <w:separator/>
      </w:r>
    </w:p>
  </w:footnote>
  <w:footnote w:type="continuationSeparator" w:id="0">
    <w:p w:rsidR="00F35F5F" w:rsidRDefault="00F35F5F">
      <w:r>
        <w:continuationSeparator/>
      </w:r>
    </w:p>
  </w:footnote>
  <w:footnote w:id="1">
    <w:p w:rsidR="00F35F5F" w:rsidRPr="008F2B65" w:rsidRDefault="008470E1" w:rsidP="00A316C0">
      <w:pPr>
        <w:pStyle w:val="FootnoteText"/>
      </w:pPr>
      <w:r>
        <w:t>1.  </w:t>
      </w:r>
      <w:r w:rsidR="00F35F5F">
        <w:t xml:space="preserve">It is appropriate in this connection to point out that on 9 September 2003 the </w:t>
      </w:r>
      <w:r w:rsidR="00F35F5F" w:rsidRPr="000062B2">
        <w:t>Committee of Ministers</w:t>
      </w:r>
      <w:r w:rsidR="00F35F5F">
        <w:t xml:space="preserve"> adopted a r</w:t>
      </w:r>
      <w:r w:rsidR="00F35F5F" w:rsidRPr="000062B2">
        <w:t xml:space="preserve">ecommendation </w:t>
      </w:r>
      <w:r w:rsidR="00F35F5F">
        <w:t>(</w:t>
      </w:r>
      <w:r w:rsidR="00F35F5F" w:rsidRPr="000062B2">
        <w:t>Rec(2003)17</w:t>
      </w:r>
      <w:r w:rsidR="00F35F5F">
        <w:t>)</w:t>
      </w:r>
      <w:r w:rsidR="00F35F5F" w:rsidRPr="000062B2">
        <w:t xml:space="preserve"> </w:t>
      </w:r>
      <w:r w:rsidR="00F35F5F">
        <w:t>concerning the</w:t>
      </w:r>
      <w:r w:rsidR="00F35F5F" w:rsidRPr="000062B2">
        <w:t xml:space="preserve"> enforcement</w:t>
      </w:r>
      <w:r w:rsidR="00F35F5F">
        <w:t xml:space="preserve"> of judicial decisions. It </w:t>
      </w:r>
      <w:r w:rsidR="00F35F5F">
        <w:rPr>
          <w:bCs/>
          <w:iCs/>
        </w:rPr>
        <w:t>a</w:t>
      </w:r>
      <w:r w:rsidR="00F35F5F" w:rsidRPr="000062B2">
        <w:rPr>
          <w:bCs/>
          <w:iCs/>
        </w:rPr>
        <w:t>cknowledg</w:t>
      </w:r>
      <w:r w:rsidR="00F35F5F">
        <w:rPr>
          <w:bCs/>
          <w:iCs/>
        </w:rPr>
        <w:t>es</w:t>
      </w:r>
      <w:r w:rsidR="00F35F5F" w:rsidRPr="000062B2">
        <w:rPr>
          <w:bCs/>
          <w:iCs/>
        </w:rPr>
        <w:t xml:space="preserve"> that the rule of law </w:t>
      </w:r>
      <w:r w:rsidR="00F35F5F">
        <w:rPr>
          <w:bCs/>
          <w:iCs/>
        </w:rPr>
        <w:t xml:space="preserve">is a </w:t>
      </w:r>
      <w:r w:rsidR="00F35F5F" w:rsidRPr="000062B2">
        <w:rPr>
          <w:bCs/>
          <w:iCs/>
        </w:rPr>
        <w:t xml:space="preserve">principle </w:t>
      </w:r>
      <w:r w:rsidR="00F35F5F">
        <w:rPr>
          <w:bCs/>
          <w:iCs/>
        </w:rPr>
        <w:t xml:space="preserve">that </w:t>
      </w:r>
      <w:r w:rsidR="00F35F5F" w:rsidRPr="000062B2">
        <w:rPr>
          <w:bCs/>
          <w:iCs/>
        </w:rPr>
        <w:t>can only be a reality if citizens can, in practice, assert their legal rig</w:t>
      </w:r>
      <w:r w:rsidR="00F35F5F">
        <w:rPr>
          <w:bCs/>
          <w:iCs/>
        </w:rPr>
        <w:t xml:space="preserve">hts and challenge unlawful acts. It calls for </w:t>
      </w:r>
      <w:r w:rsidR="00F35F5F" w:rsidRPr="000062B2">
        <w:t>greater efficiency and fairness in the enforcement of judgments in civil cases</w:t>
      </w:r>
      <w:r w:rsidR="00F35F5F">
        <w:t>, to</w:t>
      </w:r>
      <w:r w:rsidR="00F35F5F" w:rsidRPr="000062B2">
        <w:t xml:space="preserve"> strike a positive balance between the rights and interests of the parties to the enforcement process</w:t>
      </w:r>
      <w:r w:rsidR="00F35F5F">
        <w:t>. Failing that, “</w:t>
      </w:r>
      <w:r w:rsidR="00F35F5F" w:rsidRPr="000062B2">
        <w:rPr>
          <w:bCs/>
        </w:rPr>
        <w:t xml:space="preserve">other forms of </w:t>
      </w:r>
      <w:r w:rsidR="00F35F5F">
        <w:rPr>
          <w:bCs/>
        </w:rPr>
        <w:t>‘</w:t>
      </w:r>
      <w:r w:rsidR="00F35F5F" w:rsidRPr="000062B2">
        <w:rPr>
          <w:bCs/>
        </w:rPr>
        <w:t>private justice</w:t>
      </w:r>
      <w:r w:rsidR="00F35F5F">
        <w:rPr>
          <w:bCs/>
        </w:rPr>
        <w:t>’</w:t>
      </w:r>
      <w:r w:rsidR="00F35F5F" w:rsidRPr="000062B2">
        <w:rPr>
          <w:bCs/>
        </w:rPr>
        <w:t xml:space="preserve"> may flourish and have adverse consequences on the public’s confidence in the legal system and its credibility</w:t>
      </w:r>
      <w:r w:rsidR="00F35F5F">
        <w:rPr>
          <w:bCs/>
        </w:rPr>
        <w:t>”.</w:t>
      </w:r>
    </w:p>
  </w:footnote>
  <w:footnote w:id="2">
    <w:p w:rsidR="00F35F5F" w:rsidRPr="003E3188" w:rsidRDefault="008470E1" w:rsidP="00A316C0">
      <w:pPr>
        <w:pStyle w:val="JuPara"/>
        <w:ind w:firstLine="0"/>
        <w:rPr>
          <w:sz w:val="20"/>
          <w:lang w:eastAsia="en-US"/>
        </w:rPr>
      </w:pPr>
      <w:r>
        <w:rPr>
          <w:sz w:val="20"/>
        </w:rPr>
        <w:t>1.  </w:t>
      </w:r>
      <w:r w:rsidR="00F35F5F" w:rsidRPr="002F1072">
        <w:rPr>
          <w:sz w:val="20"/>
        </w:rPr>
        <w:t>See,</w:t>
      </w:r>
      <w:r w:rsidR="00F35F5F" w:rsidRPr="00F35F5F">
        <w:rPr>
          <w:sz w:val="20"/>
        </w:rPr>
        <w:t xml:space="preserve"> to the same effect</w:t>
      </w:r>
      <w:r w:rsidR="00F35F5F" w:rsidRPr="002F1072">
        <w:rPr>
          <w:sz w:val="20"/>
        </w:rPr>
        <w:t xml:space="preserve">, </w:t>
      </w:r>
      <w:r w:rsidR="00F35F5F" w:rsidRPr="002F1072">
        <w:rPr>
          <w:i/>
          <w:sz w:val="20"/>
          <w:lang w:eastAsia="en-US"/>
        </w:rPr>
        <w:t>Ringeisen v. Austria</w:t>
      </w:r>
      <w:r w:rsidR="00F35F5F" w:rsidRPr="002F1072">
        <w:rPr>
          <w:sz w:val="20"/>
          <w:lang w:eastAsia="en-US"/>
        </w:rPr>
        <w:t xml:space="preserve"> (Article 50), judgment of 22 June 1972, Series A no. 15, p. 9, § 22; </w:t>
      </w:r>
      <w:r w:rsidR="00F35F5F" w:rsidRPr="002F1072">
        <w:rPr>
          <w:i/>
          <w:sz w:val="20"/>
          <w:lang w:eastAsia="en-US"/>
        </w:rPr>
        <w:t>König v. Germany</w:t>
      </w:r>
      <w:r w:rsidR="00F35F5F" w:rsidRPr="002F1072">
        <w:rPr>
          <w:sz w:val="20"/>
          <w:lang w:eastAsia="en-US"/>
        </w:rPr>
        <w:t xml:space="preserve"> (Article 50), judgment of 10 March 1980, Series A no. 36, pp. 14-15, § 15; </w:t>
      </w:r>
      <w:r w:rsidR="00F35F5F" w:rsidRPr="002F1072">
        <w:rPr>
          <w:i/>
          <w:sz w:val="20"/>
          <w:lang w:eastAsia="en-US"/>
        </w:rPr>
        <w:t>Artico v. Italy</w:t>
      </w:r>
      <w:r w:rsidR="00F35F5F" w:rsidRPr="002F1072">
        <w:rPr>
          <w:sz w:val="20"/>
          <w:lang w:eastAsia="en-US"/>
        </w:rPr>
        <w:t xml:space="preserve">, judgment of 13 May 1980, Series A no. 37, </w:t>
      </w:r>
      <w:r>
        <w:rPr>
          <w:sz w:val="20"/>
          <w:lang w:eastAsia="en-US"/>
        </w:rPr>
        <w:t>p</w:t>
      </w:r>
      <w:r w:rsidR="00F35F5F" w:rsidRPr="002F1072">
        <w:rPr>
          <w:sz w:val="20"/>
          <w:lang w:eastAsia="en-US"/>
        </w:rPr>
        <w:t xml:space="preserve">p. 20-21, § 44; </w:t>
      </w:r>
      <w:r w:rsidR="00F35F5F" w:rsidRPr="002F1072">
        <w:rPr>
          <w:i/>
          <w:sz w:val="20"/>
          <w:lang w:eastAsia="en-US"/>
        </w:rPr>
        <w:t>Guzzardi v. Italy</w:t>
      </w:r>
      <w:r w:rsidR="00F35F5F" w:rsidRPr="002F1072">
        <w:rPr>
          <w:sz w:val="20"/>
          <w:lang w:eastAsia="en-US"/>
        </w:rPr>
        <w:t xml:space="preserve">, judgment of 6 November 1980, Series A no. 39, pp. 41-42, § 113; </w:t>
      </w:r>
      <w:r w:rsidR="00F35F5F" w:rsidRPr="002F1072">
        <w:rPr>
          <w:i/>
          <w:sz w:val="20"/>
          <w:lang w:eastAsia="en-US"/>
        </w:rPr>
        <w:t>Eckle v. Germany</w:t>
      </w:r>
      <w:r w:rsidR="00F35F5F" w:rsidRPr="002F1072">
        <w:rPr>
          <w:sz w:val="20"/>
          <w:lang w:eastAsia="en-US"/>
        </w:rPr>
        <w:t xml:space="preserve"> (Article 50), judgment of 21 June 19</w:t>
      </w:r>
      <w:r w:rsidR="00F35F5F">
        <w:rPr>
          <w:sz w:val="20"/>
          <w:lang w:eastAsia="en-US"/>
        </w:rPr>
        <w:t>83, Series A no. 65, p. 7, § 13;</w:t>
      </w:r>
      <w:r w:rsidR="00F35F5F" w:rsidRPr="003E3188">
        <w:rPr>
          <w:sz w:val="20"/>
          <w:lang w:eastAsia="en-US"/>
        </w:rPr>
        <w:t xml:space="preserve"> </w:t>
      </w:r>
      <w:bookmarkStart w:id="1" w:name="File0"/>
      <w:r w:rsidR="00F35F5F" w:rsidRPr="003E3188">
        <w:rPr>
          <w:i/>
          <w:sz w:val="20"/>
          <w:lang w:eastAsia="en-US"/>
        </w:rPr>
        <w:t>Bozano</w:t>
      </w:r>
      <w:bookmarkEnd w:id="1"/>
      <w:r w:rsidR="00F35F5F" w:rsidRPr="003E3188">
        <w:rPr>
          <w:i/>
          <w:sz w:val="20"/>
          <w:lang w:eastAsia="en-US"/>
        </w:rPr>
        <w:t xml:space="preserve"> v. France</w:t>
      </w:r>
      <w:r w:rsidR="00F35F5F" w:rsidRPr="003E3188">
        <w:rPr>
          <w:sz w:val="20"/>
          <w:lang w:eastAsia="en-US"/>
        </w:rPr>
        <w:t xml:space="preserve">, judgment of 18 December 1986, Series A no. 111, pp. 28-29, § 66; </w:t>
      </w:r>
      <w:r w:rsidR="00F35F5F" w:rsidRPr="003E3188">
        <w:rPr>
          <w:i/>
          <w:sz w:val="20"/>
          <w:lang w:eastAsia="en-US"/>
        </w:rPr>
        <w:t>Barberà</w:t>
      </w:r>
      <w:r w:rsidR="00F35F5F" w:rsidRPr="003E3188">
        <w:rPr>
          <w:i/>
          <w:iCs/>
          <w:sz w:val="20"/>
          <w:lang w:eastAsia="en-US"/>
        </w:rPr>
        <w:t>,</w:t>
      </w:r>
      <w:r w:rsidR="00F35F5F" w:rsidRPr="003E3188">
        <w:rPr>
          <w:i/>
          <w:sz w:val="20"/>
          <w:lang w:eastAsia="en-US"/>
        </w:rPr>
        <w:t xml:space="preserve"> Messegué and </w:t>
      </w:r>
      <w:bookmarkStart w:id="2" w:name="File1"/>
      <w:r w:rsidR="00F35F5F" w:rsidRPr="003E3188">
        <w:rPr>
          <w:i/>
          <w:sz w:val="20"/>
          <w:lang w:eastAsia="en-US"/>
        </w:rPr>
        <w:t>Jabardo</w:t>
      </w:r>
      <w:bookmarkEnd w:id="2"/>
      <w:r w:rsidR="00F35F5F" w:rsidRPr="003E3188">
        <w:rPr>
          <w:i/>
          <w:sz w:val="20"/>
          <w:lang w:eastAsia="en-US"/>
        </w:rPr>
        <w:t xml:space="preserve"> v. Spain</w:t>
      </w:r>
      <w:r w:rsidR="00F35F5F" w:rsidRPr="003E3188">
        <w:rPr>
          <w:sz w:val="20"/>
          <w:lang w:eastAsia="en-US"/>
        </w:rPr>
        <w:t xml:space="preserve"> (Article 50), judgment of</w:t>
      </w:r>
      <w:r>
        <w:rPr>
          <w:sz w:val="20"/>
          <w:lang w:eastAsia="en-US"/>
        </w:rPr>
        <w:t xml:space="preserve"> 13 June 1994, Series A no. 285-</w:t>
      </w:r>
      <w:r w:rsidR="00F35F5F" w:rsidRPr="003E3188">
        <w:rPr>
          <w:sz w:val="20"/>
          <w:lang w:eastAsia="en-US"/>
        </w:rPr>
        <w:t xml:space="preserve">C, p. 57, § 17; and </w:t>
      </w:r>
      <w:r w:rsidR="00F35F5F" w:rsidRPr="003E3188">
        <w:rPr>
          <w:i/>
          <w:sz w:val="20"/>
          <w:lang w:eastAsia="en-US"/>
        </w:rPr>
        <w:t>Oğur v. Turkey</w:t>
      </w:r>
      <w:r w:rsidR="00F35F5F" w:rsidRPr="003E3188">
        <w:rPr>
          <w:sz w:val="20"/>
          <w:lang w:eastAsia="en-US"/>
        </w:rPr>
        <w:t xml:space="preserve"> [GC]</w:t>
      </w:r>
      <w:r>
        <w:rPr>
          <w:sz w:val="20"/>
          <w:lang w:eastAsia="en-US"/>
        </w:rPr>
        <w:t>, no. 21594/93, § 98, ECHR 1999-</w:t>
      </w:r>
      <w:r w:rsidR="00F35F5F" w:rsidRPr="003E3188">
        <w:rPr>
          <w:sz w:val="20"/>
          <w:lang w:eastAsia="en-US"/>
        </w:rPr>
        <w:t>III.</w:t>
      </w:r>
    </w:p>
  </w:footnote>
  <w:footnote w:id="3">
    <w:p w:rsidR="00F35F5F" w:rsidRPr="003E3188" w:rsidRDefault="008470E1" w:rsidP="00A316C0">
      <w:pPr>
        <w:pStyle w:val="FootnoteText"/>
      </w:pPr>
      <w:r>
        <w:t>2.  </w:t>
      </w:r>
      <w:r w:rsidR="00F35F5F">
        <w:t>See,</w:t>
      </w:r>
      <w:r w:rsidR="00F35F5F" w:rsidRPr="00F35F5F">
        <w:t xml:space="preserve"> to the same effect</w:t>
      </w:r>
      <w:r w:rsidR="00F35F5F" w:rsidRPr="002F1072">
        <w:t>,</w:t>
      </w:r>
      <w:r w:rsidR="00F35F5F">
        <w:t xml:space="preserve"> </w:t>
      </w:r>
      <w:r w:rsidR="00F35F5F" w:rsidRPr="002F1072">
        <w:rPr>
          <w:i/>
          <w:lang w:eastAsia="en-US"/>
        </w:rPr>
        <w:t>König v. Germany</w:t>
      </w:r>
      <w:r w:rsidR="00F35F5F" w:rsidRPr="002F1072">
        <w:rPr>
          <w:lang w:eastAsia="en-US"/>
        </w:rPr>
        <w:t xml:space="preserve"> (Article 50), judgment of 10 March 1980, Series A no. 36, pp. 14-15, § 15; </w:t>
      </w:r>
      <w:r w:rsidR="00F35F5F" w:rsidRPr="002F1072">
        <w:rPr>
          <w:i/>
          <w:lang w:eastAsia="en-US"/>
        </w:rPr>
        <w:t>Artico v. Italy</w:t>
      </w:r>
      <w:r w:rsidR="00F35F5F" w:rsidRPr="002F1072">
        <w:rPr>
          <w:lang w:eastAsia="en-US"/>
        </w:rPr>
        <w:t xml:space="preserve">, judgment of 13 May 1980, Series A no. 37, </w:t>
      </w:r>
      <w:r>
        <w:rPr>
          <w:lang w:eastAsia="en-US"/>
        </w:rPr>
        <w:t>p</w:t>
      </w:r>
      <w:r w:rsidR="00F35F5F" w:rsidRPr="002F1072">
        <w:rPr>
          <w:lang w:eastAsia="en-US"/>
        </w:rPr>
        <w:t>p. 20-21, § 44;</w:t>
      </w:r>
      <w:r w:rsidR="00F35F5F">
        <w:rPr>
          <w:lang w:eastAsia="en-US"/>
        </w:rPr>
        <w:t xml:space="preserve"> and </w:t>
      </w:r>
      <w:r w:rsidR="00F35F5F" w:rsidRPr="002F1072">
        <w:rPr>
          <w:i/>
          <w:lang w:eastAsia="en-US"/>
        </w:rPr>
        <w:t>Eckle v. Germany</w:t>
      </w:r>
      <w:r w:rsidR="00F35F5F" w:rsidRPr="002F1072">
        <w:rPr>
          <w:lang w:eastAsia="en-US"/>
        </w:rPr>
        <w:t xml:space="preserve"> (Article 50), judgment of 21 June 19</w:t>
      </w:r>
      <w:r w:rsidR="00F35F5F">
        <w:rPr>
          <w:lang w:eastAsia="en-US"/>
        </w:rPr>
        <w:t>83, Series A no. 65, p. 7, § 13.</w:t>
      </w:r>
    </w:p>
  </w:footnote>
  <w:footnote w:id="4">
    <w:p w:rsidR="00F35F5F" w:rsidRPr="00AC533A" w:rsidRDefault="000C3FE1" w:rsidP="00A316C0">
      <w:pPr>
        <w:pStyle w:val="FootnoteText"/>
        <w:rPr>
          <w:lang w:val="it-IT"/>
        </w:rPr>
      </w:pPr>
      <w:r>
        <w:t>1.  </w:t>
      </w:r>
      <w:r w:rsidR="00F35F5F" w:rsidRPr="00AC533A">
        <w:rPr>
          <w:lang w:val="it-IT"/>
        </w:rPr>
        <w:t>See also,</w:t>
      </w:r>
      <w:r w:rsidR="00F4793B" w:rsidRPr="00F4793B">
        <w:rPr>
          <w:lang w:val="it-IT"/>
        </w:rPr>
        <w:t xml:space="preserve"> to the same effect</w:t>
      </w:r>
      <w:r w:rsidR="00F35F5F" w:rsidRPr="00AC533A">
        <w:rPr>
          <w:lang w:val="it-IT"/>
        </w:rPr>
        <w:t xml:space="preserve">, </w:t>
      </w:r>
      <w:r w:rsidR="00F35F5F" w:rsidRPr="00AD60F3">
        <w:rPr>
          <w:i/>
        </w:rPr>
        <w:t>Scorzolini</w:t>
      </w:r>
      <w:r w:rsidR="00F35F5F" w:rsidRPr="00AC533A">
        <w:rPr>
          <w:i/>
          <w:lang w:val="it-IT"/>
        </w:rPr>
        <w:t xml:space="preserve"> v. </w:t>
      </w:r>
      <w:smartTag w:uri="urn:schemas-microsoft-com:office:smarttags" w:element="country-region">
        <w:smartTag w:uri="urn:schemas-microsoft-com:office:smarttags" w:element="place">
          <w:r w:rsidR="00F35F5F" w:rsidRPr="00AC533A">
            <w:rPr>
              <w:i/>
              <w:lang w:val="it-IT"/>
            </w:rPr>
            <w:t>Italy</w:t>
          </w:r>
        </w:smartTag>
      </w:smartTag>
      <w:r w:rsidR="00F35F5F" w:rsidRPr="00AC533A">
        <w:rPr>
          <w:i/>
          <w:lang w:val="it-IT"/>
        </w:rPr>
        <w:t xml:space="preserve"> </w:t>
      </w:r>
      <w:r w:rsidR="00F35F5F" w:rsidRPr="00AC533A">
        <w:rPr>
          <w:lang w:val="it-IT"/>
        </w:rPr>
        <w:t>(dec.), no. 15483/02, 24 February</w:t>
      </w:r>
      <w:r w:rsidR="00F35F5F">
        <w:rPr>
          <w:lang w:val="it-IT"/>
        </w:rPr>
        <w:t xml:space="preserve"> 2005</w:t>
      </w:r>
      <w:r w:rsidR="00F35F5F" w:rsidRPr="00AC533A">
        <w:rPr>
          <w:lang w:val="it-IT"/>
        </w:rPr>
        <w:t>;</w:t>
      </w:r>
      <w:r w:rsidR="00F35F5F" w:rsidRPr="00AC533A">
        <w:rPr>
          <w:i/>
          <w:lang w:val="it-IT"/>
        </w:rPr>
        <w:t xml:space="preserve"> Comellini </w:t>
      </w:r>
      <w:r w:rsidR="00F35F5F">
        <w:rPr>
          <w:i/>
          <w:lang w:val="it-IT"/>
        </w:rPr>
        <w:t>v.</w:t>
      </w:r>
      <w:r w:rsidR="00F35F5F" w:rsidRPr="00AC533A">
        <w:rPr>
          <w:i/>
          <w:lang w:val="it-IT"/>
        </w:rPr>
        <w:t xml:space="preserve"> Ital</w:t>
      </w:r>
      <w:r w:rsidR="00F35F5F">
        <w:rPr>
          <w:i/>
          <w:lang w:val="it-IT"/>
        </w:rPr>
        <w:t>y</w:t>
      </w:r>
      <w:r w:rsidR="00F35F5F" w:rsidRPr="00AC533A">
        <w:rPr>
          <w:lang w:val="it-IT"/>
        </w:rPr>
        <w:t xml:space="preserve"> (d</w:t>
      </w:r>
      <w:r w:rsidR="00F35F5F">
        <w:rPr>
          <w:lang w:val="it-IT"/>
        </w:rPr>
        <w:t>e</w:t>
      </w:r>
      <w:r w:rsidR="00F35F5F" w:rsidRPr="00AC533A">
        <w:rPr>
          <w:lang w:val="it-IT"/>
        </w:rPr>
        <w:t xml:space="preserve">c.), </w:t>
      </w:r>
      <w:r w:rsidR="00F35F5F">
        <w:rPr>
          <w:lang w:val="it-IT"/>
        </w:rPr>
        <w:t>no.</w:t>
      </w:r>
      <w:r w:rsidR="00F35F5F" w:rsidRPr="00AC533A">
        <w:rPr>
          <w:lang w:val="it-IT"/>
        </w:rPr>
        <w:t xml:space="preserve"> 15491/02, 24</w:t>
      </w:r>
      <w:r w:rsidR="00F35F5F">
        <w:rPr>
          <w:lang w:val="it-IT"/>
        </w:rPr>
        <w:t xml:space="preserve"> February </w:t>
      </w:r>
      <w:r w:rsidR="00F35F5F" w:rsidRPr="00AC533A">
        <w:rPr>
          <w:lang w:val="it-IT"/>
        </w:rPr>
        <w:t>2005</w:t>
      </w:r>
      <w:r w:rsidR="00F35F5F">
        <w:rPr>
          <w:lang w:val="it-IT"/>
        </w:rPr>
        <w:t>; and</w:t>
      </w:r>
      <w:r w:rsidR="00F35F5F" w:rsidRPr="00AC533A">
        <w:rPr>
          <w:i/>
          <w:lang w:val="it-IT"/>
        </w:rPr>
        <w:t xml:space="preserve"> Cuccaro Granatelli </w:t>
      </w:r>
      <w:r w:rsidR="00F35F5F">
        <w:rPr>
          <w:i/>
          <w:lang w:val="it-IT"/>
        </w:rPr>
        <w:t>v</w:t>
      </w:r>
      <w:r w:rsidR="00F35F5F" w:rsidRPr="00AC533A">
        <w:rPr>
          <w:i/>
          <w:lang w:val="it-IT"/>
        </w:rPr>
        <w:t>. Ital</w:t>
      </w:r>
      <w:r w:rsidR="00F35F5F">
        <w:rPr>
          <w:i/>
          <w:lang w:val="it-IT"/>
        </w:rPr>
        <w:t>y</w:t>
      </w:r>
      <w:r w:rsidR="00F35F5F" w:rsidRPr="00AC533A">
        <w:rPr>
          <w:i/>
          <w:lang w:val="it-IT"/>
        </w:rPr>
        <w:t xml:space="preserve"> </w:t>
      </w:r>
      <w:r w:rsidR="00F35F5F" w:rsidRPr="00AC533A">
        <w:rPr>
          <w:lang w:val="it-IT"/>
        </w:rPr>
        <w:t>(d</w:t>
      </w:r>
      <w:r w:rsidR="00F35F5F">
        <w:rPr>
          <w:lang w:val="it-IT"/>
        </w:rPr>
        <w:t>e</w:t>
      </w:r>
      <w:r w:rsidR="00F35F5F" w:rsidRPr="00AC533A">
        <w:rPr>
          <w:lang w:val="it-IT"/>
        </w:rPr>
        <w:t>c.), n</w:t>
      </w:r>
      <w:r w:rsidR="00F35F5F">
        <w:rPr>
          <w:lang w:val="it-IT"/>
        </w:rPr>
        <w:t>o.</w:t>
      </w:r>
      <w:r w:rsidR="00F35F5F" w:rsidRPr="00AC533A">
        <w:rPr>
          <w:lang w:val="it-IT"/>
        </w:rPr>
        <w:t xml:space="preserve"> 19830/03, 24</w:t>
      </w:r>
      <w:r w:rsidR="00F35F5F">
        <w:rPr>
          <w:lang w:val="it-IT"/>
        </w:rPr>
        <w:t xml:space="preserve"> February </w:t>
      </w:r>
      <w:r w:rsidR="00F35F5F" w:rsidRPr="00AC533A">
        <w:rPr>
          <w:lang w:val="it-IT"/>
        </w:rPr>
        <w:t>2005</w:t>
      </w:r>
      <w:r w:rsidR="00F35F5F">
        <w:rPr>
          <w:lang w:val="it-IT"/>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5F5F" w:rsidRDefault="00F35F5F">
    <w:pPr>
      <w:pStyle w:val="JuHeader"/>
    </w:pPr>
    <w:r>
      <w:rPr>
        <w:rStyle w:val="PageNumber"/>
      </w:rPr>
      <w:fldChar w:fldCharType="begin"/>
    </w:r>
    <w:r>
      <w:rPr>
        <w:rStyle w:val="PageNumber"/>
      </w:rPr>
      <w:instrText xml:space="preserve"> PAGE </w:instrText>
    </w:r>
    <w:r>
      <w:rPr>
        <w:rStyle w:val="PageNumber"/>
      </w:rPr>
      <w:fldChar w:fldCharType="separate"/>
    </w:r>
    <w:r w:rsidR="00E652BE">
      <w:rPr>
        <w:rStyle w:val="PageNumber"/>
        <w:noProof/>
      </w:rPr>
      <w:t>12</w:t>
    </w:r>
    <w:r>
      <w:rPr>
        <w:rStyle w:val="PageNumber"/>
      </w:rPr>
      <w:fldChar w:fldCharType="end"/>
    </w:r>
    <w:r>
      <w:tab/>
      <w:t xml:space="preserve">LO TUFO v. </w:t>
    </w:r>
    <w:smartTag w:uri="urn:schemas-microsoft-com:office:smarttags" w:element="country-region">
      <w:smartTag w:uri="urn:schemas-microsoft-com:office:smarttags" w:element="place">
        <w:r>
          <w:t>ITALY</w:t>
        </w:r>
      </w:smartTag>
    </w:smartTag>
    <w:r>
      <w:t xml:space="preserve"> JUDGMENT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5F5F" w:rsidRDefault="00F35F5F" w:rsidP="00677A45">
    <w:pPr>
      <w:pStyle w:val="JuHeader"/>
      <w:rPr>
        <w:rStyle w:val="PageNumber"/>
      </w:rPr>
    </w:pPr>
    <w:r>
      <w:tab/>
    </w:r>
    <w:r w:rsidR="00977E3A">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pt;height:139.5pt" fillcolor="window">
          <v:imagedata r:id="rId1" o:title=""/>
        </v:shape>
      </w:pict>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7E3A" w:rsidRDefault="00977E3A" w:rsidP="00677A45">
    <w:pPr>
      <w:pStyle w:val="JuHeader"/>
      <w:rPr>
        <w:rStyle w:val="PageNumber"/>
      </w:rPr>
    </w:pPr>
    <w:r>
      <w:tab/>
      <w:t xml:space="preserve">LO TUFO v. </w:t>
    </w:r>
    <w:smartTag w:uri="urn:schemas-microsoft-com:office:smarttags" w:element="place">
      <w:smartTag w:uri="urn:schemas-microsoft-com:office:smarttags" w:element="country-region">
        <w:r>
          <w:t>ITALY</w:t>
        </w:r>
      </w:smartTag>
    </w:smartTag>
    <w:r>
      <w:t xml:space="preserve"> JUDGMENT</w:t>
    </w:r>
    <w:r>
      <w:tab/>
    </w:r>
    <w:r>
      <w:rPr>
        <w:rStyle w:val="PageNumber"/>
      </w:rPr>
      <w:fldChar w:fldCharType="begin"/>
    </w:r>
    <w:r>
      <w:rPr>
        <w:rStyle w:val="PageNumber"/>
      </w:rPr>
      <w:instrText xml:space="preserve"> PAGE </w:instrText>
    </w:r>
    <w:r>
      <w:rPr>
        <w:rStyle w:val="PageNumber"/>
      </w:rPr>
      <w:fldChar w:fldCharType="separate"/>
    </w:r>
    <w:r w:rsidR="00E652BE">
      <w:rPr>
        <w:rStyle w:val="PageNumber"/>
        <w:noProof/>
      </w:rPr>
      <w:t>11</w:t>
    </w:r>
    <w:r>
      <w:rPr>
        <w:rStyle w:val="PageNumber"/>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6840" w:rsidRDefault="00F35F5F" w:rsidP="00367909">
    <w:pPr>
      <w:pStyle w:val="JuHeader"/>
    </w:pPr>
    <w:r>
      <w:rPr>
        <w:rStyle w:val="PageNumber"/>
      </w:rPr>
      <w:fldChar w:fldCharType="begin"/>
    </w:r>
    <w:r>
      <w:rPr>
        <w:rStyle w:val="PageNumber"/>
      </w:rPr>
      <w:instrText xml:space="preserve"> PAGE </w:instrText>
    </w:r>
    <w:r>
      <w:rPr>
        <w:rStyle w:val="PageNumber"/>
      </w:rPr>
      <w:fldChar w:fldCharType="separate"/>
    </w:r>
    <w:r w:rsidR="00E652BE">
      <w:rPr>
        <w:rStyle w:val="PageNumber"/>
        <w:noProof/>
      </w:rPr>
      <w:t>18</w:t>
    </w:r>
    <w:r>
      <w:rPr>
        <w:rStyle w:val="PageNumber"/>
      </w:rPr>
      <w:fldChar w:fldCharType="end"/>
    </w:r>
    <w:r>
      <w:tab/>
      <w:t xml:space="preserve">LO TUFO v. </w:t>
    </w:r>
    <w:smartTag w:uri="urn:schemas-microsoft-com:office:smarttags" w:element="country-region">
      <w:smartTag w:uri="urn:schemas-microsoft-com:office:smarttags" w:element="place">
        <w:r>
          <w:t>ITALY</w:t>
        </w:r>
      </w:smartTag>
    </w:smartTag>
    <w:r w:rsidR="00ED6840">
      <w:t xml:space="preserve"> JUDGMENT – </w:t>
    </w:r>
    <w:r>
      <w:t xml:space="preserve">CONCURRING OPINION </w:t>
    </w:r>
  </w:p>
  <w:p w:rsidR="00F35F5F" w:rsidRDefault="00ED6840" w:rsidP="00367909">
    <w:pPr>
      <w:pStyle w:val="JuHeader"/>
      <w:rPr>
        <w:rStyle w:val="PageNumber"/>
      </w:rPr>
    </w:pPr>
    <w:r>
      <w:tab/>
    </w:r>
    <w:r w:rsidR="00F35F5F">
      <w:t>OF JUDGE SPIELMANN JOINED BY JUDGE LOUCAIDES</w:t>
    </w:r>
  </w:p>
  <w:p w:rsidR="00F35F5F" w:rsidRDefault="00F35F5F">
    <w:pPr>
      <w:pStyle w:val="Ju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6840" w:rsidRDefault="0009053A" w:rsidP="00ED6840">
    <w:pPr>
      <w:pStyle w:val="JuHeader"/>
      <w:jc w:val="center"/>
    </w:pPr>
    <w:r>
      <w:t xml:space="preserve">LO TUFO v. </w:t>
    </w:r>
    <w:smartTag w:uri="urn:schemas-microsoft-com:office:smarttags" w:element="country-region">
      <w:smartTag w:uri="urn:schemas-microsoft-com:office:smarttags" w:element="place">
        <w:r>
          <w:t>ITALY</w:t>
        </w:r>
      </w:smartTag>
    </w:smartTag>
    <w:r>
      <w:t xml:space="preserve"> JUDGMENT – </w:t>
    </w:r>
    <w:r>
      <w:tab/>
    </w:r>
    <w:r w:rsidR="00ED6840">
      <w:rPr>
        <w:rStyle w:val="PageNumber"/>
      </w:rPr>
      <w:t xml:space="preserve"> </w:t>
    </w:r>
    <w:r>
      <w:t>CONCURRING OPINION</w:t>
    </w:r>
  </w:p>
  <w:p w:rsidR="0009053A" w:rsidRDefault="0009053A" w:rsidP="00ED6840">
    <w:pPr>
      <w:pStyle w:val="JuHeader"/>
      <w:jc w:val="center"/>
      <w:rPr>
        <w:rStyle w:val="PageNumber"/>
      </w:rPr>
    </w:pPr>
    <w:r>
      <w:t>OF JUDGE SPIELMANN JOINED BY JUDGE LOUCAIDES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24AC65D0"/>
    <w:lvl w:ilvl="0">
      <w:start w:val="1"/>
      <w:numFmt w:val="bullet"/>
      <w:lvlText w:val=""/>
      <w:lvlJc w:val="left"/>
      <w:pPr>
        <w:tabs>
          <w:tab w:val="num" w:pos="1800"/>
        </w:tabs>
        <w:ind w:left="1800" w:hanging="360"/>
      </w:pPr>
      <w:rPr>
        <w:rFonts w:ascii="Symbol" w:hAnsi="Symbol" w:hint="default"/>
      </w:rPr>
    </w:lvl>
  </w:abstractNum>
  <w:abstractNum w:abstractNumId="1">
    <w:nsid w:val="FFFFFF82"/>
    <w:multiLevelType w:val="singleLevel"/>
    <w:tmpl w:val="00C25450"/>
    <w:lvl w:ilvl="0">
      <w:start w:val="1"/>
      <w:numFmt w:val="bullet"/>
      <w:lvlText w:val=""/>
      <w:lvlJc w:val="left"/>
      <w:pPr>
        <w:tabs>
          <w:tab w:val="num" w:pos="1080"/>
        </w:tabs>
        <w:ind w:left="1080" w:hanging="360"/>
      </w:pPr>
      <w:rPr>
        <w:rFonts w:ascii="Symbol" w:hAnsi="Symbol" w:hint="default"/>
      </w:rPr>
    </w:lvl>
  </w:abstractNum>
  <w:abstractNum w:abstractNumId="2">
    <w:nsid w:val="FFFFFF83"/>
    <w:multiLevelType w:val="singleLevel"/>
    <w:tmpl w:val="179E5246"/>
    <w:lvl w:ilvl="0">
      <w:start w:val="1"/>
      <w:numFmt w:val="bullet"/>
      <w:lvlText w:val=""/>
      <w:lvlJc w:val="left"/>
      <w:pPr>
        <w:tabs>
          <w:tab w:val="num" w:pos="720"/>
        </w:tabs>
        <w:ind w:left="720" w:hanging="360"/>
      </w:pPr>
      <w:rPr>
        <w:rFonts w:ascii="Symbol" w:hAnsi="Symbol" w:hint="default"/>
      </w:rPr>
    </w:lvl>
  </w:abstractNum>
  <w:abstractNum w:abstractNumId="3">
    <w:nsid w:val="FFFFFF88"/>
    <w:multiLevelType w:val="singleLevel"/>
    <w:tmpl w:val="54887B42"/>
    <w:lvl w:ilvl="0">
      <w:start w:val="1"/>
      <w:numFmt w:val="decimal"/>
      <w:lvlText w:val="%1."/>
      <w:lvlJc w:val="left"/>
      <w:pPr>
        <w:tabs>
          <w:tab w:val="num" w:pos="360"/>
        </w:tabs>
        <w:ind w:left="360" w:hanging="360"/>
      </w:pPr>
    </w:lvl>
  </w:abstractNum>
  <w:abstractNum w:abstractNumId="4">
    <w:nsid w:val="FFFFFF89"/>
    <w:multiLevelType w:val="singleLevel"/>
    <w:tmpl w:val="F7C4BA64"/>
    <w:lvl w:ilvl="0">
      <w:start w:val="1"/>
      <w:numFmt w:val="bullet"/>
      <w:lvlText w:val=""/>
      <w:lvlJc w:val="left"/>
      <w:pPr>
        <w:tabs>
          <w:tab w:val="num" w:pos="360"/>
        </w:tabs>
        <w:ind w:left="360" w:hanging="360"/>
      </w:pPr>
      <w:rPr>
        <w:rFonts w:ascii="Symbol" w:hAnsi="Symbol" w:hint="default"/>
      </w:rPr>
    </w:lvl>
  </w:abstractNum>
  <w:abstractNum w:abstractNumId="5">
    <w:nsid w:val="05FF3BC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6">
    <w:nsid w:val="0A050944"/>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7">
    <w:nsid w:val="0B8104C5"/>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8">
    <w:nsid w:val="1486134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9">
    <w:nsid w:val="1CE35BA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0">
    <w:nsid w:val="22EC6E04"/>
    <w:multiLevelType w:val="singleLevel"/>
    <w:tmpl w:val="BAC48052"/>
    <w:lvl w:ilvl="0">
      <w:start w:val="1"/>
      <w:numFmt w:val="decimal"/>
      <w:lvlText w:val="%1."/>
      <w:lvlJc w:val="left"/>
      <w:pPr>
        <w:tabs>
          <w:tab w:val="num" w:pos="1412"/>
        </w:tabs>
        <w:ind w:left="1412" w:hanging="705"/>
      </w:pPr>
      <w:rPr>
        <w:rFonts w:hint="default"/>
        <w:u w:val="none"/>
      </w:rPr>
    </w:lvl>
  </w:abstractNum>
  <w:abstractNum w:abstractNumId="11">
    <w:nsid w:val="2399540C"/>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2">
    <w:nsid w:val="2C4C22E6"/>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3">
    <w:nsid w:val="2D4157B2"/>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4">
    <w:nsid w:val="37E04B0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5">
    <w:nsid w:val="3A6A403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6">
    <w:nsid w:val="3C513E2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7">
    <w:nsid w:val="3C95542D"/>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8">
    <w:nsid w:val="46073C42"/>
    <w:multiLevelType w:val="hybridMultilevel"/>
    <w:tmpl w:val="EB500608"/>
    <w:lvl w:ilvl="0" w:tplc="6D1425C2">
      <w:start w:val="2"/>
      <w:numFmt w:val="upperRoman"/>
      <w:lvlText w:val="%1."/>
      <w:lvlJc w:val="left"/>
      <w:pPr>
        <w:tabs>
          <w:tab w:val="num" w:pos="1080"/>
        </w:tabs>
        <w:ind w:left="1080" w:hanging="72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9">
    <w:nsid w:val="50760D66"/>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0">
    <w:nsid w:val="52140A4E"/>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1">
    <w:nsid w:val="601A116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2">
    <w:nsid w:val="612339BC"/>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3">
    <w:nsid w:val="651B1C3D"/>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4">
    <w:nsid w:val="68ED0762"/>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5">
    <w:nsid w:val="6C2336F9"/>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6">
    <w:nsid w:val="740005C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7">
    <w:nsid w:val="74884767"/>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8">
    <w:nsid w:val="785C3F08"/>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9">
    <w:nsid w:val="7A9048F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30">
    <w:nsid w:val="7BDE393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31">
    <w:nsid w:val="7D556EA3"/>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num w:numId="1">
    <w:abstractNumId w:val="9"/>
  </w:num>
  <w:num w:numId="2">
    <w:abstractNumId w:val="25"/>
  </w:num>
  <w:num w:numId="3">
    <w:abstractNumId w:val="12"/>
  </w:num>
  <w:num w:numId="4">
    <w:abstractNumId w:val="23"/>
  </w:num>
  <w:num w:numId="5">
    <w:abstractNumId w:val="31"/>
  </w:num>
  <w:num w:numId="6">
    <w:abstractNumId w:val="5"/>
  </w:num>
  <w:num w:numId="7">
    <w:abstractNumId w:val="28"/>
  </w:num>
  <w:num w:numId="8">
    <w:abstractNumId w:val="4"/>
  </w:num>
  <w:num w:numId="9">
    <w:abstractNumId w:val="2"/>
  </w:num>
  <w:num w:numId="10">
    <w:abstractNumId w:val="1"/>
  </w:num>
  <w:num w:numId="11">
    <w:abstractNumId w:val="0"/>
  </w:num>
  <w:num w:numId="12">
    <w:abstractNumId w:val="3"/>
  </w:num>
  <w:num w:numId="13">
    <w:abstractNumId w:val="10"/>
  </w:num>
  <w:num w:numId="14">
    <w:abstractNumId w:val="21"/>
  </w:num>
  <w:num w:numId="15">
    <w:abstractNumId w:val="26"/>
  </w:num>
  <w:num w:numId="16">
    <w:abstractNumId w:val="13"/>
  </w:num>
  <w:num w:numId="17">
    <w:abstractNumId w:val="22"/>
  </w:num>
  <w:num w:numId="18">
    <w:abstractNumId w:val="29"/>
  </w:num>
  <w:num w:numId="19">
    <w:abstractNumId w:val="27"/>
  </w:num>
  <w:num w:numId="20">
    <w:abstractNumId w:val="11"/>
  </w:num>
  <w:num w:numId="21">
    <w:abstractNumId w:val="24"/>
  </w:num>
  <w:num w:numId="22">
    <w:abstractNumId w:val="16"/>
  </w:num>
  <w:num w:numId="23">
    <w:abstractNumId w:val="19"/>
  </w:num>
  <w:num w:numId="24">
    <w:abstractNumId w:val="6"/>
  </w:num>
  <w:num w:numId="25">
    <w:abstractNumId w:val="8"/>
  </w:num>
  <w:num w:numId="26">
    <w:abstractNumId w:val="30"/>
  </w:num>
  <w:num w:numId="27">
    <w:abstractNumId w:val="15"/>
  </w:num>
  <w:num w:numId="28">
    <w:abstractNumId w:val="20"/>
  </w:num>
  <w:num w:numId="29">
    <w:abstractNumId w:val="17"/>
  </w:num>
  <w:num w:numId="30">
    <w:abstractNumId w:val="14"/>
  </w:num>
  <w:num w:numId="31">
    <w:abstractNumId w:val="7"/>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6"/>
  <w:hyphenationZone w:val="425"/>
  <w:evenAndOddHeaders/>
  <w:drawingGridHorizontalSpacing w:val="57"/>
  <w:displayHorizontalDrawingGridEvery w:val="0"/>
  <w:displayVerticalDrawingGridEvery w:val="0"/>
  <w:noPunctuationKerning/>
  <w:characterSpacingControl w:val="doNotCompress"/>
  <w:footnotePr>
    <w:numRestart w:val="eachPage"/>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83F8B"/>
    <w:rsid w:val="000012DA"/>
    <w:rsid w:val="00026A88"/>
    <w:rsid w:val="00033041"/>
    <w:rsid w:val="0005707C"/>
    <w:rsid w:val="00085109"/>
    <w:rsid w:val="00085216"/>
    <w:rsid w:val="0009053A"/>
    <w:rsid w:val="000A4C08"/>
    <w:rsid w:val="000C3FE1"/>
    <w:rsid w:val="000D588A"/>
    <w:rsid w:val="000E0BA5"/>
    <w:rsid w:val="000E3E10"/>
    <w:rsid w:val="00100BF2"/>
    <w:rsid w:val="001047DF"/>
    <w:rsid w:val="00124DE8"/>
    <w:rsid w:val="00135747"/>
    <w:rsid w:val="00136071"/>
    <w:rsid w:val="00157C7F"/>
    <w:rsid w:val="00171824"/>
    <w:rsid w:val="001D6746"/>
    <w:rsid w:val="002060A4"/>
    <w:rsid w:val="00236043"/>
    <w:rsid w:val="002528CD"/>
    <w:rsid w:val="00283F8B"/>
    <w:rsid w:val="002C1DE0"/>
    <w:rsid w:val="002C605E"/>
    <w:rsid w:val="002D1641"/>
    <w:rsid w:val="002D2D26"/>
    <w:rsid w:val="002D5258"/>
    <w:rsid w:val="002E1F4A"/>
    <w:rsid w:val="00310A22"/>
    <w:rsid w:val="0032554A"/>
    <w:rsid w:val="00327DED"/>
    <w:rsid w:val="00367909"/>
    <w:rsid w:val="00367CEA"/>
    <w:rsid w:val="00370399"/>
    <w:rsid w:val="00373740"/>
    <w:rsid w:val="00381795"/>
    <w:rsid w:val="0039117A"/>
    <w:rsid w:val="0039598E"/>
    <w:rsid w:val="003A4074"/>
    <w:rsid w:val="003B0C1C"/>
    <w:rsid w:val="003C171D"/>
    <w:rsid w:val="003D3FE8"/>
    <w:rsid w:val="003E5B66"/>
    <w:rsid w:val="003F7B72"/>
    <w:rsid w:val="00404C59"/>
    <w:rsid w:val="004076E2"/>
    <w:rsid w:val="00476E65"/>
    <w:rsid w:val="00484503"/>
    <w:rsid w:val="004B54D0"/>
    <w:rsid w:val="004C1134"/>
    <w:rsid w:val="004D4E37"/>
    <w:rsid w:val="004F02D1"/>
    <w:rsid w:val="004F1FB8"/>
    <w:rsid w:val="005178B6"/>
    <w:rsid w:val="0056533A"/>
    <w:rsid w:val="005751F7"/>
    <w:rsid w:val="00587536"/>
    <w:rsid w:val="005877BE"/>
    <w:rsid w:val="005B45E7"/>
    <w:rsid w:val="005F397F"/>
    <w:rsid w:val="0060220C"/>
    <w:rsid w:val="006166BE"/>
    <w:rsid w:val="00620CCC"/>
    <w:rsid w:val="00642D52"/>
    <w:rsid w:val="00653147"/>
    <w:rsid w:val="00677A45"/>
    <w:rsid w:val="00682202"/>
    <w:rsid w:val="006B4FE9"/>
    <w:rsid w:val="006B5BDC"/>
    <w:rsid w:val="006C17F6"/>
    <w:rsid w:val="006E0711"/>
    <w:rsid w:val="006F61B6"/>
    <w:rsid w:val="00716079"/>
    <w:rsid w:val="0072703B"/>
    <w:rsid w:val="00765077"/>
    <w:rsid w:val="0079559F"/>
    <w:rsid w:val="007D17F8"/>
    <w:rsid w:val="007D2983"/>
    <w:rsid w:val="007D3D2D"/>
    <w:rsid w:val="007E10F3"/>
    <w:rsid w:val="00804042"/>
    <w:rsid w:val="00832995"/>
    <w:rsid w:val="00834C6B"/>
    <w:rsid w:val="0083532A"/>
    <w:rsid w:val="008421E1"/>
    <w:rsid w:val="00843816"/>
    <w:rsid w:val="00846162"/>
    <w:rsid w:val="008470E1"/>
    <w:rsid w:val="00870608"/>
    <w:rsid w:val="00895EAC"/>
    <w:rsid w:val="008A5C82"/>
    <w:rsid w:val="008B734F"/>
    <w:rsid w:val="008B7522"/>
    <w:rsid w:val="008D5A39"/>
    <w:rsid w:val="008E36F2"/>
    <w:rsid w:val="009130B4"/>
    <w:rsid w:val="009607CB"/>
    <w:rsid w:val="00966AE0"/>
    <w:rsid w:val="00974FC3"/>
    <w:rsid w:val="00977E3A"/>
    <w:rsid w:val="009A0233"/>
    <w:rsid w:val="009B27FA"/>
    <w:rsid w:val="009D73A2"/>
    <w:rsid w:val="009E67A0"/>
    <w:rsid w:val="00A0048D"/>
    <w:rsid w:val="00A16917"/>
    <w:rsid w:val="00A27D16"/>
    <w:rsid w:val="00A316C0"/>
    <w:rsid w:val="00A62AC5"/>
    <w:rsid w:val="00A76F5E"/>
    <w:rsid w:val="00AB193C"/>
    <w:rsid w:val="00AD5638"/>
    <w:rsid w:val="00AD60F3"/>
    <w:rsid w:val="00AF0ED1"/>
    <w:rsid w:val="00AF139E"/>
    <w:rsid w:val="00B123F6"/>
    <w:rsid w:val="00B17EC7"/>
    <w:rsid w:val="00B274F6"/>
    <w:rsid w:val="00B569C9"/>
    <w:rsid w:val="00B70FAF"/>
    <w:rsid w:val="00B71C55"/>
    <w:rsid w:val="00B95F4D"/>
    <w:rsid w:val="00B97214"/>
    <w:rsid w:val="00BA30DB"/>
    <w:rsid w:val="00BE76B4"/>
    <w:rsid w:val="00C05752"/>
    <w:rsid w:val="00C10EDE"/>
    <w:rsid w:val="00C214F4"/>
    <w:rsid w:val="00C2436E"/>
    <w:rsid w:val="00C26D71"/>
    <w:rsid w:val="00C47189"/>
    <w:rsid w:val="00C51932"/>
    <w:rsid w:val="00C53186"/>
    <w:rsid w:val="00C67136"/>
    <w:rsid w:val="00C70B5C"/>
    <w:rsid w:val="00C82B7A"/>
    <w:rsid w:val="00C8692C"/>
    <w:rsid w:val="00C922FF"/>
    <w:rsid w:val="00CD49A7"/>
    <w:rsid w:val="00CE293A"/>
    <w:rsid w:val="00D02611"/>
    <w:rsid w:val="00D02F22"/>
    <w:rsid w:val="00D17135"/>
    <w:rsid w:val="00D35E1B"/>
    <w:rsid w:val="00D41D01"/>
    <w:rsid w:val="00D751F4"/>
    <w:rsid w:val="00D90536"/>
    <w:rsid w:val="00D90F55"/>
    <w:rsid w:val="00DB4544"/>
    <w:rsid w:val="00DC20FF"/>
    <w:rsid w:val="00DE5D14"/>
    <w:rsid w:val="00E476DE"/>
    <w:rsid w:val="00E652BE"/>
    <w:rsid w:val="00E752D4"/>
    <w:rsid w:val="00E90160"/>
    <w:rsid w:val="00E9311D"/>
    <w:rsid w:val="00E95550"/>
    <w:rsid w:val="00ED6840"/>
    <w:rsid w:val="00EE1ADA"/>
    <w:rsid w:val="00EE2258"/>
    <w:rsid w:val="00F35F5F"/>
    <w:rsid w:val="00F42695"/>
    <w:rsid w:val="00F43833"/>
    <w:rsid w:val="00F43855"/>
    <w:rsid w:val="00F4793B"/>
    <w:rsid w:val="00F47969"/>
    <w:rsid w:val="00F733F9"/>
    <w:rsid w:val="00F7380D"/>
    <w:rsid w:val="00F80664"/>
    <w:rsid w:val="00F843B7"/>
    <w:rsid w:val="00F92A55"/>
    <w:rsid w:val="00FA439A"/>
    <w:rsid w:val="00FB4A9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State"/>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country-region"/>
  <w:smartTagType w:namespaceuri="urn:schemas-microsoft-com:office:smarttags" w:name="date"/>
  <w:shapeDefaults>
    <o:shapedefaults v:ext="edit" spidmax="2050"/>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2983"/>
    <w:pPr>
      <w:suppressAutoHyphens/>
    </w:pPr>
    <w:rPr>
      <w:sz w:val="24"/>
      <w:lang w:val="en-GB" w:eastAsia="fr-FR"/>
    </w:rPr>
  </w:style>
  <w:style w:type="paragraph" w:styleId="Heading1">
    <w:name w:val="heading 1"/>
    <w:basedOn w:val="Normal"/>
    <w:next w:val="Normal"/>
    <w:qFormat/>
    <w:rsid w:val="007D2983"/>
    <w:pPr>
      <w:keepNext/>
      <w:spacing w:before="360" w:after="240"/>
      <w:jc w:val="center"/>
      <w:outlineLvl w:val="0"/>
    </w:pPr>
    <w:rPr>
      <w:b/>
      <w:sz w:val="28"/>
    </w:rPr>
  </w:style>
  <w:style w:type="paragraph" w:styleId="Heading2">
    <w:name w:val="heading 2"/>
    <w:basedOn w:val="Normal"/>
    <w:next w:val="Normal"/>
    <w:qFormat/>
    <w:rsid w:val="007D2983"/>
    <w:pPr>
      <w:keepNext/>
      <w:spacing w:before="240" w:after="120"/>
      <w:ind w:left="284" w:hanging="284"/>
      <w:outlineLvl w:val="1"/>
    </w:pPr>
    <w:rPr>
      <w:b/>
    </w:rPr>
  </w:style>
  <w:style w:type="paragraph" w:styleId="Heading3">
    <w:name w:val="heading 3"/>
    <w:basedOn w:val="Normal"/>
    <w:next w:val="Normal"/>
    <w:qFormat/>
    <w:rsid w:val="007D2983"/>
    <w:pPr>
      <w:keepNext/>
      <w:spacing w:before="120" w:after="60"/>
      <w:ind w:left="1418" w:hanging="851"/>
      <w:outlineLvl w:val="2"/>
    </w:pPr>
    <w:rPr>
      <w:i/>
    </w:rPr>
  </w:style>
  <w:style w:type="paragraph" w:styleId="Heading4">
    <w:name w:val="heading 4"/>
    <w:basedOn w:val="Normal"/>
    <w:next w:val="Normal"/>
    <w:qFormat/>
    <w:pPr>
      <w:widowControl w:val="0"/>
      <w:outlineLvl w:val="3"/>
    </w:pPr>
    <w:rPr>
      <w:rFonts w:ascii="Courier" w:hAnsi="Courier"/>
      <w:snapToGrid w:val="0"/>
      <w:lang w:val="en-US" w:eastAsia="en-US"/>
    </w:rPr>
  </w:style>
  <w:style w:type="paragraph" w:styleId="Heading5">
    <w:name w:val="heading 5"/>
    <w:basedOn w:val="Normal"/>
    <w:next w:val="Normal"/>
    <w:qFormat/>
    <w:pPr>
      <w:widowControl w:val="0"/>
      <w:outlineLvl w:val="4"/>
    </w:pPr>
    <w:rPr>
      <w:rFonts w:ascii="Courier" w:hAnsi="Courier"/>
      <w:snapToGrid w:val="0"/>
      <w:lang w:val="en-US" w:eastAsia="en-US"/>
    </w:rPr>
  </w:style>
  <w:style w:type="paragraph" w:styleId="Heading6">
    <w:name w:val="heading 6"/>
    <w:basedOn w:val="Normal"/>
    <w:next w:val="Normal"/>
    <w:qFormat/>
    <w:pPr>
      <w:widowControl w:val="0"/>
      <w:outlineLvl w:val="5"/>
    </w:pPr>
    <w:rPr>
      <w:rFonts w:ascii="Courier" w:hAnsi="Courier"/>
      <w:snapToGrid w:val="0"/>
      <w:lang w:val="en-US" w:eastAsia="en-US"/>
    </w:rPr>
  </w:style>
  <w:style w:type="paragraph" w:styleId="Heading7">
    <w:name w:val="heading 7"/>
    <w:basedOn w:val="Normal"/>
    <w:next w:val="Normal"/>
    <w:qFormat/>
    <w:pPr>
      <w:widowControl w:val="0"/>
      <w:outlineLvl w:val="6"/>
    </w:pPr>
    <w:rPr>
      <w:rFonts w:ascii="Courier" w:hAnsi="Courier"/>
      <w:snapToGrid w:val="0"/>
      <w:lang w:val="en-US" w:eastAsia="en-US"/>
    </w:rPr>
  </w:style>
  <w:style w:type="paragraph" w:styleId="Heading8">
    <w:name w:val="heading 8"/>
    <w:basedOn w:val="Normal"/>
    <w:next w:val="Normal"/>
    <w:qFormat/>
    <w:pPr>
      <w:widowControl w:val="0"/>
      <w:outlineLvl w:val="7"/>
    </w:pPr>
    <w:rPr>
      <w:rFonts w:ascii="Courier" w:hAnsi="Courier"/>
      <w:snapToGrid w:val="0"/>
      <w:lang w:val="en-US" w:eastAsia="en-US"/>
    </w:rPr>
  </w:style>
  <w:style w:type="paragraph" w:styleId="Heading9">
    <w:name w:val="heading 9"/>
    <w:basedOn w:val="Normal"/>
    <w:next w:val="Normal"/>
    <w:qFormat/>
    <w:pPr>
      <w:keepNext/>
      <w:tabs>
        <w:tab w:val="left" w:pos="-1440"/>
        <w:tab w:val="left" w:pos="-720"/>
        <w:tab w:val="left" w:pos="0"/>
        <w:tab w:val="left" w:pos="1056"/>
        <w:tab w:val="left" w:pos="1584"/>
        <w:tab w:val="left" w:pos="2112"/>
        <w:tab w:val="left" w:pos="2880"/>
      </w:tabs>
      <w:ind w:left="-306" w:right="-306"/>
      <w:jc w:val="both"/>
      <w:outlineLvl w:val="8"/>
    </w:pPr>
    <w:rPr>
      <w:i/>
      <w:spacing w:val="-2"/>
      <w:sz w:val="22"/>
    </w:rPr>
  </w:style>
  <w:style w:type="character" w:default="1" w:styleId="DefaultParagraphFont">
    <w:name w:val="Default Paragraph Font"/>
    <w:semiHidden/>
    <w:rsid w:val="007D2983"/>
  </w:style>
  <w:style w:type="table" w:default="1" w:styleId="TableNormal">
    <w:name w:val="Normal Table"/>
    <w:semiHidden/>
    <w:rsid w:val="007D2983"/>
    <w:tblPr>
      <w:tblInd w:w="0" w:type="dxa"/>
      <w:tblCellMar>
        <w:top w:w="0" w:type="dxa"/>
        <w:left w:w="108" w:type="dxa"/>
        <w:bottom w:w="0" w:type="dxa"/>
        <w:right w:w="108" w:type="dxa"/>
      </w:tblCellMar>
    </w:tblPr>
  </w:style>
  <w:style w:type="numbering" w:default="1" w:styleId="NoList">
    <w:name w:val="No List"/>
    <w:semiHidden/>
    <w:rsid w:val="007D2983"/>
  </w:style>
  <w:style w:type="paragraph" w:customStyle="1" w:styleId="JuPara">
    <w:name w:val="Ju_Para"/>
    <w:basedOn w:val="Normal"/>
    <w:rsid w:val="007D2983"/>
    <w:pPr>
      <w:ind w:firstLine="284"/>
      <w:jc w:val="both"/>
    </w:pPr>
  </w:style>
  <w:style w:type="paragraph" w:customStyle="1" w:styleId="JuHIRoman">
    <w:name w:val="Ju_H_I_Roman"/>
    <w:basedOn w:val="JuHHead"/>
    <w:next w:val="JuPara"/>
    <w:rsid w:val="007D2983"/>
    <w:pPr>
      <w:tabs>
        <w:tab w:val="left" w:pos="357"/>
      </w:tabs>
      <w:spacing w:before="360"/>
      <w:ind w:left="357" w:hanging="357"/>
    </w:pPr>
    <w:rPr>
      <w:sz w:val="24"/>
    </w:rPr>
  </w:style>
  <w:style w:type="paragraph" w:customStyle="1" w:styleId="JuHHead">
    <w:name w:val="Ju_H_Head"/>
    <w:basedOn w:val="Normal"/>
    <w:next w:val="JuPara"/>
    <w:rsid w:val="007D2983"/>
    <w:pPr>
      <w:keepNext/>
      <w:keepLines/>
      <w:spacing w:before="720" w:after="240"/>
      <w:jc w:val="both"/>
    </w:pPr>
    <w:rPr>
      <w:sz w:val="28"/>
    </w:rPr>
  </w:style>
  <w:style w:type="paragraph" w:styleId="Footer">
    <w:name w:val="footer"/>
    <w:basedOn w:val="Normal"/>
    <w:rsid w:val="007D2983"/>
    <w:pPr>
      <w:tabs>
        <w:tab w:val="center" w:pos="3686"/>
        <w:tab w:val="right" w:pos="7371"/>
      </w:tabs>
    </w:pPr>
    <w:rPr>
      <w:sz w:val="18"/>
    </w:rPr>
  </w:style>
  <w:style w:type="paragraph" w:customStyle="1" w:styleId="JuJudges">
    <w:name w:val="Ju_Judges"/>
    <w:basedOn w:val="Normal"/>
    <w:rsid w:val="007D2983"/>
    <w:pPr>
      <w:tabs>
        <w:tab w:val="left" w:pos="567"/>
        <w:tab w:val="left" w:pos="1134"/>
      </w:tabs>
    </w:pPr>
  </w:style>
  <w:style w:type="character" w:customStyle="1" w:styleId="JuNames">
    <w:name w:val="Ju_Names"/>
    <w:basedOn w:val="DefaultParagraphFont"/>
    <w:rsid w:val="007D2983"/>
    <w:rPr>
      <w:smallCaps/>
    </w:rPr>
  </w:style>
  <w:style w:type="paragraph" w:customStyle="1" w:styleId="JuHA">
    <w:name w:val="Ju_H_A"/>
    <w:basedOn w:val="JuHIRoman"/>
    <w:next w:val="JuPara"/>
    <w:rsid w:val="007D2983"/>
    <w:pPr>
      <w:tabs>
        <w:tab w:val="clear" w:pos="357"/>
        <w:tab w:val="left" w:pos="584"/>
      </w:tabs>
      <w:ind w:left="584" w:hanging="352"/>
    </w:pPr>
    <w:rPr>
      <w:b/>
    </w:rPr>
  </w:style>
  <w:style w:type="paragraph" w:customStyle="1" w:styleId="JuQuot">
    <w:name w:val="Ju_Quot"/>
    <w:basedOn w:val="JuPara"/>
    <w:rsid w:val="007D2983"/>
    <w:pPr>
      <w:spacing w:before="120" w:after="120"/>
      <w:ind w:left="425" w:firstLine="142"/>
    </w:pPr>
    <w:rPr>
      <w:sz w:val="20"/>
    </w:rPr>
  </w:style>
  <w:style w:type="paragraph" w:customStyle="1" w:styleId="JuSigned">
    <w:name w:val="Ju_Signed"/>
    <w:basedOn w:val="Normal"/>
    <w:next w:val="JuParaLast"/>
    <w:rsid w:val="00E95550"/>
    <w:pPr>
      <w:tabs>
        <w:tab w:val="center" w:pos="851"/>
        <w:tab w:val="center" w:pos="6407"/>
      </w:tabs>
      <w:spacing w:before="720"/>
    </w:pPr>
  </w:style>
  <w:style w:type="paragraph" w:customStyle="1" w:styleId="JuParaLast">
    <w:name w:val="Ju_Para_Last"/>
    <w:basedOn w:val="JuPara"/>
    <w:next w:val="JuPara"/>
    <w:rsid w:val="007D2983"/>
    <w:pPr>
      <w:spacing w:before="240"/>
    </w:pPr>
  </w:style>
  <w:style w:type="paragraph" w:customStyle="1" w:styleId="JuCase">
    <w:name w:val="Ju_Case"/>
    <w:basedOn w:val="JuPara"/>
    <w:next w:val="JuPara"/>
    <w:rsid w:val="007D2983"/>
    <w:rPr>
      <w:b/>
    </w:rPr>
  </w:style>
  <w:style w:type="paragraph" w:customStyle="1" w:styleId="JuList">
    <w:name w:val="Ju_List"/>
    <w:basedOn w:val="JuPara"/>
    <w:rsid w:val="007D2983"/>
    <w:pPr>
      <w:ind w:left="340" w:hanging="340"/>
    </w:pPr>
  </w:style>
  <w:style w:type="paragraph" w:customStyle="1" w:styleId="JuHArticle">
    <w:name w:val="Ju_H_Article"/>
    <w:basedOn w:val="JuHa0"/>
    <w:next w:val="JuQuot"/>
    <w:rsid w:val="007D2983"/>
    <w:pPr>
      <w:ind w:left="0" w:firstLine="0"/>
      <w:jc w:val="center"/>
    </w:pPr>
  </w:style>
  <w:style w:type="paragraph" w:customStyle="1" w:styleId="JuHa0">
    <w:name w:val="Ju_H_a"/>
    <w:basedOn w:val="JuH1"/>
    <w:next w:val="JuPara"/>
    <w:rsid w:val="007D2983"/>
    <w:pPr>
      <w:tabs>
        <w:tab w:val="clear" w:pos="731"/>
        <w:tab w:val="left" w:pos="975"/>
      </w:tabs>
      <w:ind w:left="975" w:hanging="340"/>
    </w:pPr>
    <w:rPr>
      <w:b/>
      <w:i w:val="0"/>
      <w:sz w:val="20"/>
    </w:rPr>
  </w:style>
  <w:style w:type="paragraph" w:styleId="CommentSubject">
    <w:name w:val="annotation subject"/>
    <w:basedOn w:val="CommentText"/>
    <w:next w:val="CommentText"/>
    <w:semiHidden/>
    <w:rsid w:val="00F43833"/>
    <w:rPr>
      <w:b/>
      <w:bCs/>
    </w:rPr>
  </w:style>
  <w:style w:type="paragraph" w:customStyle="1" w:styleId="JuCourt">
    <w:name w:val="Ju_Court"/>
    <w:basedOn w:val="JuJudges"/>
    <w:rsid w:val="007D2983"/>
    <w:pPr>
      <w:tabs>
        <w:tab w:val="clear" w:pos="567"/>
        <w:tab w:val="clear" w:pos="1134"/>
        <w:tab w:val="left" w:pos="907"/>
        <w:tab w:val="left" w:pos="1701"/>
        <w:tab w:val="right" w:pos="7371"/>
      </w:tabs>
      <w:spacing w:before="240"/>
      <w:ind w:left="397" w:hanging="397"/>
    </w:pPr>
  </w:style>
  <w:style w:type="paragraph" w:customStyle="1" w:styleId="JuH1">
    <w:name w:val="Ju_H_1."/>
    <w:basedOn w:val="JuHA"/>
    <w:next w:val="JuPara"/>
    <w:rsid w:val="007D2983"/>
    <w:pPr>
      <w:tabs>
        <w:tab w:val="clear" w:pos="584"/>
        <w:tab w:val="left" w:pos="731"/>
      </w:tabs>
      <w:spacing w:before="240" w:after="120"/>
      <w:ind w:left="732" w:hanging="301"/>
    </w:pPr>
    <w:rPr>
      <w:b w:val="0"/>
      <w:i/>
    </w:rPr>
  </w:style>
  <w:style w:type="paragraph" w:styleId="FootnoteText">
    <w:name w:val="footnote text"/>
    <w:basedOn w:val="Normal"/>
    <w:semiHidden/>
    <w:rsid w:val="007D2983"/>
    <w:pPr>
      <w:jc w:val="both"/>
    </w:pPr>
    <w:rPr>
      <w:sz w:val="20"/>
    </w:rPr>
  </w:style>
  <w:style w:type="character" w:styleId="FootnoteReference">
    <w:name w:val="footnote reference"/>
    <w:basedOn w:val="DefaultParagraphFont"/>
    <w:semiHidden/>
    <w:rsid w:val="007D2983"/>
    <w:rPr>
      <w:vertAlign w:val="superscript"/>
    </w:rPr>
  </w:style>
  <w:style w:type="paragraph" w:customStyle="1" w:styleId="JuHi">
    <w:name w:val="Ju_H_i"/>
    <w:basedOn w:val="JuHa0"/>
    <w:next w:val="JuPara"/>
    <w:rsid w:val="007D2983"/>
    <w:pPr>
      <w:tabs>
        <w:tab w:val="clear" w:pos="975"/>
        <w:tab w:val="left" w:pos="1191"/>
      </w:tabs>
      <w:ind w:left="1190" w:hanging="357"/>
    </w:pPr>
    <w:rPr>
      <w:b w:val="0"/>
      <w:i/>
    </w:rPr>
  </w:style>
  <w:style w:type="paragraph" w:styleId="Header">
    <w:name w:val="header"/>
    <w:basedOn w:val="Normal"/>
    <w:rsid w:val="007D2983"/>
    <w:pPr>
      <w:tabs>
        <w:tab w:val="center" w:pos="3686"/>
        <w:tab w:val="right" w:pos="7371"/>
      </w:tabs>
    </w:pPr>
    <w:rPr>
      <w:sz w:val="18"/>
    </w:rPr>
  </w:style>
  <w:style w:type="character" w:styleId="PageNumber">
    <w:name w:val="page number"/>
    <w:basedOn w:val="DefaultParagraphFont"/>
    <w:rsid w:val="007D2983"/>
    <w:rPr>
      <w:sz w:val="18"/>
    </w:rPr>
  </w:style>
  <w:style w:type="paragraph" w:customStyle="1" w:styleId="JuH">
    <w:name w:val="Ju_H_–"/>
    <w:basedOn w:val="JuHalpha"/>
    <w:next w:val="JuPara"/>
    <w:rsid w:val="007D2983"/>
    <w:pPr>
      <w:tabs>
        <w:tab w:val="clear" w:pos="1372"/>
      </w:tabs>
      <w:ind w:left="1236" w:firstLine="0"/>
    </w:pPr>
    <w:rPr>
      <w:i/>
    </w:rPr>
  </w:style>
  <w:style w:type="paragraph" w:customStyle="1" w:styleId="JuHalpha">
    <w:name w:val="Ju_H_alpha"/>
    <w:basedOn w:val="JuHi"/>
    <w:next w:val="JuPara"/>
    <w:rsid w:val="007D2983"/>
    <w:pPr>
      <w:tabs>
        <w:tab w:val="clear" w:pos="1191"/>
        <w:tab w:val="left" w:pos="1372"/>
      </w:tabs>
      <w:ind w:left="1373" w:hanging="335"/>
    </w:pPr>
    <w:rPr>
      <w:i w:val="0"/>
    </w:rPr>
  </w:style>
  <w:style w:type="paragraph" w:customStyle="1" w:styleId="JuLista">
    <w:name w:val="Ju_List_a"/>
    <w:basedOn w:val="JuList"/>
    <w:rsid w:val="007D2983"/>
    <w:pPr>
      <w:ind w:left="346" w:firstLine="0"/>
    </w:pPr>
  </w:style>
  <w:style w:type="paragraph" w:customStyle="1" w:styleId="JuListi">
    <w:name w:val="Ju_List_i"/>
    <w:basedOn w:val="JuLista"/>
    <w:rsid w:val="007D2983"/>
    <w:pPr>
      <w:ind w:left="794"/>
    </w:p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paragraph" w:customStyle="1" w:styleId="OpiHHead">
    <w:name w:val="Opi_H_Head"/>
    <w:basedOn w:val="JuHHead"/>
    <w:next w:val="OpiPara"/>
    <w:rsid w:val="007D2983"/>
    <w:pPr>
      <w:spacing w:before="0"/>
      <w:jc w:val="center"/>
    </w:pPr>
  </w:style>
  <w:style w:type="paragraph" w:customStyle="1" w:styleId="OpiPara">
    <w:name w:val="Opi_Para"/>
    <w:basedOn w:val="JuPara"/>
    <w:rsid w:val="007D2983"/>
  </w:style>
  <w:style w:type="paragraph" w:customStyle="1" w:styleId="OpiTranslation">
    <w:name w:val="Opi_Translation"/>
    <w:basedOn w:val="OpiHHead"/>
    <w:next w:val="OpiPara"/>
    <w:rsid w:val="007D2983"/>
    <w:rPr>
      <w:sz w:val="24"/>
    </w:rPr>
  </w:style>
  <w:style w:type="paragraph" w:customStyle="1" w:styleId="JuInitialled">
    <w:name w:val="Ju_Initialled"/>
    <w:basedOn w:val="JuSigned"/>
    <w:rsid w:val="007D2983"/>
    <w:pPr>
      <w:tabs>
        <w:tab w:val="clear" w:pos="851"/>
      </w:tabs>
      <w:jc w:val="right"/>
    </w:pPr>
  </w:style>
  <w:style w:type="paragraph" w:customStyle="1" w:styleId="JuHeader">
    <w:name w:val="Ju_Header"/>
    <w:basedOn w:val="Header"/>
    <w:rsid w:val="007D2983"/>
  </w:style>
  <w:style w:type="paragraph" w:customStyle="1" w:styleId="DecHTitle">
    <w:name w:val="Dec_H_Title"/>
    <w:basedOn w:val="Normal"/>
    <w:rsid w:val="007D2983"/>
    <w:pPr>
      <w:spacing w:after="240"/>
      <w:jc w:val="center"/>
    </w:pPr>
    <w:rPr>
      <w:sz w:val="28"/>
    </w:rPr>
  </w:style>
  <w:style w:type="paragraph" w:customStyle="1" w:styleId="DecHCase">
    <w:name w:val="Dec_H_Case"/>
    <w:basedOn w:val="DecHTitle"/>
    <w:next w:val="JuPara"/>
    <w:rsid w:val="007D2983"/>
    <w:rPr>
      <w:sz w:val="24"/>
    </w:rPr>
  </w:style>
  <w:style w:type="paragraph" w:customStyle="1" w:styleId="DecList">
    <w:name w:val="Dec_List"/>
    <w:basedOn w:val="Normal"/>
    <w:rsid w:val="007D2983"/>
    <w:pPr>
      <w:spacing w:before="240"/>
      <w:ind w:left="284"/>
      <w:jc w:val="both"/>
    </w:pPr>
  </w:style>
  <w:style w:type="paragraph" w:customStyle="1" w:styleId="JuParaSub">
    <w:name w:val="Ju_Para_Sub"/>
    <w:basedOn w:val="JuPara"/>
    <w:rsid w:val="007D2983"/>
    <w:pPr>
      <w:ind w:left="284"/>
    </w:pPr>
    <w:rPr>
      <w:szCs w:val="24"/>
    </w:rPr>
  </w:style>
  <w:style w:type="paragraph" w:customStyle="1" w:styleId="JuQuotSub">
    <w:name w:val="Ju_Quot_Sub"/>
    <w:basedOn w:val="JuQuot"/>
    <w:rsid w:val="007D2983"/>
    <w:pPr>
      <w:ind w:left="567"/>
    </w:pPr>
  </w:style>
  <w:style w:type="paragraph" w:styleId="BalloonText">
    <w:name w:val="Balloon Text"/>
    <w:basedOn w:val="Normal"/>
    <w:semiHidden/>
    <w:rsid w:val="00283F8B"/>
    <w:rPr>
      <w:rFonts w:ascii="Tahoma" w:hAnsi="Tahoma" w:cs="Tahoma"/>
      <w:sz w:val="16"/>
      <w:szCs w:val="16"/>
    </w:rPr>
  </w:style>
  <w:style w:type="paragraph" w:customStyle="1" w:styleId="PJuPara">
    <w:name w:val="P_Ju_Para"/>
    <w:basedOn w:val="Normal"/>
    <w:rsid w:val="007D2983"/>
    <w:pPr>
      <w:ind w:firstLine="284"/>
      <w:jc w:val="both"/>
    </w:pPr>
  </w:style>
  <w:style w:type="paragraph" w:customStyle="1" w:styleId="PJuQuot">
    <w:name w:val="P_Ju_Quot"/>
    <w:basedOn w:val="Normal"/>
    <w:rsid w:val="007D2983"/>
    <w:pPr>
      <w:spacing w:before="120" w:after="120"/>
      <w:ind w:left="403" w:firstLine="176"/>
      <w:jc w:val="both"/>
    </w:pPr>
    <w:rPr>
      <w:sz w:val="20"/>
    </w:rPr>
  </w:style>
  <w:style w:type="paragraph" w:customStyle="1" w:styleId="OpiCommission">
    <w:name w:val="Opi_Commission"/>
    <w:basedOn w:val="JuJudges"/>
    <w:rsid w:val="007D2983"/>
    <w:pPr>
      <w:tabs>
        <w:tab w:val="clear" w:pos="567"/>
        <w:tab w:val="clear" w:pos="1134"/>
        <w:tab w:val="left" w:pos="1814"/>
        <w:tab w:val="left" w:pos="2381"/>
        <w:tab w:val="left" w:pos="3119"/>
      </w:tabs>
      <w:ind w:left="1418"/>
    </w:pPr>
    <w:rPr>
      <w:sz w:val="20"/>
    </w:rPr>
  </w:style>
  <w:style w:type="paragraph" w:customStyle="1" w:styleId="OpiConclusion">
    <w:name w:val="Opi_Conclusion"/>
    <w:basedOn w:val="OpiPara"/>
    <w:next w:val="OpiPara"/>
    <w:rsid w:val="007D2983"/>
    <w:pPr>
      <w:spacing w:before="360" w:after="120"/>
      <w:ind w:firstLine="0"/>
    </w:pPr>
    <w:rPr>
      <w:i/>
    </w:rPr>
  </w:style>
  <w:style w:type="paragraph" w:customStyle="1" w:styleId="OpiHA">
    <w:name w:val="Opi_H_A"/>
    <w:basedOn w:val="JuHIRoman"/>
    <w:next w:val="OpiPara"/>
    <w:rsid w:val="007D2983"/>
    <w:pPr>
      <w:tabs>
        <w:tab w:val="clear" w:pos="357"/>
      </w:tabs>
    </w:pPr>
    <w:rPr>
      <w:b/>
    </w:rPr>
  </w:style>
  <w:style w:type="paragraph" w:customStyle="1" w:styleId="OpiH1">
    <w:name w:val="Opi_H_1."/>
    <w:basedOn w:val="OpiHA"/>
    <w:next w:val="OpiPara"/>
    <w:rsid w:val="007D2983"/>
    <w:pPr>
      <w:spacing w:before="240" w:after="120"/>
      <w:ind w:left="635"/>
    </w:pPr>
    <w:rPr>
      <w:b w:val="0"/>
      <w:i/>
    </w:rPr>
  </w:style>
  <w:style w:type="paragraph" w:customStyle="1" w:styleId="OpiHa0">
    <w:name w:val="Opi_H_a"/>
    <w:basedOn w:val="OpiH1"/>
    <w:next w:val="OpiPara"/>
    <w:rsid w:val="007D2983"/>
    <w:pPr>
      <w:ind w:left="834"/>
    </w:pPr>
    <w:rPr>
      <w:b/>
      <w:i w:val="0"/>
      <w:sz w:val="20"/>
    </w:rPr>
  </w:style>
  <w:style w:type="paragraph" w:customStyle="1" w:styleId="OpiHCommission">
    <w:name w:val="Opi_H_Commission"/>
    <w:basedOn w:val="OpiTranslation"/>
    <w:next w:val="OpiPara"/>
    <w:rsid w:val="007D2983"/>
    <w:pPr>
      <w:spacing w:before="480"/>
      <w:ind w:left="1418"/>
      <w:jc w:val="left"/>
    </w:pPr>
    <w:rPr>
      <w:sz w:val="20"/>
    </w:rPr>
  </w:style>
  <w:style w:type="paragraph" w:customStyle="1" w:styleId="OpiHi">
    <w:name w:val="Opi_H_i"/>
    <w:basedOn w:val="OpiHa0"/>
    <w:next w:val="OpiPara"/>
    <w:rsid w:val="007D2983"/>
    <w:pPr>
      <w:ind w:left="1038"/>
    </w:pPr>
    <w:rPr>
      <w:b w:val="0"/>
      <w:i/>
    </w:rPr>
  </w:style>
  <w:style w:type="paragraph" w:customStyle="1" w:styleId="OpiHOpinion">
    <w:name w:val="Opi_H_Opinion"/>
    <w:basedOn w:val="OpiHHead"/>
    <w:next w:val="OpiPara"/>
    <w:rsid w:val="007D2983"/>
    <w:pPr>
      <w:spacing w:before="240"/>
    </w:pPr>
    <w:rPr>
      <w:b/>
    </w:rPr>
  </w:style>
  <w:style w:type="paragraph" w:customStyle="1" w:styleId="OpiList">
    <w:name w:val="Opi_List"/>
    <w:basedOn w:val="JuList"/>
    <w:rsid w:val="007D2983"/>
  </w:style>
  <w:style w:type="character" w:customStyle="1" w:styleId="OpiNames">
    <w:name w:val="Opi_Names"/>
    <w:basedOn w:val="JuNames"/>
    <w:rsid w:val="007D2983"/>
    <w:rPr>
      <w:smallCaps/>
    </w:rPr>
  </w:style>
  <w:style w:type="paragraph" w:customStyle="1" w:styleId="PListArticleSubject">
    <w:name w:val="P_List_ArticleSubject"/>
    <w:basedOn w:val="Normal"/>
    <w:rsid w:val="007D2983"/>
    <w:pPr>
      <w:tabs>
        <w:tab w:val="left" w:pos="2977"/>
      </w:tabs>
      <w:ind w:left="2977" w:hanging="2977"/>
    </w:pPr>
  </w:style>
  <w:style w:type="paragraph" w:customStyle="1" w:styleId="OpiQuot">
    <w:name w:val="Opi_Quot"/>
    <w:basedOn w:val="JuQuot"/>
    <w:rsid w:val="007D2983"/>
  </w:style>
  <w:style w:type="paragraph" w:customStyle="1" w:styleId="OpiQuotList">
    <w:name w:val="Opi_Quot_List"/>
    <w:basedOn w:val="OpiQuot"/>
    <w:rsid w:val="007D2983"/>
    <w:pPr>
      <w:tabs>
        <w:tab w:val="left" w:pos="1021"/>
      </w:tabs>
      <w:ind w:left="567" w:firstLine="0"/>
    </w:pPr>
  </w:style>
  <w:style w:type="paragraph" w:customStyle="1" w:styleId="OpiSigned">
    <w:name w:val="Opi_Signed"/>
    <w:basedOn w:val="JuSigned"/>
    <w:rsid w:val="007D2983"/>
    <w:pPr>
      <w:tabs>
        <w:tab w:val="clear" w:pos="851"/>
        <w:tab w:val="center" w:pos="1418"/>
        <w:tab w:val="center" w:pos="5954"/>
      </w:tabs>
    </w:pPr>
  </w:style>
  <w:style w:type="paragraph" w:customStyle="1" w:styleId="SuCoverTitle1">
    <w:name w:val="Su_Cover_Title1"/>
    <w:basedOn w:val="Normal"/>
    <w:next w:val="SuCoverTitle2"/>
    <w:rsid w:val="007D2983"/>
    <w:pPr>
      <w:spacing w:before="2500"/>
      <w:jc w:val="center"/>
    </w:pPr>
    <w:rPr>
      <w:sz w:val="22"/>
    </w:rPr>
  </w:style>
  <w:style w:type="paragraph" w:customStyle="1" w:styleId="SuCoverTitle2">
    <w:name w:val="Su_Cover_Title2"/>
    <w:basedOn w:val="SuCoverTitle1"/>
    <w:next w:val="Normal"/>
    <w:rsid w:val="007D2983"/>
    <w:pPr>
      <w:spacing w:before="240"/>
    </w:pPr>
    <w:rPr>
      <w:sz w:val="18"/>
    </w:rPr>
  </w:style>
  <w:style w:type="paragraph" w:customStyle="1" w:styleId="SuPara">
    <w:name w:val="Su_Para"/>
    <w:basedOn w:val="SuKeywords"/>
    <w:rsid w:val="007D2983"/>
    <w:pPr>
      <w:spacing w:before="0" w:after="0"/>
    </w:pPr>
    <w:rPr>
      <w:i w:val="0"/>
    </w:rPr>
  </w:style>
  <w:style w:type="paragraph" w:customStyle="1" w:styleId="SuSubject">
    <w:name w:val="Su_Subject"/>
    <w:basedOn w:val="SuSummary"/>
    <w:rsid w:val="007D2983"/>
    <w:pPr>
      <w:spacing w:before="360"/>
      <w:jc w:val="both"/>
    </w:pPr>
    <w:rPr>
      <w:b/>
      <w:sz w:val="22"/>
    </w:rPr>
  </w:style>
  <w:style w:type="paragraph" w:customStyle="1" w:styleId="SuHHead">
    <w:name w:val="Su_H_Head"/>
    <w:basedOn w:val="SuSubject"/>
    <w:rsid w:val="007D2983"/>
    <w:pPr>
      <w:spacing w:after="120"/>
    </w:pPr>
  </w:style>
  <w:style w:type="paragraph" w:customStyle="1" w:styleId="SuKeywords">
    <w:name w:val="Su_Keywords"/>
    <w:basedOn w:val="SuHHead"/>
    <w:rsid w:val="007D2983"/>
    <w:pPr>
      <w:spacing w:before="120"/>
    </w:pPr>
    <w:rPr>
      <w:b w:val="0"/>
      <w:i/>
    </w:rPr>
  </w:style>
  <w:style w:type="paragraph" w:customStyle="1" w:styleId="SuSummary">
    <w:name w:val="Su_Summary"/>
    <w:basedOn w:val="Normal"/>
    <w:next w:val="SuSubject"/>
    <w:rsid w:val="007D2983"/>
    <w:pPr>
      <w:spacing w:after="240"/>
      <w:jc w:val="center"/>
    </w:pPr>
  </w:style>
  <w:style w:type="paragraph" w:customStyle="1" w:styleId="PListCaseNo">
    <w:name w:val="P_List_CaseNo"/>
    <w:basedOn w:val="Normal"/>
    <w:rsid w:val="007D2983"/>
    <w:pPr>
      <w:tabs>
        <w:tab w:val="left" w:pos="1276"/>
      </w:tabs>
      <w:spacing w:line="288" w:lineRule="auto"/>
      <w:ind w:left="1276" w:hanging="1276"/>
    </w:pPr>
  </w:style>
  <w:style w:type="paragraph" w:customStyle="1" w:styleId="PListCases">
    <w:name w:val="P_List_Cases"/>
    <w:basedOn w:val="Normal"/>
    <w:rsid w:val="007D2983"/>
    <w:pPr>
      <w:spacing w:line="288" w:lineRule="auto"/>
    </w:pPr>
  </w:style>
  <w:style w:type="paragraph" w:customStyle="1" w:styleId="PTextIntro">
    <w:name w:val="P_Text_Intro"/>
    <w:basedOn w:val="Normal"/>
    <w:rsid w:val="007D2983"/>
    <w:pPr>
      <w:jc w:val="both"/>
    </w:pPr>
    <w:rPr>
      <w:i/>
      <w:sz w:val="20"/>
    </w:rPr>
  </w:style>
  <w:style w:type="paragraph" w:customStyle="1" w:styleId="PTitleCover">
    <w:name w:val="P_Title_Cover"/>
    <w:basedOn w:val="Normal"/>
    <w:rsid w:val="007D2983"/>
    <w:pPr>
      <w:spacing w:before="2500"/>
      <w:jc w:val="center"/>
    </w:pPr>
    <w:rPr>
      <w:b/>
      <w:smallCaps/>
      <w:sz w:val="30"/>
    </w:rPr>
  </w:style>
  <w:style w:type="paragraph" w:customStyle="1" w:styleId="PTitle1Alpha">
    <w:name w:val="P_Title1_Alpha"/>
    <w:basedOn w:val="Normal"/>
    <w:next w:val="Normal"/>
    <w:rsid w:val="007D2983"/>
    <w:pPr>
      <w:spacing w:after="120"/>
      <w:jc w:val="center"/>
    </w:pPr>
    <w:rPr>
      <w:b/>
      <w:smallCaps/>
      <w:sz w:val="30"/>
    </w:rPr>
  </w:style>
  <w:style w:type="paragraph" w:customStyle="1" w:styleId="PTitle1IndexArticle">
    <w:name w:val="P_Title1_IndexArticle"/>
    <w:basedOn w:val="Normal"/>
    <w:rsid w:val="007D2983"/>
    <w:pPr>
      <w:spacing w:after="120"/>
      <w:jc w:val="center"/>
    </w:pPr>
    <w:rPr>
      <w:b/>
      <w:smallCaps/>
      <w:sz w:val="30"/>
    </w:rPr>
  </w:style>
  <w:style w:type="paragraph" w:customStyle="1" w:styleId="PTitle1IndexKey">
    <w:name w:val="P_Title1_IndexKey"/>
    <w:basedOn w:val="Normal"/>
    <w:rsid w:val="007D2983"/>
    <w:pPr>
      <w:spacing w:after="600"/>
      <w:jc w:val="center"/>
    </w:pPr>
    <w:rPr>
      <w:b/>
      <w:smallCaps/>
      <w:sz w:val="30"/>
    </w:rPr>
  </w:style>
  <w:style w:type="paragraph" w:customStyle="1" w:styleId="PTitle1Num">
    <w:name w:val="P_Title1_Num"/>
    <w:basedOn w:val="Normal"/>
    <w:next w:val="PListCaseNo"/>
    <w:rsid w:val="007D2983"/>
    <w:pPr>
      <w:spacing w:after="720"/>
      <w:jc w:val="center"/>
    </w:pPr>
    <w:rPr>
      <w:b/>
      <w:smallCaps/>
      <w:sz w:val="30"/>
    </w:rPr>
  </w:style>
  <w:style w:type="paragraph" w:customStyle="1" w:styleId="PTitle2Country">
    <w:name w:val="P_Title2_Country"/>
    <w:basedOn w:val="Normal"/>
    <w:next w:val="PListCases"/>
    <w:rsid w:val="007D2983"/>
    <w:pPr>
      <w:keepNext/>
      <w:keepLines/>
      <w:spacing w:before="600" w:after="360"/>
    </w:pPr>
    <w:rPr>
      <w:b/>
    </w:rPr>
  </w:style>
  <w:style w:type="paragraph" w:customStyle="1" w:styleId="PTitle2Letters">
    <w:name w:val="P_Title2_Letters"/>
    <w:basedOn w:val="Normal"/>
    <w:next w:val="PListCases"/>
    <w:rsid w:val="007D2983"/>
    <w:pPr>
      <w:keepNext/>
      <w:keepLines/>
      <w:spacing w:before="600" w:after="360"/>
    </w:pPr>
    <w:rPr>
      <w:b/>
      <w:sz w:val="28"/>
    </w:rPr>
  </w:style>
  <w:style w:type="paragraph" w:customStyle="1" w:styleId="PTitle2Part">
    <w:name w:val="P_Title2_Part"/>
    <w:basedOn w:val="Normal"/>
    <w:rsid w:val="007D2983"/>
    <w:pPr>
      <w:keepNext/>
      <w:keepLines/>
      <w:spacing w:before="600" w:after="240"/>
      <w:jc w:val="center"/>
    </w:pPr>
    <w:rPr>
      <w:b/>
      <w:caps/>
    </w:rPr>
  </w:style>
  <w:style w:type="paragraph" w:customStyle="1" w:styleId="PTitle3Article">
    <w:name w:val="P_Title3_Article"/>
    <w:basedOn w:val="Normal"/>
    <w:rsid w:val="007D2983"/>
    <w:pPr>
      <w:keepNext/>
      <w:keepLines/>
      <w:spacing w:before="360" w:after="120"/>
      <w:jc w:val="center"/>
    </w:pPr>
    <w:rPr>
      <w:b/>
      <w:smallCaps/>
      <w:sz w:val="22"/>
    </w:rPr>
  </w:style>
  <w:style w:type="paragraph" w:customStyle="1" w:styleId="PTitle4ArticleSub">
    <w:name w:val="P_Title4_Article_Sub"/>
    <w:basedOn w:val="PTitle3Article"/>
    <w:rsid w:val="007D2983"/>
    <w:pPr>
      <w:spacing w:before="240"/>
    </w:pPr>
    <w:rPr>
      <w:smallCaps w:val="0"/>
      <w:sz w:val="20"/>
    </w:rPr>
  </w:style>
  <w:style w:type="paragraph" w:customStyle="1" w:styleId="PTitle5Subject">
    <w:name w:val="P_Title5_Subject"/>
    <w:basedOn w:val="Normal"/>
    <w:rsid w:val="007D2983"/>
    <w:pPr>
      <w:keepNext/>
      <w:keepLines/>
      <w:spacing w:before="240" w:after="120"/>
      <w:jc w:val="both"/>
    </w:pPr>
    <w:rPr>
      <w:b/>
      <w:i/>
    </w:rPr>
  </w:style>
  <w:style w:type="paragraph" w:customStyle="1" w:styleId="PTitle6SubjectSub">
    <w:name w:val="P_Title6_Subject_Sub"/>
    <w:basedOn w:val="Normal"/>
    <w:rsid w:val="007D2983"/>
    <w:pPr>
      <w:keepNext/>
      <w:keepLines/>
      <w:spacing w:before="240" w:after="120"/>
      <w:ind w:left="284"/>
      <w:jc w:val="both"/>
    </w:pPr>
    <w:rPr>
      <w:b/>
      <w:sz w:val="20"/>
    </w:rPr>
  </w:style>
  <w:style w:type="paragraph" w:customStyle="1" w:styleId="PTitle7CaseName">
    <w:name w:val="P_Title7_CaseName"/>
    <w:basedOn w:val="Normal"/>
    <w:rsid w:val="007D2983"/>
    <w:pPr>
      <w:keepLines/>
      <w:spacing w:after="240"/>
      <w:jc w:val="right"/>
    </w:pPr>
    <w:rPr>
      <w:sz w:val="22"/>
    </w:rPr>
  </w:style>
  <w:style w:type="paragraph" w:customStyle="1" w:styleId="OpiParaSub">
    <w:name w:val="Opi_Para_Sub"/>
    <w:basedOn w:val="JuParaSub"/>
    <w:rsid w:val="007D2983"/>
  </w:style>
  <w:style w:type="paragraph" w:customStyle="1" w:styleId="OpiQuotSub">
    <w:name w:val="Opi_Quot_Sub"/>
    <w:basedOn w:val="JuQuotSub"/>
    <w:rsid w:val="007D29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customXml" Target="../customXml/item2.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customXml" Target="../customXml/item1.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58EB02BDB9E204AB350EDD385B68E10" ma:contentTypeVersion="0" ma:contentTypeDescription="Create a new document." ma:contentTypeScope="" ma:versionID="4c0f801ee557d5c8fba2c83aceb7a3a2">
  <xsd:schema xmlns:xsd="http://www.w3.org/2001/XMLSchema" xmlns:xs="http://www.w3.org/2001/XMLSchema" xmlns:p="http://schemas.microsoft.com/office/2006/metadata/properties" targetNamespace="http://schemas.microsoft.com/office/2006/metadata/properties" ma:root="true" ma:fieldsID="66a9e0779a85d62bb2248c31b91edb7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B9BD137-1BB5-4DFE-8142-19B48D4C8F9D}"/>
</file>

<file path=customXml/itemProps2.xml><?xml version="1.0" encoding="utf-8"?>
<ds:datastoreItem xmlns:ds="http://schemas.openxmlformats.org/officeDocument/2006/customXml" ds:itemID="{36AA260C-5D35-4537-A6A7-70562335A4FB}"/>
</file>

<file path=customXml/itemProps3.xml><?xml version="1.0" encoding="utf-8"?>
<ds:datastoreItem xmlns:ds="http://schemas.openxmlformats.org/officeDocument/2006/customXml" ds:itemID="{9144F806-1F5C-4A49-829C-836B75E8D972}"/>
</file>

<file path=docProps/app.xml><?xml version="1.0" encoding="utf-8"?>
<Properties xmlns="http://schemas.openxmlformats.org/officeDocument/2006/extended-properties" xmlns:vt="http://schemas.openxmlformats.org/officeDocument/2006/docPropsVTypes">
  <Template>Normal.dotm</Template>
  <TotalTime>2799</TotalTime>
  <Pages>1</Pages>
  <Words>6627</Words>
  <Characters>37776</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ECHR</vt:lpstr>
    </vt:vector>
  </TitlesOfParts>
  <Manager/>
  <Company/>
  <LinksUpToDate>false</LinksUpToDate>
  <CharactersWithSpaces>44315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ECHR</dc:title>
  <dc:subject/>
  <dc:creator/>
  <cp:keywords/>
  <dc:description/>
  <cp:lastModifiedBy/>
  <cp:revision>33</cp:revision>
  <cp:lastPrinted>2006-02-02T14:36:00Z</cp:lastPrinted>
  <dcterms:created xsi:type="dcterms:W3CDTF">2015-03-17T17:29:00Z</dcterms:created>
  <dcterms:modified xsi:type="dcterms:W3CDTF">2015-03-17T17:29:00Z</dcterms:modified>
  <cp:category>ECHR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0x010100558EB02BDB9E204AB350EDD385B68E10</vt:lpwstr>
  </property>
</Properties>
</file>