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8D" w:rsidP="00D84354" w:rsidRDefault="008C0F9B">
      <w:pPr>
        <w:jc w:val="center"/>
      </w:pPr>
      <w: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37.55pt;height:139.55pt" fillcolor="window" type="#_x0000_t75">
            <v:imagedata o:title="" r:id="rId7"/>
          </v:shape>
        </w:pict>
      </w:r>
    </w:p>
    <w:p w:rsidR="00B9248D" w:rsidP="00D84354" w:rsidRDefault="00B9248D">
      <w:pPr>
        <w:jc w:val="center"/>
      </w:pPr>
    </w:p>
    <w:p w:rsidR="00B9248D" w:rsidP="00D84354" w:rsidRDefault="00B9248D">
      <w:pPr>
        <w:jc w:val="center"/>
      </w:pPr>
    </w:p>
    <w:p w:rsidR="00B9248D" w:rsidP="00D84354" w:rsidRDefault="00B9248D">
      <w:pPr>
        <w:jc w:val="center"/>
      </w:pPr>
    </w:p>
    <w:p w:rsidR="00B9248D" w:rsidP="00124007" w:rsidRDefault="00967E1F">
      <w:pPr>
        <w:jc w:val="center"/>
        <w:outlineLvl w:val="0"/>
      </w:pPr>
      <w:r>
        <w:t>GRAND CHAMBER</w:t>
      </w:r>
    </w:p>
    <w:p w:rsidR="00B9248D" w:rsidP="00D84354" w:rsidRDefault="00B9248D">
      <w:pPr>
        <w:jc w:val="center"/>
      </w:pPr>
      <w:bookmarkStart w:name="_GoBack" w:id="0"/>
      <w:bookmarkEnd w:id="0"/>
    </w:p>
    <w:p w:rsidR="00B9248D" w:rsidP="00D84354" w:rsidRDefault="00B9248D">
      <w:pPr>
        <w:jc w:val="center"/>
      </w:pPr>
    </w:p>
    <w:p w:rsidR="00B9248D" w:rsidP="00D84354" w:rsidRDefault="00B9248D">
      <w:pPr>
        <w:jc w:val="center"/>
      </w:pPr>
    </w:p>
    <w:p w:rsidRPr="008213D8" w:rsidR="00783B45" w:rsidP="00D84354" w:rsidRDefault="00783B45">
      <w:pPr>
        <w:jc w:val="center"/>
      </w:pPr>
    </w:p>
    <w:p w:rsidR="00D84354" w:rsidP="00124007" w:rsidRDefault="00D84354">
      <w:pPr>
        <w:jc w:val="center"/>
        <w:outlineLvl w:val="0"/>
        <w:rPr>
          <w:b/>
        </w:rPr>
      </w:pPr>
      <w:r w:rsidRPr="00783B45">
        <w:rPr>
          <w:b/>
        </w:rPr>
        <w:t xml:space="preserve">CASE OF SCORDINO v. </w:t>
      </w:r>
      <w:smartTag w:uri="urn:schemas-microsoft-com:office:smarttags" w:element="place">
        <w:smartTag w:uri="urn:schemas-microsoft-com:office:smarttags" w:element="country-region">
          <w:r w:rsidRPr="00783B45">
            <w:rPr>
              <w:b/>
            </w:rPr>
            <w:t>ITALY</w:t>
          </w:r>
        </w:smartTag>
      </w:smartTag>
      <w:r w:rsidR="00F57122">
        <w:rPr>
          <w:b/>
        </w:rPr>
        <w:t xml:space="preserve"> (</w:t>
      </w:r>
      <w:r w:rsidR="000976E6">
        <w:rPr>
          <w:b/>
          <w:szCs w:val="24"/>
        </w:rPr>
        <w:t>N</w:t>
      </w:r>
      <w:r w:rsidRPr="000A17C4" w:rsidR="00DA15E2">
        <w:rPr>
          <w:b/>
          <w:szCs w:val="24"/>
        </w:rPr>
        <w:t>o. 1</w:t>
      </w:r>
      <w:r w:rsidRPr="00783B45">
        <w:rPr>
          <w:b/>
        </w:rPr>
        <w:t>)</w:t>
      </w:r>
    </w:p>
    <w:p w:rsidRPr="00783B45" w:rsidR="00783B45" w:rsidP="00783B45" w:rsidRDefault="00783B45">
      <w:pPr>
        <w:jc w:val="center"/>
        <w:rPr>
          <w:b/>
        </w:rPr>
      </w:pPr>
    </w:p>
    <w:p w:rsidR="00B9248D" w:rsidP="00B9248D" w:rsidRDefault="00D84354">
      <w:pPr>
        <w:jc w:val="center"/>
        <w:rPr>
          <w:i/>
        </w:rPr>
      </w:pPr>
      <w:r w:rsidRPr="008213D8">
        <w:rPr>
          <w:i/>
        </w:rPr>
        <w:t xml:space="preserve">(Application no. </w:t>
      </w:r>
      <w:r>
        <w:rPr>
          <w:i/>
        </w:rPr>
        <w:t>36813/97</w:t>
      </w:r>
      <w:r w:rsidRPr="008213D8">
        <w:rPr>
          <w:i/>
        </w:rPr>
        <w:t>)</w:t>
      </w:r>
    </w:p>
    <w:p w:rsidR="00B9248D" w:rsidP="00B9248D" w:rsidRDefault="00B9248D">
      <w:pPr>
        <w:jc w:val="center"/>
        <w:rPr>
          <w:i/>
        </w:rPr>
      </w:pPr>
    </w:p>
    <w:p w:rsidR="00B9248D" w:rsidP="00B9248D" w:rsidRDefault="00B9248D">
      <w:pPr>
        <w:jc w:val="center"/>
        <w:rPr>
          <w:i/>
        </w:rPr>
      </w:pPr>
    </w:p>
    <w:p w:rsidR="00B9248D" w:rsidP="00B9248D" w:rsidRDefault="00B9248D">
      <w:pPr>
        <w:jc w:val="center"/>
        <w:rPr>
          <w:i/>
        </w:rPr>
      </w:pPr>
    </w:p>
    <w:p w:rsidR="00B9248D" w:rsidP="00B9248D" w:rsidRDefault="00B9248D">
      <w:pPr>
        <w:jc w:val="center"/>
        <w:rPr>
          <w:i/>
        </w:rPr>
      </w:pPr>
    </w:p>
    <w:p w:rsidR="00B9248D" w:rsidP="00B9248D" w:rsidRDefault="00B9248D">
      <w:pPr>
        <w:jc w:val="center"/>
        <w:rPr>
          <w:i/>
        </w:rPr>
      </w:pPr>
    </w:p>
    <w:p w:rsidR="00B9248D" w:rsidP="00B9248D" w:rsidRDefault="00B9248D">
      <w:pPr>
        <w:jc w:val="center"/>
        <w:rPr>
          <w:i/>
        </w:rPr>
      </w:pPr>
    </w:p>
    <w:p w:rsidR="00B9248D" w:rsidP="00B9248D" w:rsidRDefault="00B9248D">
      <w:pPr>
        <w:jc w:val="center"/>
        <w:rPr>
          <w:i/>
        </w:rPr>
      </w:pPr>
    </w:p>
    <w:p w:rsidR="00B9248D" w:rsidP="00B9248D" w:rsidRDefault="00B9248D">
      <w:pPr>
        <w:jc w:val="center"/>
        <w:rPr>
          <w:i/>
        </w:rPr>
      </w:pPr>
    </w:p>
    <w:p w:rsidR="00B9248D" w:rsidP="00B9248D" w:rsidRDefault="00B9248D">
      <w:pPr>
        <w:jc w:val="center"/>
        <w:rPr>
          <w:i/>
        </w:rPr>
      </w:pPr>
    </w:p>
    <w:p w:rsidR="00B9248D" w:rsidP="00B9248D" w:rsidRDefault="00B9248D">
      <w:pPr>
        <w:jc w:val="center"/>
        <w:rPr>
          <w:i/>
        </w:rPr>
      </w:pPr>
    </w:p>
    <w:p w:rsidR="00B9248D" w:rsidP="00124007" w:rsidRDefault="00B9248D">
      <w:pPr>
        <w:jc w:val="center"/>
        <w:outlineLvl w:val="0"/>
      </w:pPr>
      <w:r>
        <w:t>JUDGMENT</w:t>
      </w:r>
    </w:p>
    <w:p w:rsidR="00B9248D" w:rsidP="00B9248D" w:rsidRDefault="00B9248D">
      <w:pPr>
        <w:jc w:val="center"/>
      </w:pPr>
    </w:p>
    <w:p w:rsidR="00B9248D" w:rsidP="00B9248D" w:rsidRDefault="00B9248D">
      <w:pPr>
        <w:jc w:val="center"/>
      </w:pPr>
    </w:p>
    <w:p w:rsidR="00B9248D" w:rsidP="00B9248D" w:rsidRDefault="00B9248D">
      <w:pPr>
        <w:jc w:val="center"/>
      </w:pPr>
    </w:p>
    <w:p w:rsidR="00B9248D" w:rsidP="00124007" w:rsidRDefault="00B9248D">
      <w:pPr>
        <w:jc w:val="center"/>
        <w:outlineLvl w:val="0"/>
      </w:pPr>
      <w:smartTag w:uri="urn:schemas-microsoft-com:office:smarttags" w:element="place">
        <w:smartTag w:uri="urn:schemas-microsoft-com:office:smarttags" w:element="City">
          <w:r>
            <w:t>STRASBOURG</w:t>
          </w:r>
        </w:smartTag>
      </w:smartTag>
    </w:p>
    <w:p w:rsidR="00B9248D" w:rsidP="00B9248D" w:rsidRDefault="00B9248D">
      <w:pPr>
        <w:jc w:val="center"/>
      </w:pPr>
    </w:p>
    <w:p w:rsidR="00B9248D" w:rsidP="00B9248D" w:rsidRDefault="00A15B6C">
      <w:pPr>
        <w:jc w:val="center"/>
      </w:pPr>
      <w:smartTag w:uri="urn:schemas-microsoft-com:office:smarttags" w:element="date">
        <w:smartTagPr>
          <w:attr w:name="Month" w:val="3"/>
          <w:attr w:name="Day" w:val="29"/>
          <w:attr w:name="Year" w:val="2006"/>
        </w:smartTagPr>
        <w:r>
          <w:t>29 March 2006</w:t>
        </w:r>
      </w:smartTag>
    </w:p>
    <w:p w:rsidR="00B9248D" w:rsidP="00B9248D" w:rsidRDefault="00B9248D">
      <w:pPr>
        <w:jc w:val="center"/>
      </w:pPr>
    </w:p>
    <w:p w:rsidR="00B9248D" w:rsidP="00B9248D" w:rsidRDefault="00B9248D">
      <w:pPr>
        <w:jc w:val="center"/>
      </w:pPr>
    </w:p>
    <w:p w:rsidR="00B9248D" w:rsidP="00A3623C" w:rsidRDefault="00B9248D">
      <w:pPr>
        <w:pStyle w:val="JuCase"/>
        <w:ind w:firstLine="0"/>
        <w:sectPr w:rsidR="00B9248D" w:rsidSect="00B9248D">
          <w:footnotePr>
            <w:numRestart w:val="eachPage"/>
          </w:footnotePr>
          <w:pgSz w:w="11906" w:h="16838"/>
          <w:pgMar w:top="2274" w:right="2274" w:bottom="2274" w:left="2274" w:header="1701" w:footer="720" w:gutter="0"/>
          <w:cols w:space="720"/>
          <w:docGrid w:linePitch="326"/>
        </w:sectPr>
      </w:pPr>
    </w:p>
    <w:p w:rsidRPr="008213D8" w:rsidR="00D84354" w:rsidP="00124007" w:rsidRDefault="00A15B6C">
      <w:pPr>
        <w:pStyle w:val="JuCase"/>
        <w:ind w:firstLine="360"/>
        <w:outlineLvl w:val="0"/>
      </w:pPr>
      <w:r>
        <w:t xml:space="preserve">In </w:t>
      </w:r>
      <w:r w:rsidRPr="008213D8" w:rsidR="00D84354">
        <w:t xml:space="preserve">the case of </w:t>
      </w:r>
      <w:r w:rsidR="00A1674B">
        <w:t xml:space="preserve">Scordino </w:t>
      </w:r>
      <w:r w:rsidR="00D84354">
        <w:t xml:space="preserve">v. </w:t>
      </w:r>
      <w:smartTag w:uri="urn:schemas-microsoft-com:office:smarttags" w:element="place">
        <w:smartTag w:uri="urn:schemas-microsoft-com:office:smarttags" w:element="country-region">
          <w:r w:rsidR="00D84354">
            <w:t>Italy</w:t>
          </w:r>
        </w:smartTag>
      </w:smartTag>
      <w:r w:rsidR="00F57122">
        <w:t xml:space="preserve"> (</w:t>
      </w:r>
      <w:r w:rsidR="007157AF">
        <w:rPr>
          <w:szCs w:val="24"/>
        </w:rPr>
        <w:t>no.</w:t>
      </w:r>
      <w:r w:rsidR="00A1674B">
        <w:t xml:space="preserve"> 1)</w:t>
      </w:r>
      <w:r w:rsidRPr="008213D8" w:rsidR="00D84354">
        <w:t>,</w:t>
      </w:r>
    </w:p>
    <w:p w:rsidRPr="008213D8" w:rsidR="00D84354" w:rsidP="003606EB" w:rsidRDefault="00D84354">
      <w:pPr>
        <w:ind w:firstLine="360"/>
        <w:jc w:val="both"/>
      </w:pPr>
      <w:r w:rsidRPr="008213D8">
        <w:t>The European Court of Human Rights, sitting as a Grand Chamber composed of:</w:t>
      </w:r>
    </w:p>
    <w:p w:rsidRPr="008213D8" w:rsidR="00D84354" w:rsidP="00D84354" w:rsidRDefault="00AD01DF">
      <w:pPr>
        <w:pStyle w:val="JuJudges"/>
      </w:pPr>
      <w:r w:rsidRPr="00AD01DF">
        <w:tab/>
        <w:t>Luzius</w:t>
      </w:r>
      <w:r>
        <w:t xml:space="preserve"> </w:t>
      </w:r>
      <w:r w:rsidRPr="00AD01DF">
        <w:t>Wildhaber</w:t>
      </w:r>
      <w:r>
        <w:t>,</w:t>
      </w:r>
      <w:r w:rsidRPr="00AD01DF">
        <w:rPr>
          <w:i/>
        </w:rPr>
        <w:t xml:space="preserve"> President</w:t>
      </w:r>
      <w:r w:rsidRPr="00AD01DF">
        <w:t>,</w:t>
      </w:r>
      <w:r>
        <w:rPr>
          <w:i/>
        </w:rPr>
        <w:br/>
      </w:r>
      <w:r w:rsidRPr="00AD01DF">
        <w:tab/>
        <w:t>Christos</w:t>
      </w:r>
      <w:r>
        <w:t xml:space="preserve"> </w:t>
      </w:r>
      <w:r w:rsidRPr="00AD01DF">
        <w:t>Rozakis</w:t>
      </w:r>
      <w:r>
        <w:t>,</w:t>
      </w:r>
      <w:r>
        <w:rPr>
          <w:i/>
        </w:rPr>
        <w:br/>
      </w:r>
      <w:r w:rsidRPr="00AD01DF">
        <w:tab/>
        <w:t>Jean-Paul</w:t>
      </w:r>
      <w:r>
        <w:t xml:space="preserve"> </w:t>
      </w:r>
      <w:r w:rsidRPr="00AD01DF">
        <w:t>Costa</w:t>
      </w:r>
      <w:r>
        <w:t>,</w:t>
      </w:r>
      <w:r>
        <w:rPr>
          <w:i/>
        </w:rPr>
        <w:br/>
      </w:r>
      <w:r w:rsidRPr="00AD01DF">
        <w:tab/>
        <w:t>Nicolas</w:t>
      </w:r>
      <w:r>
        <w:t xml:space="preserve"> </w:t>
      </w:r>
      <w:r w:rsidRPr="00AD01DF">
        <w:t>Bratza</w:t>
      </w:r>
      <w:r>
        <w:t>,</w:t>
      </w:r>
      <w:r>
        <w:rPr>
          <w:i/>
        </w:rPr>
        <w:br/>
      </w:r>
      <w:r w:rsidRPr="00AD01DF">
        <w:tab/>
        <w:t>Boštjan M.</w:t>
      </w:r>
      <w:r>
        <w:t xml:space="preserve"> </w:t>
      </w:r>
      <w:r w:rsidRPr="00AD01DF">
        <w:t>Zupančič</w:t>
      </w:r>
      <w:r>
        <w:t>,</w:t>
      </w:r>
      <w:r>
        <w:rPr>
          <w:i/>
        </w:rPr>
        <w:br/>
      </w:r>
      <w:r w:rsidRPr="00AD01DF">
        <w:tab/>
        <w:t>Lucius</w:t>
      </w:r>
      <w:r>
        <w:t xml:space="preserve"> </w:t>
      </w:r>
      <w:r w:rsidRPr="00AD01DF">
        <w:t>Caflisch</w:t>
      </w:r>
      <w:r>
        <w:t>,</w:t>
      </w:r>
      <w:r>
        <w:rPr>
          <w:i/>
        </w:rPr>
        <w:br/>
      </w:r>
      <w:r w:rsidRPr="00AD01DF">
        <w:tab/>
        <w:t>Corneliu</w:t>
      </w:r>
      <w:r>
        <w:t xml:space="preserve"> </w:t>
      </w:r>
      <w:r w:rsidRPr="00AD01DF">
        <w:t>Bîrsan</w:t>
      </w:r>
      <w:r>
        <w:t>,</w:t>
      </w:r>
      <w:r>
        <w:rPr>
          <w:i/>
        </w:rPr>
        <w:br/>
      </w:r>
      <w:r w:rsidRPr="00AD01DF">
        <w:tab/>
        <w:t>Karel</w:t>
      </w:r>
      <w:r>
        <w:t xml:space="preserve"> </w:t>
      </w:r>
      <w:r w:rsidRPr="00AD01DF">
        <w:t>Jungwiert</w:t>
      </w:r>
      <w:r>
        <w:t>,</w:t>
      </w:r>
      <w:r>
        <w:rPr>
          <w:i/>
        </w:rPr>
        <w:br/>
      </w:r>
      <w:r w:rsidRPr="00AD01DF">
        <w:tab/>
        <w:t>Matti</w:t>
      </w:r>
      <w:r>
        <w:t xml:space="preserve"> </w:t>
      </w:r>
      <w:r w:rsidRPr="00AD01DF">
        <w:t>Pellonpää</w:t>
      </w:r>
      <w:r>
        <w:t>,</w:t>
      </w:r>
      <w:r>
        <w:rPr>
          <w:i/>
        </w:rPr>
        <w:br/>
      </w:r>
      <w:r w:rsidRPr="00AD01DF">
        <w:tab/>
        <w:t>Margarita</w:t>
      </w:r>
      <w:r>
        <w:t xml:space="preserve"> </w:t>
      </w:r>
      <w:r w:rsidRPr="00AD01DF">
        <w:t>Tsatsa-Nikolovska</w:t>
      </w:r>
      <w:r>
        <w:t>,</w:t>
      </w:r>
      <w:r>
        <w:rPr>
          <w:i/>
        </w:rPr>
        <w:br/>
      </w:r>
      <w:r w:rsidRPr="00AD01DF">
        <w:tab/>
        <w:t>Rait</w:t>
      </w:r>
      <w:r>
        <w:t xml:space="preserve"> </w:t>
      </w:r>
      <w:r w:rsidRPr="00AD01DF">
        <w:t>Maruste</w:t>
      </w:r>
      <w:r>
        <w:t>,</w:t>
      </w:r>
      <w:r>
        <w:rPr>
          <w:i/>
        </w:rPr>
        <w:br/>
      </w:r>
      <w:r w:rsidRPr="00AD01DF">
        <w:tab/>
        <w:t>Stanislav</w:t>
      </w:r>
      <w:r>
        <w:t xml:space="preserve"> </w:t>
      </w:r>
      <w:r w:rsidRPr="00AD01DF">
        <w:t>Pavlovschi</w:t>
      </w:r>
      <w:r>
        <w:t>,</w:t>
      </w:r>
      <w:r>
        <w:rPr>
          <w:i/>
        </w:rPr>
        <w:br/>
      </w:r>
      <w:r w:rsidRPr="00AD01DF">
        <w:tab/>
        <w:t>Lech</w:t>
      </w:r>
      <w:r>
        <w:t xml:space="preserve"> </w:t>
      </w:r>
      <w:r w:rsidRPr="00AD01DF">
        <w:t>Garlicki</w:t>
      </w:r>
      <w:r>
        <w:t>,</w:t>
      </w:r>
      <w:r>
        <w:rPr>
          <w:i/>
        </w:rPr>
        <w:br/>
      </w:r>
      <w:r w:rsidRPr="00AD01DF">
        <w:tab/>
        <w:t>Alvina</w:t>
      </w:r>
      <w:r>
        <w:t xml:space="preserve"> </w:t>
      </w:r>
      <w:r w:rsidRPr="00AD01DF">
        <w:t>Gyulumyan</w:t>
      </w:r>
      <w:r>
        <w:t>,</w:t>
      </w:r>
      <w:r>
        <w:rPr>
          <w:i/>
        </w:rPr>
        <w:br/>
      </w:r>
      <w:r w:rsidRPr="00AD01DF">
        <w:tab/>
        <w:t>Egbert</w:t>
      </w:r>
      <w:r>
        <w:t xml:space="preserve"> </w:t>
      </w:r>
      <w:r w:rsidRPr="00AD01DF">
        <w:t>Myjer</w:t>
      </w:r>
      <w:r>
        <w:t>,</w:t>
      </w:r>
      <w:r>
        <w:rPr>
          <w:i/>
        </w:rPr>
        <w:br/>
      </w:r>
      <w:r w:rsidRPr="00AD01DF">
        <w:tab/>
        <w:t>Sverre Erik</w:t>
      </w:r>
      <w:r>
        <w:t xml:space="preserve"> </w:t>
      </w:r>
      <w:r w:rsidRPr="00AD01DF">
        <w:t>Jebens</w:t>
      </w:r>
      <w:r>
        <w:t>,</w:t>
      </w:r>
      <w:r w:rsidRPr="00AD01DF">
        <w:rPr>
          <w:i/>
        </w:rPr>
        <w:t xml:space="preserve"> judges</w:t>
      </w:r>
      <w:r w:rsidRPr="00AD16B3">
        <w:t>,</w:t>
      </w:r>
      <w:r>
        <w:rPr>
          <w:i/>
        </w:rPr>
        <w:br/>
      </w:r>
      <w:r w:rsidRPr="00AD01DF">
        <w:tab/>
        <w:t>Mariavaleria</w:t>
      </w:r>
      <w:r>
        <w:t xml:space="preserve"> </w:t>
      </w:r>
      <w:r w:rsidR="00AD16B3">
        <w:t>d</w:t>
      </w:r>
      <w:r w:rsidRPr="00AD01DF">
        <w:t>el Tufo</w:t>
      </w:r>
      <w:r>
        <w:t>,</w:t>
      </w:r>
      <w:r w:rsidRPr="00AD01DF">
        <w:rPr>
          <w:i/>
        </w:rPr>
        <w:t xml:space="preserve"> </w:t>
      </w:r>
      <w:r w:rsidRPr="00AD01DF">
        <w:t>ad hoc</w:t>
      </w:r>
      <w:r w:rsidRPr="00AD01DF">
        <w:rPr>
          <w:i/>
        </w:rPr>
        <w:t xml:space="preserve"> judge</w:t>
      </w:r>
      <w:r w:rsidRPr="00AD01DF">
        <w:t>,</w:t>
      </w:r>
      <w:r>
        <w:rPr>
          <w:i/>
        </w:rPr>
        <w:br/>
      </w:r>
      <w:r w:rsidRPr="008213D8" w:rsidR="00D84354">
        <w:t xml:space="preserve">and </w:t>
      </w:r>
      <w:r>
        <w:t>Lawrence</w:t>
      </w:r>
      <w:r w:rsidRPr="008213D8" w:rsidR="00D84354">
        <w:t xml:space="preserve"> </w:t>
      </w:r>
      <w:r w:rsidRPr="008213D8" w:rsidR="00D84354">
        <w:rPr>
          <w:rStyle w:val="JuNames"/>
        </w:rPr>
        <w:t>E</w:t>
      </w:r>
      <w:r w:rsidRPr="00AD01DF" w:rsidR="00D84354">
        <w:rPr>
          <w:rStyle w:val="JuNames"/>
          <w:rFonts w:ascii="Times New (W1)" w:hAnsi="Times New (W1)"/>
          <w:smallCaps w:val="0"/>
        </w:rPr>
        <w:t>arly</w:t>
      </w:r>
      <w:r w:rsidRPr="008213D8" w:rsidR="00D84354">
        <w:t xml:space="preserve">, </w:t>
      </w:r>
      <w:r w:rsidRPr="008213D8" w:rsidR="00D84354">
        <w:rPr>
          <w:i/>
        </w:rPr>
        <w:t>Deputy Grand Chamber Registrar</w:t>
      </w:r>
      <w:r w:rsidRPr="008213D8" w:rsidR="00D84354">
        <w:t>,</w:t>
      </w:r>
    </w:p>
    <w:p w:rsidR="00BE0920" w:rsidP="00AD01DF" w:rsidRDefault="00D84354">
      <w:pPr>
        <w:pStyle w:val="JuPara"/>
        <w:rPr>
          <w:lang w:val="en-GB"/>
        </w:rPr>
      </w:pPr>
      <w:r w:rsidRPr="00F57122">
        <w:rPr>
          <w:rStyle w:val="JuParaChar2"/>
          <w:lang w:val="en-GB"/>
        </w:rPr>
        <w:t xml:space="preserve">Having deliberated in private on </w:t>
      </w:r>
      <w:smartTag w:uri="urn:schemas-microsoft-com:office:smarttags" w:element="date">
        <w:smartTagPr>
          <w:attr w:name="Month" w:val="7"/>
          <w:attr w:name="Day" w:val="1"/>
          <w:attr w:name="Year" w:val="2005"/>
        </w:smartTagPr>
        <w:r w:rsidRPr="00F57122">
          <w:rPr>
            <w:rStyle w:val="JuParaChar2"/>
            <w:lang w:val="en-GB"/>
          </w:rPr>
          <w:t>1 July 2005</w:t>
        </w:r>
      </w:smartTag>
      <w:r w:rsidRPr="00F57122">
        <w:rPr>
          <w:rStyle w:val="JuParaChar2"/>
          <w:lang w:val="en-GB"/>
        </w:rPr>
        <w:t xml:space="preserve"> and</w:t>
      </w:r>
      <w:r w:rsidRPr="009218A6" w:rsidR="00F57122">
        <w:rPr>
          <w:lang w:val="en-GB"/>
        </w:rPr>
        <w:t xml:space="preserve"> </w:t>
      </w:r>
      <w:r w:rsidRPr="009218A6" w:rsidR="00F540E9">
        <w:rPr>
          <w:lang w:val="en-GB"/>
        </w:rPr>
        <w:t>18 January 2006</w:t>
      </w:r>
      <w:r w:rsidRPr="009218A6" w:rsidR="00AD01DF">
        <w:rPr>
          <w:lang w:val="en-GB"/>
        </w:rPr>
        <w:t>,</w:t>
      </w:r>
    </w:p>
    <w:p w:rsidRPr="009218A6" w:rsidR="00D84354" w:rsidP="00AD01DF" w:rsidRDefault="00D84354">
      <w:pPr>
        <w:pStyle w:val="JuPara"/>
        <w:rPr>
          <w:lang w:val="en-GB"/>
        </w:rPr>
      </w:pPr>
      <w:r w:rsidRPr="00DA15E2">
        <w:rPr>
          <w:rStyle w:val="JuParaChar2"/>
          <w:lang w:val="en-GB"/>
        </w:rPr>
        <w:t>Delivers the following judgment</w:t>
      </w:r>
      <w:r w:rsidR="005A2A87">
        <w:rPr>
          <w:rStyle w:val="JuParaChar2"/>
          <w:lang w:val="en-GB"/>
        </w:rPr>
        <w:t>, which was adopted on the last-</w:t>
      </w:r>
      <w:r w:rsidRPr="00DA15E2">
        <w:rPr>
          <w:rStyle w:val="JuParaChar2"/>
          <w:lang w:val="en-GB"/>
        </w:rPr>
        <w:t>mentioned date</w:t>
      </w:r>
      <w:r w:rsidRPr="009218A6">
        <w:rPr>
          <w:lang w:val="en-GB"/>
        </w:rPr>
        <w:t>:</w:t>
      </w:r>
    </w:p>
    <w:p w:rsidRPr="00D076AF" w:rsidR="00D84354" w:rsidP="00D076AF" w:rsidRDefault="00D84354">
      <w:pPr>
        <w:pStyle w:val="JuHHead"/>
      </w:pPr>
      <w:r w:rsidRPr="00D076AF">
        <w:t>PROCEDURE</w:t>
      </w:r>
    </w:p>
    <w:p w:rsidRPr="008213D8" w:rsidR="00D84354" w:rsidP="00D84354" w:rsidRDefault="00D84354">
      <w:pPr>
        <w:pStyle w:val="JuParaChar1Char"/>
      </w:pPr>
      <w:r>
        <w:fldChar w:fldCharType="begin"/>
      </w:r>
      <w:r>
        <w:instrText xml:space="preserve"> SEQ level0 \*arabic </w:instrText>
      </w:r>
      <w:r>
        <w:fldChar w:fldCharType="separate"/>
      </w:r>
      <w:r w:rsidR="008B3B68">
        <w:rPr>
          <w:noProof/>
        </w:rPr>
        <w:t>1</w:t>
      </w:r>
      <w:r>
        <w:fldChar w:fldCharType="end"/>
      </w:r>
      <w:r>
        <w:t>.  </w:t>
      </w:r>
      <w:r w:rsidRPr="008213D8">
        <w:t xml:space="preserve">The case originated in an application (no. </w:t>
      </w:r>
      <w:r w:rsidR="00A1674B">
        <w:t>36813/97</w:t>
      </w:r>
      <w:r w:rsidRPr="008213D8">
        <w:t xml:space="preserve">) against the </w:t>
      </w:r>
      <w:smartTag w:uri="urn:schemas-microsoft-com:office:smarttags" w:element="place">
        <w:smartTag w:uri="urn:schemas-microsoft-com:office:smarttags" w:element="PlaceName">
          <w:r w:rsidRPr="008213D8">
            <w:t>Italian</w:t>
          </w:r>
        </w:smartTag>
        <w:r w:rsidRPr="008213D8">
          <w:t xml:space="preserve"> </w:t>
        </w:r>
        <w:smartTag w:uri="urn:schemas-microsoft-com:office:smarttags" w:element="PlaceType">
          <w:r w:rsidRPr="008213D8">
            <w:t>Republic</w:t>
          </w:r>
        </w:smartTag>
      </w:smartTag>
      <w:r w:rsidRPr="008213D8">
        <w:t xml:space="preserve"> lodged with the European Commission of Human Rights (“the Commission”) under former Article 25 of the Convention for the Protection of Human Rights and Fundamental Freedoms (“the Convention”) by </w:t>
      </w:r>
      <w:r w:rsidR="00A1674B">
        <w:t xml:space="preserve">four </w:t>
      </w:r>
      <w:r w:rsidRPr="008213D8">
        <w:t>Italian national</w:t>
      </w:r>
      <w:r w:rsidR="00A1674B">
        <w:t>s</w:t>
      </w:r>
      <w:r w:rsidR="00AD01DF">
        <w:t>,</w:t>
      </w:r>
      <w:r w:rsidRPr="008213D8">
        <w:t xml:space="preserve"> Giovanni</w:t>
      </w:r>
      <w:r w:rsidR="00A1674B">
        <w:t>, Elena, Maria and Giuliana</w:t>
      </w:r>
      <w:r w:rsidRPr="008213D8">
        <w:t xml:space="preserve"> </w:t>
      </w:r>
      <w:r w:rsidR="00A1674B">
        <w:t>Scordino</w:t>
      </w:r>
      <w:r>
        <w:t xml:space="preserve"> (“the applicant</w:t>
      </w:r>
      <w:r w:rsidR="00A1674B">
        <w:t>s</w:t>
      </w:r>
      <w:r>
        <w:t xml:space="preserve">”), on </w:t>
      </w:r>
      <w:smartTag w:uri="urn:schemas-microsoft-com:office:smarttags" w:element="date">
        <w:smartTagPr>
          <w:attr w:name="Month" w:val="7"/>
          <w:attr w:name="Day" w:val="21"/>
          <w:attr w:name="Year" w:val="1993"/>
        </w:smartTagPr>
        <w:r w:rsidR="00A1674B">
          <w:t>21 July 1993</w:t>
        </w:r>
      </w:smartTag>
      <w:r w:rsidRPr="008213D8">
        <w:t>.</w:t>
      </w:r>
    </w:p>
    <w:p w:rsidRPr="008213D8" w:rsidR="00272636" w:rsidP="00D84354" w:rsidRDefault="00D84354">
      <w:pPr>
        <w:pStyle w:val="JuParaChar1Char"/>
      </w:pPr>
      <w:r>
        <w:fldChar w:fldCharType="begin"/>
      </w:r>
      <w:r>
        <w:instrText xml:space="preserve"> SEQ level0 \*arabic </w:instrText>
      </w:r>
      <w:r>
        <w:fldChar w:fldCharType="separate"/>
      </w:r>
      <w:r w:rsidR="008B3B68">
        <w:rPr>
          <w:noProof/>
        </w:rPr>
        <w:t>2</w:t>
      </w:r>
      <w:r>
        <w:fldChar w:fldCharType="end"/>
      </w:r>
      <w:r>
        <w:t>.  </w:t>
      </w:r>
      <w:r w:rsidRPr="007B70C8" w:rsidR="00BE159A">
        <w:t xml:space="preserve">Having originally been designated by the initials G.S. and Others, the applicants subsequently agreed to the disclosure of their names. They were represented before the Court by Mr N. Paoletti, </w:t>
      </w:r>
      <w:r w:rsidR="00066B44">
        <w:t>of the</w:t>
      </w:r>
      <w:r w:rsidR="00BE159A">
        <w:t xml:space="preserve"> Rome</w:t>
      </w:r>
      <w:r w:rsidR="00066B44">
        <w:t xml:space="preserve"> Bar. Th</w:t>
      </w:r>
      <w:r w:rsidRPr="008213D8">
        <w:t>e Italian Government (“the Government”) were represented by their Agent</w:t>
      </w:r>
      <w:r w:rsidR="00066B44">
        <w:t>,</w:t>
      </w:r>
      <w:r>
        <w:t xml:space="preserve"> Mr</w:t>
      </w:r>
      <w:r w:rsidR="007C08A9">
        <w:t> </w:t>
      </w:r>
      <w:r>
        <w:t>I.M.</w:t>
      </w:r>
      <w:r w:rsidR="007C08A9">
        <w:t> </w:t>
      </w:r>
      <w:r>
        <w:t xml:space="preserve">Braguglia, </w:t>
      </w:r>
      <w:r w:rsidR="00A3623C">
        <w:t>their</w:t>
      </w:r>
      <w:r>
        <w:t xml:space="preserve"> co-Agent</w:t>
      </w:r>
      <w:r w:rsidRPr="008213D8">
        <w:t>,</w:t>
      </w:r>
      <w:r>
        <w:t xml:space="preserve"> Mr F.</w:t>
      </w:r>
      <w:r w:rsidR="001861AD">
        <w:t xml:space="preserve"> </w:t>
      </w:r>
      <w:r>
        <w:t xml:space="preserve">Crisafulli, and their </w:t>
      </w:r>
      <w:r w:rsidR="00A84DCE">
        <w:t>D</w:t>
      </w:r>
      <w:r>
        <w:t>eputy co-Agent,</w:t>
      </w:r>
      <w:r w:rsidRPr="008213D8">
        <w:t xml:space="preserve"> </w:t>
      </w:r>
      <w:r w:rsidR="005A2A87">
        <w:t xml:space="preserve">Mr </w:t>
      </w:r>
      <w:r>
        <w:t>N. Lettieri</w:t>
      </w:r>
      <w:r w:rsidRPr="008213D8">
        <w:t>.</w:t>
      </w:r>
    </w:p>
    <w:p w:rsidRPr="008213D8" w:rsidR="00D84354" w:rsidP="00D84354" w:rsidRDefault="00D84354">
      <w:pPr>
        <w:pStyle w:val="JuParaChar1Char"/>
      </w:pPr>
      <w:r>
        <w:fldChar w:fldCharType="begin"/>
      </w:r>
      <w:r>
        <w:instrText xml:space="preserve"> SEQ level0 \*arabic </w:instrText>
      </w:r>
      <w:r>
        <w:fldChar w:fldCharType="separate"/>
      </w:r>
      <w:r w:rsidR="008B3B68">
        <w:rPr>
          <w:noProof/>
        </w:rPr>
        <w:t>3</w:t>
      </w:r>
      <w:r>
        <w:fldChar w:fldCharType="end"/>
      </w:r>
      <w:r w:rsidR="00AD16B3">
        <w:t>.  </w:t>
      </w:r>
      <w:r w:rsidR="00F57122">
        <w:t xml:space="preserve">Under Article 1 of Protocol </w:t>
      </w:r>
      <w:r w:rsidR="007157AF">
        <w:rPr>
          <w:szCs w:val="24"/>
        </w:rPr>
        <w:t>No.</w:t>
      </w:r>
      <w:r w:rsidR="007157AF">
        <w:t xml:space="preserve"> </w:t>
      </w:r>
      <w:r w:rsidR="00404B4A">
        <w:t xml:space="preserve">1 and Article 6 of the Convention the applicants alleged that there had been an unjustified interference with their right to the peaceful enjoyment of their possessions and a breach of their right to a fair hearing within a </w:t>
      </w:r>
      <w:r w:rsidR="00700346">
        <w:t>reasonable time</w:t>
      </w:r>
      <w:r w:rsidR="00404B4A">
        <w:t>.</w:t>
      </w:r>
    </w:p>
    <w:p w:rsidRPr="008213D8" w:rsidR="00D84354" w:rsidP="00D84354" w:rsidRDefault="00D84354">
      <w:pPr>
        <w:pStyle w:val="JuParaChar1Char"/>
      </w:pPr>
      <w:r>
        <w:fldChar w:fldCharType="begin"/>
      </w:r>
      <w:r>
        <w:instrText xml:space="preserve"> SEQ level0 \*arabic </w:instrText>
      </w:r>
      <w:r>
        <w:fldChar w:fldCharType="separate"/>
      </w:r>
      <w:r w:rsidR="008B3B68">
        <w:rPr>
          <w:noProof/>
        </w:rPr>
        <w:t>4</w:t>
      </w:r>
      <w:r>
        <w:fldChar w:fldCharType="end"/>
      </w:r>
      <w:r>
        <w:t>.  </w:t>
      </w:r>
      <w:r w:rsidRPr="008213D8">
        <w:t xml:space="preserve">The application was transmitted to the Court on </w:t>
      </w:r>
      <w:smartTag w:uri="urn:schemas-microsoft-com:office:smarttags" w:element="date">
        <w:smartTagPr>
          <w:attr w:name="Month" w:val="11"/>
          <w:attr w:name="Day" w:val="1"/>
          <w:attr w:name="Year" w:val="1998"/>
        </w:smartTagPr>
        <w:r w:rsidRPr="008213D8">
          <w:t>1 November 1998</w:t>
        </w:r>
      </w:smartTag>
      <w:r w:rsidRPr="008213D8">
        <w:t>, when Protocol No. 11 to the Convention came into force (Art</w:t>
      </w:r>
      <w:r>
        <w:t>icle 5 § 2 of Protocol No. 11).</w:t>
      </w:r>
    </w:p>
    <w:p w:rsidR="00D84354" w:rsidP="00D84354" w:rsidRDefault="00D84354">
      <w:pPr>
        <w:pStyle w:val="JuParaChar1Char"/>
      </w:pPr>
      <w:r>
        <w:fldChar w:fldCharType="begin"/>
      </w:r>
      <w:r>
        <w:instrText xml:space="preserve"> SEQ level0 \*arabic </w:instrText>
      </w:r>
      <w:r>
        <w:fldChar w:fldCharType="separate"/>
      </w:r>
      <w:r w:rsidR="008B3B68">
        <w:rPr>
          <w:noProof/>
        </w:rPr>
        <w:t>5</w:t>
      </w:r>
      <w:r>
        <w:fldChar w:fldCharType="end"/>
      </w:r>
      <w:r>
        <w:t>.  </w:t>
      </w:r>
      <w:r w:rsidRPr="008213D8">
        <w:t xml:space="preserve">The application was allocated to </w:t>
      </w:r>
      <w:r w:rsidR="00A1674B">
        <w:t xml:space="preserve">the First Section </w:t>
      </w:r>
      <w:r>
        <w:t>of the Court (Rule</w:t>
      </w:r>
      <w:r w:rsidR="00403939">
        <w:t> </w:t>
      </w:r>
      <w:r>
        <w:t>52 § 1 of the Rules of Court).</w:t>
      </w:r>
      <w:r w:rsidRPr="008213D8">
        <w:t xml:space="preserve"> </w:t>
      </w:r>
      <w:r w:rsidR="00403939">
        <w:t>Vladimiro</w:t>
      </w:r>
      <w:r>
        <w:t xml:space="preserve"> Zagrebelsky</w:t>
      </w:r>
      <w:r w:rsidRPr="008213D8">
        <w:t xml:space="preserve">, the judge elected in respect of </w:t>
      </w:r>
      <w:smartTag w:uri="urn:schemas-microsoft-com:office:smarttags" w:element="place">
        <w:smartTag w:uri="urn:schemas-microsoft-com:office:smarttags" w:element="country-region">
          <w:r w:rsidRPr="008213D8">
            <w:t>Italy</w:t>
          </w:r>
        </w:smartTag>
      </w:smartTag>
      <w:r w:rsidRPr="008213D8">
        <w:t xml:space="preserve">, withdrew from sitting in the </w:t>
      </w:r>
      <w:r w:rsidR="00403939">
        <w:t>case</w:t>
      </w:r>
      <w:r w:rsidRPr="008213D8">
        <w:t xml:space="preserve"> (Rule 28). The Gove</w:t>
      </w:r>
      <w:r w:rsidR="00A1674B">
        <w:t xml:space="preserve">rnment accordingly appointed </w:t>
      </w:r>
      <w:r w:rsidR="00403939">
        <w:t>Mariavaleria</w:t>
      </w:r>
      <w:r w:rsidR="00AD16B3">
        <w:t xml:space="preserve"> d</w:t>
      </w:r>
      <w:r w:rsidR="00A1674B">
        <w:t xml:space="preserve">el Tufo </w:t>
      </w:r>
      <w:r w:rsidRPr="008213D8">
        <w:t xml:space="preserve">to sit as an </w:t>
      </w:r>
      <w:r w:rsidRPr="008213D8">
        <w:rPr>
          <w:i/>
        </w:rPr>
        <w:t>ad hoc</w:t>
      </w:r>
      <w:r w:rsidRPr="008213D8">
        <w:t xml:space="preserve"> judge (Article 27 § 2 of t</w:t>
      </w:r>
      <w:r>
        <w:t>he Convention and Rule 29 § 1).</w:t>
      </w:r>
    </w:p>
    <w:p w:rsidR="00D84354" w:rsidP="00D84354" w:rsidRDefault="00D84354">
      <w:pPr>
        <w:pStyle w:val="JuParaChar1Char"/>
      </w:pPr>
      <w:r>
        <w:fldChar w:fldCharType="begin"/>
      </w:r>
      <w:r>
        <w:instrText xml:space="preserve"> SEQ level0 \*arabic </w:instrText>
      </w:r>
      <w:r>
        <w:fldChar w:fldCharType="separate"/>
      </w:r>
      <w:r w:rsidR="008B3B68">
        <w:rPr>
          <w:noProof/>
        </w:rPr>
        <w:t>6</w:t>
      </w:r>
      <w:r>
        <w:fldChar w:fldCharType="end"/>
      </w:r>
      <w:r>
        <w:t xml:space="preserve">.  On </w:t>
      </w:r>
      <w:r w:rsidR="00A1674B">
        <w:t>27 March</w:t>
      </w:r>
      <w:r>
        <w:t xml:space="preserve"> 2003</w:t>
      </w:r>
      <w:r w:rsidR="0064102B">
        <w:t>, after a hearing on the admissibility and merits (Rule 54 § 3),</w:t>
      </w:r>
      <w:r>
        <w:t xml:space="preserve"> the application</w:t>
      </w:r>
      <w:r w:rsidRPr="008213D8">
        <w:t xml:space="preserve"> was declar</w:t>
      </w:r>
      <w:r>
        <w:t>ed</w:t>
      </w:r>
      <w:r w:rsidRPr="008213D8">
        <w:t xml:space="preserve"> admissible by a Chamber of </w:t>
      </w:r>
      <w:r>
        <w:t>the First</w:t>
      </w:r>
      <w:r w:rsidRPr="008213D8">
        <w:t xml:space="preserve"> Section, composed of </w:t>
      </w:r>
      <w:r w:rsidR="00403939">
        <w:t>Christos</w:t>
      </w:r>
      <w:r>
        <w:t xml:space="preserve"> Rozakis, </w:t>
      </w:r>
      <w:r w:rsidR="00A3623C">
        <w:t xml:space="preserve">President, </w:t>
      </w:r>
      <w:r w:rsidR="00403939">
        <w:t>Giovanni</w:t>
      </w:r>
      <w:r w:rsidR="00A1674B">
        <w:t xml:space="preserve"> Bonello, </w:t>
      </w:r>
      <w:r w:rsidR="00403939">
        <w:t>Peer</w:t>
      </w:r>
      <w:r>
        <w:t xml:space="preserve"> Lorenzen, </w:t>
      </w:r>
      <w:r w:rsidR="00403939">
        <w:t>Nina</w:t>
      </w:r>
      <w:r w:rsidR="00A1674B">
        <w:t xml:space="preserve"> Vajić</w:t>
      </w:r>
      <w:r>
        <w:t xml:space="preserve">, </w:t>
      </w:r>
      <w:r w:rsidR="00403939">
        <w:t xml:space="preserve">Snejana </w:t>
      </w:r>
      <w:r w:rsidR="00A1674B">
        <w:t xml:space="preserve">Botoucharova, </w:t>
      </w:r>
      <w:r w:rsidR="008253D7">
        <w:t>Elisabeth</w:t>
      </w:r>
      <w:r>
        <w:t xml:space="preserve"> Steiner</w:t>
      </w:r>
      <w:r w:rsidRPr="008213D8">
        <w:t>,</w:t>
      </w:r>
      <w:r>
        <w:t xml:space="preserve"> judges, </w:t>
      </w:r>
      <w:r w:rsidR="008253D7">
        <w:t>Mariavaleria</w:t>
      </w:r>
      <w:r w:rsidR="00F540E9">
        <w:t xml:space="preserve"> </w:t>
      </w:r>
      <w:r w:rsidR="00AD16B3">
        <w:t>d</w:t>
      </w:r>
      <w:r w:rsidR="00A1674B">
        <w:t>el Tufo</w:t>
      </w:r>
      <w:r>
        <w:t xml:space="preserve">, </w:t>
      </w:r>
      <w:r w:rsidRPr="009A1AF5">
        <w:rPr>
          <w:i/>
        </w:rPr>
        <w:t>ad hoc</w:t>
      </w:r>
      <w:r>
        <w:t xml:space="preserve"> judge,</w:t>
      </w:r>
      <w:r w:rsidRPr="008213D8">
        <w:t xml:space="preserve"> and </w:t>
      </w:r>
      <w:r w:rsidR="008253D7">
        <w:t>Søren</w:t>
      </w:r>
      <w:r>
        <w:t xml:space="preserve"> Nielsen, Deputy Section Registrar.</w:t>
      </w:r>
    </w:p>
    <w:p w:rsidR="00D84354" w:rsidP="00D84354" w:rsidRDefault="00D84354">
      <w:pPr>
        <w:pStyle w:val="JuParaChar1Char"/>
      </w:pPr>
      <w:r>
        <w:fldChar w:fldCharType="begin"/>
      </w:r>
      <w:r>
        <w:instrText xml:space="preserve"> SEQ level0 \*arabic </w:instrText>
      </w:r>
      <w:r>
        <w:fldChar w:fldCharType="separate"/>
      </w:r>
      <w:r w:rsidR="008B3B68">
        <w:rPr>
          <w:noProof/>
        </w:rPr>
        <w:t>7</w:t>
      </w:r>
      <w:r>
        <w:fldChar w:fldCharType="end"/>
      </w:r>
      <w:r>
        <w:t>.  </w:t>
      </w:r>
      <w:r w:rsidR="00107245">
        <w:t>In its judgment of</w:t>
      </w:r>
      <w:r>
        <w:t xml:space="preserve"> </w:t>
      </w:r>
      <w:r w:rsidR="00A1674B">
        <w:t>29 July 2004</w:t>
      </w:r>
      <w:r>
        <w:t xml:space="preserve"> </w:t>
      </w:r>
      <w:r w:rsidR="00107245">
        <w:t xml:space="preserve">(“the Chamber judgment”), </w:t>
      </w:r>
      <w:r>
        <w:t xml:space="preserve">the Chamber </w:t>
      </w:r>
      <w:r w:rsidR="00107245">
        <w:t>decided</w:t>
      </w:r>
      <w:r w:rsidR="00C75767">
        <w:t>,</w:t>
      </w:r>
      <w:r w:rsidR="00107245">
        <w:t xml:space="preserve"> unanimously</w:t>
      </w:r>
      <w:r w:rsidR="00C75767">
        <w:t>,</w:t>
      </w:r>
      <w:r w:rsidR="00107245">
        <w:t xml:space="preserve"> to </w:t>
      </w:r>
      <w:r w:rsidR="00F540E9">
        <w:t>dismiss</w:t>
      </w:r>
      <w:r w:rsidR="00107245">
        <w:t xml:space="preserve"> the Government</w:t>
      </w:r>
      <w:r w:rsidR="00E6191D">
        <w:t>’</w:t>
      </w:r>
      <w:r w:rsidR="00107245">
        <w:t>s preliminary objection and</w:t>
      </w:r>
      <w:r>
        <w:t xml:space="preserve"> held unanimously that there had been a violation of Article 6 § 1 of the Convention</w:t>
      </w:r>
      <w:r w:rsidR="00107245">
        <w:t xml:space="preserve"> on account of the length and</w:t>
      </w:r>
      <w:r w:rsidRPr="00107245" w:rsidR="00107245">
        <w:t xml:space="preserve"> </w:t>
      </w:r>
      <w:r w:rsidR="00107245">
        <w:t>unfairness of the proceedings</w:t>
      </w:r>
      <w:r>
        <w:t>.</w:t>
      </w:r>
      <w:r w:rsidR="00F01501">
        <w:t xml:space="preserve"> It also held that there had been a violation of Article 1 of Protocol No. 1 on account of an unjustified interference with the</w:t>
      </w:r>
      <w:r w:rsidR="00C75767">
        <w:t xml:space="preserve"> applicants</w:t>
      </w:r>
      <w:r w:rsidR="00E6191D">
        <w:t>’</w:t>
      </w:r>
      <w:r w:rsidR="00C75767">
        <w:t xml:space="preserve"> </w:t>
      </w:r>
      <w:r w:rsidR="00F01501">
        <w:t>right to the peaceful enjoyment of their possessions.</w:t>
      </w:r>
    </w:p>
    <w:p w:rsidR="00D84354" w:rsidP="00D84354" w:rsidRDefault="00D84354">
      <w:pPr>
        <w:pStyle w:val="JuParaChar1Char"/>
      </w:pPr>
      <w:r>
        <w:fldChar w:fldCharType="begin"/>
      </w:r>
      <w:r>
        <w:instrText xml:space="preserve"> SEQ level0 \*arabic </w:instrText>
      </w:r>
      <w:r>
        <w:fldChar w:fldCharType="separate"/>
      </w:r>
      <w:r w:rsidR="008B3B68">
        <w:rPr>
          <w:noProof/>
        </w:rPr>
        <w:t>8</w:t>
      </w:r>
      <w:r>
        <w:fldChar w:fldCharType="end"/>
      </w:r>
      <w:r>
        <w:t xml:space="preserve">.  On </w:t>
      </w:r>
      <w:r w:rsidR="00A1674B">
        <w:t>26 October 2004</w:t>
      </w:r>
      <w:r>
        <w:t xml:space="preserve"> the Government requested,</w:t>
      </w:r>
      <w:r w:rsidRPr="00EF0051">
        <w:t xml:space="preserve"> </w:t>
      </w:r>
      <w:r>
        <w:t xml:space="preserve">in accordance with Article 43 of the Convention and Rule 73, that the case be referred to the Grand Chamber. On </w:t>
      </w:r>
      <w:smartTag w:uri="urn:schemas-microsoft-com:office:smarttags" w:element="date">
        <w:smartTagPr>
          <w:attr w:name="Month" w:val="2"/>
          <w:attr w:name="Day" w:val="2"/>
          <w:attr w:name="Year" w:val="2005"/>
        </w:smartTagPr>
        <w:r w:rsidR="00A3623C">
          <w:t>2 February</w:t>
        </w:r>
        <w:r>
          <w:t xml:space="preserve"> 2005</w:t>
        </w:r>
      </w:smartTag>
      <w:r>
        <w:t xml:space="preserve"> a panel of the Grand Chamber accepted that request.</w:t>
      </w:r>
    </w:p>
    <w:p w:rsidR="00967E1F" w:rsidP="00D84354" w:rsidRDefault="00D84354">
      <w:pPr>
        <w:pStyle w:val="JuParaChar1Char"/>
      </w:pPr>
      <w:r>
        <w:fldChar w:fldCharType="begin"/>
      </w:r>
      <w:r>
        <w:instrText xml:space="preserve"> SEQ level0 \*arabic </w:instrText>
      </w:r>
      <w:r>
        <w:fldChar w:fldCharType="separate"/>
      </w:r>
      <w:r w:rsidR="008B3B68">
        <w:rPr>
          <w:noProof/>
        </w:rPr>
        <w:t>9</w:t>
      </w:r>
      <w:r>
        <w:fldChar w:fldCharType="end"/>
      </w:r>
      <w:r>
        <w:t>.  </w:t>
      </w:r>
      <w:r w:rsidRPr="008213D8">
        <w:t xml:space="preserve">The composition of the Grand Chamber was determined </w:t>
      </w:r>
      <w:r>
        <w:t xml:space="preserve">in accordance with </w:t>
      </w:r>
      <w:r w:rsidRPr="008213D8">
        <w:t>the provisions of Article 27 §§ 2 and 3 of the Convention and Rule 24.</w:t>
      </w:r>
    </w:p>
    <w:p w:rsidRPr="008213D8" w:rsidR="00D84354" w:rsidP="00D84354" w:rsidRDefault="00D84354">
      <w:pPr>
        <w:pStyle w:val="JuParaChar1Char"/>
      </w:pPr>
      <w:r>
        <w:fldChar w:fldCharType="begin"/>
      </w:r>
      <w:r>
        <w:instrText xml:space="preserve"> SEQ level0 \*arabic </w:instrText>
      </w:r>
      <w:r>
        <w:fldChar w:fldCharType="separate"/>
      </w:r>
      <w:r w:rsidR="008B3B68">
        <w:rPr>
          <w:noProof/>
        </w:rPr>
        <w:t>10</w:t>
      </w:r>
      <w:r>
        <w:fldChar w:fldCharType="end"/>
      </w:r>
      <w:r>
        <w:t>.  </w:t>
      </w:r>
      <w:r w:rsidRPr="008213D8">
        <w:t>The applicant</w:t>
      </w:r>
      <w:r w:rsidR="00A3623C">
        <w:t>s</w:t>
      </w:r>
      <w:r w:rsidRPr="008213D8">
        <w:t xml:space="preserve"> and the Government each filed </w:t>
      </w:r>
      <w:r>
        <w:t xml:space="preserve">a memorial. </w:t>
      </w:r>
      <w:r w:rsidRPr="008213D8">
        <w:t>In addition, third-par</w:t>
      </w:r>
      <w:r>
        <w:t xml:space="preserve">ty comments were received from </w:t>
      </w:r>
      <w:r w:rsidRPr="008213D8">
        <w:t xml:space="preserve">the </w:t>
      </w:r>
      <w:r>
        <w:t>Polish, Czech and Slovak</w:t>
      </w:r>
      <w:r w:rsidR="00090C8D">
        <w:t>ian</w:t>
      </w:r>
      <w:r w:rsidRPr="008213D8">
        <w:t xml:space="preserve"> Government</w:t>
      </w:r>
      <w:r>
        <w:t>s</w:t>
      </w:r>
      <w:r w:rsidRPr="008213D8">
        <w:t xml:space="preserve">, which had been given leave by the President to intervene in the written procedure (Article 36 § 2 of </w:t>
      </w:r>
      <w:r>
        <w:t>the Convention and Rule 44 § 2)</w:t>
      </w:r>
      <w:r w:rsidRPr="008213D8">
        <w:t>.</w:t>
      </w:r>
      <w:r>
        <w:t xml:space="preserve"> </w:t>
      </w:r>
      <w:r w:rsidRPr="008213D8">
        <w:t>The applicant</w:t>
      </w:r>
      <w:r w:rsidR="00A3623C">
        <w:t>s</w:t>
      </w:r>
      <w:r w:rsidRPr="008213D8">
        <w:t xml:space="preserve"> replied t</w:t>
      </w:r>
      <w:r>
        <w:t>o those comments (Rule 44 § 5).</w:t>
      </w:r>
    </w:p>
    <w:p w:rsidRPr="008213D8" w:rsidR="00D84354" w:rsidP="00D84354" w:rsidRDefault="00D84354">
      <w:pPr>
        <w:pStyle w:val="JuParaChar1Char"/>
      </w:pPr>
      <w:r>
        <w:fldChar w:fldCharType="begin"/>
      </w:r>
      <w:r>
        <w:instrText xml:space="preserve"> SEQ level0 \*arabic </w:instrText>
      </w:r>
      <w:r>
        <w:fldChar w:fldCharType="separate"/>
      </w:r>
      <w:r w:rsidR="008B3B68">
        <w:rPr>
          <w:noProof/>
        </w:rPr>
        <w:t>11</w:t>
      </w:r>
      <w:r>
        <w:fldChar w:fldCharType="end"/>
      </w:r>
      <w:r>
        <w:t>.  </w:t>
      </w:r>
      <w:r w:rsidRPr="008213D8">
        <w:t xml:space="preserve">A hearing took place in public in the </w:t>
      </w:r>
      <w:smartTag w:uri="urn:schemas-microsoft-com:office:smarttags" w:element="PlaceName">
        <w:r w:rsidRPr="008213D8">
          <w:t>Human</w:t>
        </w:r>
      </w:smartTag>
      <w:r w:rsidRPr="008213D8">
        <w:t xml:space="preserve"> </w:t>
      </w:r>
      <w:smartTag w:uri="urn:schemas-microsoft-com:office:smarttags" w:element="PlaceName">
        <w:r w:rsidRPr="008213D8">
          <w:t>Rights</w:t>
        </w:r>
      </w:smartTag>
      <w:r w:rsidRPr="008213D8">
        <w:t xml:space="preserve"> </w:t>
      </w:r>
      <w:smartTag w:uri="urn:schemas-microsoft-com:office:smarttags" w:element="PlaceType">
        <w:r w:rsidRPr="008213D8">
          <w:t>Building</w:t>
        </w:r>
      </w:smartTag>
      <w:r w:rsidRPr="008213D8">
        <w:t xml:space="preserve">, </w:t>
      </w:r>
      <w:smartTag w:uri="urn:schemas-microsoft-com:office:smarttags" w:element="place">
        <w:smartTag w:uri="urn:schemas-microsoft-com:office:smarttags" w:element="City">
          <w:r w:rsidRPr="008213D8">
            <w:t>Strasbourg</w:t>
          </w:r>
        </w:smartTag>
      </w:smartTag>
      <w:r w:rsidRPr="008213D8">
        <w:t xml:space="preserve">, on </w:t>
      </w:r>
      <w:smartTag w:uri="urn:schemas-microsoft-com:office:smarttags" w:element="date">
        <w:smartTagPr>
          <w:attr w:name="Month" w:val="6"/>
          <w:attr w:name="Day" w:val="29"/>
          <w:attr w:name="Year" w:val="2005"/>
        </w:smartTagPr>
        <w:r>
          <w:t>29 June 2005</w:t>
        </w:r>
      </w:smartTag>
      <w:r w:rsidRPr="008213D8">
        <w:t xml:space="preserve"> (Rule 59 § 3).</w:t>
      </w:r>
    </w:p>
    <w:p w:rsidR="008253D7" w:rsidP="008253D7" w:rsidRDefault="008253D7">
      <w:pPr>
        <w:pStyle w:val="JuPara"/>
        <w:rPr>
          <w:lang w:val="en-GB"/>
        </w:rPr>
      </w:pPr>
    </w:p>
    <w:p w:rsidRPr="008F3716" w:rsidR="00D84354" w:rsidP="008253D7" w:rsidRDefault="00D84354">
      <w:pPr>
        <w:pStyle w:val="JuPara"/>
        <w:rPr>
          <w:lang w:val="en-GB"/>
        </w:rPr>
      </w:pPr>
      <w:r w:rsidRPr="008F3716">
        <w:rPr>
          <w:lang w:val="en-GB"/>
        </w:rPr>
        <w:t>There appeared before the Court:</w:t>
      </w:r>
    </w:p>
    <w:p w:rsidR="009A1217" w:rsidP="008253D7" w:rsidRDefault="00D84354">
      <w:pPr>
        <w:pStyle w:val="JuCourt"/>
        <w:ind w:left="360" w:hanging="360"/>
        <w:rPr>
          <w:i/>
        </w:rPr>
      </w:pPr>
      <w:r w:rsidRPr="008213D8">
        <w:t>(a)  </w:t>
      </w:r>
      <w:r w:rsidRPr="008213D8">
        <w:rPr>
          <w:i/>
        </w:rPr>
        <w:t>for the</w:t>
      </w:r>
      <w:r>
        <w:rPr>
          <w:i/>
        </w:rPr>
        <w:t xml:space="preserve"> </w:t>
      </w:r>
      <w:r w:rsidRPr="008213D8">
        <w:rPr>
          <w:i/>
        </w:rPr>
        <w:t>Government</w:t>
      </w:r>
      <w:r>
        <w:br/>
        <w:t>Mr</w:t>
      </w:r>
      <w:r>
        <w:tab/>
      </w:r>
      <w:r>
        <w:rPr>
          <w:rStyle w:val="JuNames"/>
        </w:rPr>
        <w:t>N. Lettieri</w:t>
      </w:r>
      <w:r>
        <w:t xml:space="preserve">, </w:t>
      </w:r>
      <w:r>
        <w:tab/>
      </w:r>
      <w:r w:rsidR="003606EB">
        <w:rPr>
          <w:i/>
        </w:rPr>
        <w:t>D</w:t>
      </w:r>
      <w:r w:rsidRPr="002B2AD2">
        <w:rPr>
          <w:i/>
        </w:rPr>
        <w:t>eputy co</w:t>
      </w:r>
      <w:r>
        <w:t>-</w:t>
      </w:r>
      <w:r>
        <w:rPr>
          <w:i/>
        </w:rPr>
        <w:t>Agent</w:t>
      </w:r>
      <w:r w:rsidRPr="003606EB">
        <w:t>;</w:t>
      </w:r>
    </w:p>
    <w:p w:rsidR="00066B44" w:rsidP="008253D7" w:rsidRDefault="00D84354">
      <w:pPr>
        <w:pStyle w:val="JuCourt"/>
        <w:keepNext/>
        <w:keepLines/>
        <w:ind w:left="0" w:firstLine="0"/>
        <w:rPr>
          <w:i/>
        </w:rPr>
      </w:pPr>
      <w:r w:rsidRPr="00577F4E">
        <w:t>(b)  </w:t>
      </w:r>
      <w:r w:rsidRPr="00577F4E">
        <w:rPr>
          <w:i/>
        </w:rPr>
        <w:t>for</w:t>
      </w:r>
      <w:r>
        <w:rPr>
          <w:i/>
        </w:rPr>
        <w:t xml:space="preserve"> t</w:t>
      </w:r>
      <w:r w:rsidRPr="00577F4E">
        <w:rPr>
          <w:i/>
        </w:rPr>
        <w:t>he applicant</w:t>
      </w:r>
      <w:r w:rsidR="00066B44">
        <w:rPr>
          <w:i/>
        </w:rPr>
        <w:t>s</w:t>
      </w:r>
    </w:p>
    <w:p w:rsidRPr="00577F4E" w:rsidR="00D84354" w:rsidP="00F540E9" w:rsidRDefault="00D84354">
      <w:pPr>
        <w:pStyle w:val="JuCourt"/>
        <w:tabs>
          <w:tab w:val="clear" w:pos="907"/>
          <w:tab w:val="left" w:pos="993"/>
        </w:tabs>
        <w:ind w:hanging="37"/>
        <w:rPr>
          <w:i/>
          <w:iCs/>
        </w:rPr>
      </w:pPr>
      <w:r w:rsidRPr="00577F4E">
        <w:t>Mr</w:t>
      </w:r>
      <w:r w:rsidR="008253D7">
        <w:tab/>
      </w:r>
      <w:smartTag w:uri="urn:schemas-microsoft-com:office:smarttags" w:element="place">
        <w:r w:rsidR="00A3623C">
          <w:rPr>
            <w:rStyle w:val="JuNames"/>
            <w:iCs/>
          </w:rPr>
          <w:t>N. Paoletti</w:t>
        </w:r>
      </w:smartTag>
      <w:r w:rsidRPr="00577F4E">
        <w:rPr>
          <w:iCs/>
        </w:rPr>
        <w:t xml:space="preserve">, </w:t>
      </w:r>
      <w:r w:rsidR="00A3623C">
        <w:rPr>
          <w:i/>
          <w:iCs/>
        </w:rPr>
        <w:tab/>
        <w:t>Counsel</w:t>
      </w:r>
      <w:r w:rsidRPr="003606EB" w:rsidR="00A3623C">
        <w:rPr>
          <w:iCs/>
        </w:rPr>
        <w:t>,</w:t>
      </w:r>
    </w:p>
    <w:p w:rsidR="009A1217" w:rsidP="008253D7" w:rsidRDefault="00D84354">
      <w:pPr>
        <w:tabs>
          <w:tab w:val="left" w:pos="993"/>
        </w:tabs>
        <w:ind w:left="360"/>
      </w:pPr>
      <w:r w:rsidRPr="00577F4E">
        <w:t>Mr</w:t>
      </w:r>
      <w:r w:rsidR="00A3623C">
        <w:t>s</w:t>
      </w:r>
      <w:r w:rsidR="008253D7">
        <w:tab/>
      </w:r>
      <w:r w:rsidR="00A3623C">
        <w:rPr>
          <w:rStyle w:val="JuNames"/>
        </w:rPr>
        <w:t>A. Mari</w:t>
      </w:r>
      <w:r w:rsidRPr="00577F4E">
        <w:t>,</w:t>
      </w:r>
    </w:p>
    <w:p w:rsidR="00D84354" w:rsidP="008253D7" w:rsidRDefault="00D84354">
      <w:pPr>
        <w:tabs>
          <w:tab w:val="left" w:pos="993"/>
          <w:tab w:val="right" w:pos="7358"/>
        </w:tabs>
        <w:ind w:left="360"/>
      </w:pPr>
      <w:r w:rsidRPr="00577F4E">
        <w:t>Mr</w:t>
      </w:r>
      <w:r w:rsidR="00A3623C">
        <w:t>s</w:t>
      </w:r>
      <w:r w:rsidR="008253D7">
        <w:tab/>
      </w:r>
      <w:r w:rsidR="00A3623C">
        <w:rPr>
          <w:rStyle w:val="JuNames"/>
        </w:rPr>
        <w:t>G. Paoletti</w:t>
      </w:r>
      <w:r w:rsidRPr="00577F4E">
        <w:t xml:space="preserve">, </w:t>
      </w:r>
      <w:r w:rsidR="00AD16B3">
        <w:t xml:space="preserve">all </w:t>
      </w:r>
      <w:r w:rsidRPr="00577F4E">
        <w:rPr>
          <w:iCs/>
        </w:rPr>
        <w:t xml:space="preserve">of the </w:t>
      </w:r>
      <w:r w:rsidR="00A3623C">
        <w:rPr>
          <w:iCs/>
        </w:rPr>
        <w:t>Rome</w:t>
      </w:r>
      <w:r w:rsidRPr="00577F4E">
        <w:rPr>
          <w:iCs/>
        </w:rPr>
        <w:t xml:space="preserve"> Bar</w:t>
      </w:r>
      <w:r w:rsidRPr="00577F4E">
        <w:t>,</w:t>
      </w:r>
      <w:r w:rsidR="00A3623C">
        <w:tab/>
      </w:r>
      <w:r w:rsidRPr="00066B44" w:rsidR="00A3623C">
        <w:rPr>
          <w:i/>
        </w:rPr>
        <w:t>Advisers</w:t>
      </w:r>
      <w:r w:rsidR="00066B44">
        <w:t>.</w:t>
      </w:r>
    </w:p>
    <w:p w:rsidRPr="00DA15E2" w:rsidR="00066B44" w:rsidP="00AA4493" w:rsidRDefault="00066B44">
      <w:pPr>
        <w:pStyle w:val="JuPara"/>
        <w:rPr>
          <w:lang w:val="en-GB"/>
        </w:rPr>
      </w:pPr>
    </w:p>
    <w:p w:rsidRPr="00DA15E2" w:rsidR="00D84354" w:rsidP="00AA4493" w:rsidRDefault="00D84354">
      <w:pPr>
        <w:pStyle w:val="JuPara"/>
        <w:rPr>
          <w:lang w:val="en-GB"/>
        </w:rPr>
      </w:pPr>
      <w:r w:rsidRPr="00DA15E2">
        <w:rPr>
          <w:lang w:val="en-GB"/>
        </w:rPr>
        <w:t xml:space="preserve">The Court heard addresses by Mr </w:t>
      </w:r>
      <w:r w:rsidRPr="00DA15E2" w:rsidR="00314CA4">
        <w:rPr>
          <w:lang w:val="en-GB"/>
        </w:rPr>
        <w:t xml:space="preserve">Paoletti, Mrs Mari </w:t>
      </w:r>
      <w:r w:rsidR="00285346">
        <w:rPr>
          <w:lang w:val="en-GB"/>
        </w:rPr>
        <w:t>and Mr</w:t>
      </w:r>
      <w:r w:rsidR="00D076AF">
        <w:rPr>
          <w:lang w:val="en-GB"/>
        </w:rPr>
        <w:t xml:space="preserve"> </w:t>
      </w:r>
      <w:r w:rsidRPr="00DA15E2">
        <w:rPr>
          <w:lang w:val="en-GB"/>
        </w:rPr>
        <w:t>Lettieri, and Mr Lettieri</w:t>
      </w:r>
      <w:r w:rsidR="00E6191D">
        <w:rPr>
          <w:lang w:val="en-GB"/>
        </w:rPr>
        <w:t>’</w:t>
      </w:r>
      <w:r w:rsidRPr="00DA15E2">
        <w:rPr>
          <w:lang w:val="en-GB"/>
        </w:rPr>
        <w:t>s replies to judges</w:t>
      </w:r>
      <w:r w:rsidR="00E6191D">
        <w:rPr>
          <w:lang w:val="en-GB"/>
        </w:rPr>
        <w:t>’</w:t>
      </w:r>
      <w:r w:rsidRPr="00DA15E2">
        <w:rPr>
          <w:lang w:val="en-GB"/>
        </w:rPr>
        <w:t xml:space="preserve"> questions.</w:t>
      </w:r>
    </w:p>
    <w:p w:rsidRPr="00D076AF" w:rsidR="00BF6E2C" w:rsidP="00D076AF" w:rsidRDefault="00BF6E2C">
      <w:pPr>
        <w:pStyle w:val="JuHHead"/>
      </w:pPr>
      <w:r w:rsidRPr="00D076AF">
        <w:t>THE FACTS</w:t>
      </w:r>
    </w:p>
    <w:p w:rsidR="00314CA4" w:rsidP="00D076AF" w:rsidRDefault="00314CA4">
      <w:pPr>
        <w:pStyle w:val="JuHIRoman"/>
        <w:tabs>
          <w:tab w:val="clear" w:pos="357"/>
        </w:tabs>
        <w:ind w:left="0" w:firstLine="3"/>
        <w:outlineLvl w:val="0"/>
      </w:pPr>
      <w:r>
        <w:t>I.  THE CIRCUMSTANCES OF THE CASE</w:t>
      </w:r>
    </w:p>
    <w:p w:rsidR="00967E1F" w:rsidP="00D84354" w:rsidRDefault="00BE159A">
      <w:pPr>
        <w:pStyle w:val="JuParaChar1Char"/>
      </w:pPr>
      <w:r>
        <w:fldChar w:fldCharType="begin"/>
      </w:r>
      <w:r>
        <w:instrText xml:space="preserve"> SEQ level0 \*arabic </w:instrText>
      </w:r>
      <w:r>
        <w:fldChar w:fldCharType="separate"/>
      </w:r>
      <w:r w:rsidR="008B3B68">
        <w:rPr>
          <w:noProof/>
        </w:rPr>
        <w:t>12</w:t>
      </w:r>
      <w:r>
        <w:fldChar w:fldCharType="end"/>
      </w:r>
      <w:r>
        <w:t>.  </w:t>
      </w:r>
      <w:r w:rsidRPr="007B70C8" w:rsidR="00BF6E2C">
        <w:t xml:space="preserve">The applicants were born in 1959, 1949, 1951 and 1953 respectively and live in </w:t>
      </w:r>
      <w:smartTag w:uri="urn:schemas-microsoft-com:office:smarttags" w:element="place">
        <w:smartTag w:uri="urn:schemas-microsoft-com:office:smarttags" w:element="City">
          <w:r w:rsidR="00BF6E2C" w:rsidRPr="007B70C8">
            <w:t>Reggio di Calabria</w:t>
          </w:r>
        </w:smartTag>
      </w:smartTag>
      <w:r w:rsidRPr="007B70C8" w:rsidR="00BF6E2C">
        <w:t>.</w:t>
      </w:r>
    </w:p>
    <w:p w:rsidRPr="001E34B0" w:rsidR="00BE159A" w:rsidP="00BE159A" w:rsidRDefault="00BE159A">
      <w:pPr>
        <w:pStyle w:val="JuParaChar1Char"/>
      </w:pPr>
      <w:r>
        <w:fldChar w:fldCharType="begin"/>
      </w:r>
      <w:r>
        <w:instrText xml:space="preserve"> SEQ level0 \*arabic </w:instrText>
      </w:r>
      <w:r>
        <w:fldChar w:fldCharType="separate"/>
      </w:r>
      <w:r w:rsidR="008B3B68">
        <w:rPr>
          <w:noProof/>
        </w:rPr>
        <w:t>13</w:t>
      </w:r>
      <w:r>
        <w:fldChar w:fldCharType="end"/>
      </w:r>
      <w:r>
        <w:t>.  </w:t>
      </w:r>
      <w:r w:rsidRPr="007B70C8">
        <w:t xml:space="preserve">In 1992 the applicants inherited </w:t>
      </w:r>
      <w:r>
        <w:t xml:space="preserve">from Mr A. </w:t>
      </w:r>
      <w:r w:rsidRPr="007B70C8">
        <w:t xml:space="preserve">Scordino </w:t>
      </w:r>
      <w:r>
        <w:t>several plots of land</w:t>
      </w:r>
      <w:r w:rsidRPr="007B70C8">
        <w:t xml:space="preserve"> in </w:t>
      </w:r>
      <w:smartTag w:uri="urn:schemas-microsoft-com:office:smarttags" w:element="place">
        <w:smartTag w:uri="urn:schemas-microsoft-com:office:smarttags" w:element="City">
          <w:r w:rsidRPr="007B70C8">
            <w:t>Reggio di Calabria</w:t>
          </w:r>
        </w:smartTag>
      </w:smartTag>
      <w:r w:rsidRPr="007B70C8">
        <w:t xml:space="preserve">, entered in the </w:t>
      </w:r>
      <w:r>
        <w:t>l</w:t>
      </w:r>
      <w:r w:rsidRPr="007B70C8">
        <w:t xml:space="preserve">and </w:t>
      </w:r>
      <w:r>
        <w:t>r</w:t>
      </w:r>
      <w:r w:rsidRPr="007B70C8">
        <w:t>egister as folio 111, parcels 105, 107, 109 and 662.</w:t>
      </w:r>
      <w:r>
        <w:t xml:space="preserve"> </w:t>
      </w:r>
      <w:r w:rsidRPr="007B70C8">
        <w:t xml:space="preserve">On </w:t>
      </w:r>
      <w:smartTag w:uri="urn:schemas-microsoft-com:office:smarttags" w:element="date">
        <w:smartTagPr>
          <w:attr w:name="Month" w:val="3"/>
          <w:attr w:name="Day" w:val="25"/>
          <w:attr w:name="Year" w:val="1970"/>
        </w:smartTagPr>
        <w:r w:rsidRPr="007B70C8">
          <w:t>25 March 1970</w:t>
        </w:r>
      </w:smartTag>
      <w:r w:rsidRPr="007B70C8">
        <w:t xml:space="preserve"> Reggio di Calabria District Council</w:t>
      </w:r>
      <w:r w:rsidR="00066B44">
        <w:t xml:space="preserve"> had</w:t>
      </w:r>
      <w:r w:rsidRPr="007B70C8">
        <w:t xml:space="preserve"> adopted a general development plan, which was approved by the Calabria Regional Council on </w:t>
      </w:r>
      <w:smartTag w:uri="urn:schemas-microsoft-com:office:smarttags" w:element="date">
        <w:smartTagPr>
          <w:attr w:name="Month" w:val="3"/>
          <w:attr w:name="Day" w:val="17"/>
          <w:attr w:name="Year" w:val="1975"/>
        </w:smartTagPr>
        <w:r>
          <w:t xml:space="preserve">17 </w:t>
        </w:r>
        <w:r w:rsidRPr="007B70C8">
          <w:t>March 1975</w:t>
        </w:r>
      </w:smartTag>
      <w:r w:rsidRPr="007B70C8">
        <w:t>.</w:t>
      </w:r>
      <w:r>
        <w:t xml:space="preserve"> </w:t>
      </w:r>
      <w:r w:rsidRPr="007B70C8">
        <w:t>The land in issue in th</w:t>
      </w:r>
      <w:r>
        <w:t xml:space="preserve">e </w:t>
      </w:r>
      <w:r w:rsidR="00AB04DA">
        <w:t>present application</w:t>
      </w:r>
      <w:r>
        <w:t>, an area of 1,786 sq.</w:t>
      </w:r>
      <w:r w:rsidRPr="007B70C8">
        <w:t xml:space="preserve"> </w:t>
      </w:r>
      <w:r>
        <w:t>m designated as parcel 109,</w:t>
      </w:r>
      <w:r w:rsidRPr="007B70C8">
        <w:t xml:space="preserve"> was </w:t>
      </w:r>
      <w:r w:rsidR="00DE349D">
        <w:t xml:space="preserve">made the subject of </w:t>
      </w:r>
      <w:r w:rsidRPr="007B70C8">
        <w:t>an expropriation permit under the</w:t>
      </w:r>
      <w:r w:rsidR="00066B44">
        <w:t xml:space="preserve"> general</w:t>
      </w:r>
      <w:r w:rsidRPr="007B70C8">
        <w:t xml:space="preserve"> development plan </w:t>
      </w:r>
      <w:r>
        <w:t>with a view to the construction of housing on the land</w:t>
      </w:r>
      <w:r w:rsidRPr="007B70C8">
        <w:t>.</w:t>
      </w:r>
      <w:r w:rsidRPr="001E34B0" w:rsidR="001E34B0">
        <w:t xml:space="preserve"> The land was subsequently included in the zonal development plan approved by the Calabria</w:t>
      </w:r>
      <w:r w:rsidR="00DE349D">
        <w:t xml:space="preserve"> R</w:t>
      </w:r>
      <w:r w:rsidRPr="001E34B0" w:rsidR="001E34B0">
        <w:t>egion</w:t>
      </w:r>
      <w:r w:rsidR="00DE349D">
        <w:t>al Council</w:t>
      </w:r>
      <w:r w:rsidRPr="001E34B0" w:rsidR="001E34B0">
        <w:t xml:space="preserve"> on </w:t>
      </w:r>
      <w:smartTag w:uri="urn:schemas-microsoft-com:office:smarttags" w:element="date">
        <w:smartTagPr>
          <w:attr w:name="Month" w:val="6"/>
          <w:attr w:name="Day" w:val="20"/>
          <w:attr w:name="Year" w:val="1979"/>
        </w:smartTagPr>
        <w:r w:rsidR="001E34B0" w:rsidRPr="001E34B0">
          <w:t>20 June 1979</w:t>
        </w:r>
      </w:smartTag>
      <w:r w:rsidRPr="001E34B0" w:rsidR="001E34B0">
        <w:t>.</w:t>
      </w:r>
    </w:p>
    <w:p w:rsidRPr="00DA15E2" w:rsidR="00BF6E2C" w:rsidP="00124007" w:rsidRDefault="00BF6E2C">
      <w:pPr>
        <w:pStyle w:val="JuHA0"/>
        <w:outlineLvl w:val="0"/>
        <w:rPr>
          <w:lang w:val="en-GB"/>
        </w:rPr>
      </w:pPr>
      <w:r w:rsidRPr="00DA15E2">
        <w:rPr>
          <w:lang w:val="en-GB"/>
        </w:rPr>
        <w:t>A.  </w:t>
      </w:r>
      <w:r w:rsidRPr="00DA15E2" w:rsidR="00BE159A">
        <w:rPr>
          <w:lang w:val="en-GB"/>
        </w:rPr>
        <w:t>The expropriation of the land</w:t>
      </w:r>
    </w:p>
    <w:p w:rsidRPr="007B70C8" w:rsidR="00BF6E2C" w:rsidP="00D619DD" w:rsidRDefault="00BE159A">
      <w:pPr>
        <w:pStyle w:val="JuParaChar1Char"/>
      </w:pPr>
      <w:r>
        <w:fldChar w:fldCharType="begin"/>
      </w:r>
      <w:r>
        <w:instrText xml:space="preserve"> SEQ level0 \*arabic </w:instrText>
      </w:r>
      <w:r>
        <w:fldChar w:fldCharType="separate"/>
      </w:r>
      <w:r w:rsidR="008B3B68">
        <w:rPr>
          <w:noProof/>
        </w:rPr>
        <w:t>14</w:t>
      </w:r>
      <w:r>
        <w:fldChar w:fldCharType="end"/>
      </w:r>
      <w:r>
        <w:t>.  </w:t>
      </w:r>
      <w:r w:rsidRPr="007B70C8" w:rsidR="00BF6E2C">
        <w:t xml:space="preserve">In 1980 Reggio di Calabria District Council decided that </w:t>
      </w:r>
      <w:r w:rsidR="007D174F">
        <w:t xml:space="preserve">a </w:t>
      </w:r>
      <w:r w:rsidRPr="007B70C8" w:rsidR="007D174F">
        <w:t>cooperative society</w:t>
      </w:r>
      <w:r w:rsidR="007D174F">
        <w:t>,</w:t>
      </w:r>
      <w:r w:rsidRPr="007B70C8" w:rsidR="00BF6E2C">
        <w:t xml:space="preserve"> Edilizia Aquila</w:t>
      </w:r>
      <w:r w:rsidR="007D174F">
        <w:t>,</w:t>
      </w:r>
      <w:r w:rsidRPr="007B70C8" w:rsidR="00BF6E2C">
        <w:t xml:space="preserve"> would carry out building work on the land in question. In a decision of 13 March 1981</w:t>
      </w:r>
      <w:r w:rsidR="00AD16B3">
        <w:t>,</w:t>
      </w:r>
      <w:r w:rsidRPr="007B70C8" w:rsidR="00BF6E2C">
        <w:t xml:space="preserve"> the administrative authorities granted the cooperative permission to occupy the land.</w:t>
      </w:r>
    </w:p>
    <w:p w:rsidRPr="007B70C8" w:rsidR="00BF6E2C" w:rsidP="00D619DD" w:rsidRDefault="00BE159A">
      <w:pPr>
        <w:pStyle w:val="JuParaChar1Char"/>
      </w:pPr>
      <w:r>
        <w:fldChar w:fldCharType="begin"/>
      </w:r>
      <w:r>
        <w:instrText xml:space="preserve"> SEQ level0 \*arabic </w:instrText>
      </w:r>
      <w:r>
        <w:fldChar w:fldCharType="separate"/>
      </w:r>
      <w:r w:rsidR="008B3B68">
        <w:rPr>
          <w:noProof/>
        </w:rPr>
        <w:t>15</w:t>
      </w:r>
      <w:r>
        <w:fldChar w:fldCharType="end"/>
      </w:r>
      <w:r>
        <w:t>.  </w:t>
      </w:r>
      <w:r w:rsidRPr="007B70C8" w:rsidR="00BF6E2C">
        <w:t xml:space="preserve">On </w:t>
      </w:r>
      <w:smartTag w:uri="urn:schemas-microsoft-com:office:smarttags" w:element="date">
        <w:smartTagPr>
          <w:attr w:name="Month" w:val="3"/>
          <w:attr w:name="Day" w:val="30"/>
          <w:attr w:name="Year" w:val="1982"/>
        </w:smartTagPr>
        <w:r w:rsidR="00BF6E2C" w:rsidRPr="007B70C8">
          <w:t>30 March 1982</w:t>
        </w:r>
      </w:smartTag>
      <w:r w:rsidRPr="007B70C8" w:rsidR="00BF6E2C">
        <w:t xml:space="preserve">, pursuant to Law no. 385/1980, Reggio di Calabria District Council offered an advance on the </w:t>
      </w:r>
      <w:r w:rsidRPr="007B70C8" w:rsidR="007D174F">
        <w:t xml:space="preserve">compensation </w:t>
      </w:r>
      <w:r w:rsidRPr="007B70C8" w:rsidR="00BF6E2C">
        <w:t xml:space="preserve">payable for the expropriation, </w:t>
      </w:r>
      <w:r w:rsidR="007D174F">
        <w:t>the amount having</w:t>
      </w:r>
      <w:r w:rsidRPr="007B70C8" w:rsidR="00BF6E2C">
        <w:t xml:space="preserve"> been determined in accordance with Law no. 865/1971. The sum offered, 606,560 </w:t>
      </w:r>
      <w:r w:rsidR="00A3566A">
        <w:t xml:space="preserve">Italian </w:t>
      </w:r>
      <w:r w:rsidRPr="007B70C8" w:rsidR="00BF6E2C">
        <w:t xml:space="preserve">lire (ITL), was calculated according to the rules in force for agricultural land, </w:t>
      </w:r>
      <w:r w:rsidR="007D174F">
        <w:t>using</w:t>
      </w:r>
      <w:r w:rsidRPr="007B70C8" w:rsidR="00BF6E2C">
        <w:t xml:space="preserve"> a value </w:t>
      </w:r>
      <w:r w:rsidRPr="007B70C8" w:rsidR="007B70C8">
        <w:t>of ITL</w:t>
      </w:r>
      <w:r w:rsidRPr="007B70C8" w:rsidR="00BF6E2C">
        <w:t xml:space="preserve"> 340 per </w:t>
      </w:r>
      <w:r w:rsidR="00D076AF">
        <w:t xml:space="preserve">square metre </w:t>
      </w:r>
      <w:r w:rsidRPr="007B70C8" w:rsidR="00BF6E2C">
        <w:t>as a basis, with the proviso that the final amount of compensation would be</w:t>
      </w:r>
      <w:r w:rsidR="007D174F">
        <w:t xml:space="preserve"> determined once</w:t>
      </w:r>
      <w:r w:rsidRPr="007D174F" w:rsidR="007D174F">
        <w:t xml:space="preserve"> </w:t>
      </w:r>
      <w:r w:rsidRPr="007B70C8" w:rsidR="007D174F">
        <w:t>a law</w:t>
      </w:r>
      <w:r w:rsidR="007D174F">
        <w:t xml:space="preserve"> had been enacted </w:t>
      </w:r>
      <w:r w:rsidRPr="007B70C8" w:rsidR="00BF6E2C">
        <w:t xml:space="preserve">laying down new </w:t>
      </w:r>
      <w:r w:rsidRPr="007B70C8" w:rsidR="007D174F">
        <w:t xml:space="preserve">compensation </w:t>
      </w:r>
      <w:r w:rsidRPr="007B70C8" w:rsidR="00BF6E2C">
        <w:t xml:space="preserve">criteria for </w:t>
      </w:r>
      <w:r w:rsidR="007D174F">
        <w:t>building land.</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16</w:t>
      </w:r>
      <w:r>
        <w:fldChar w:fldCharType="end"/>
      </w:r>
      <w:r>
        <w:t>.  </w:t>
      </w:r>
      <w:r w:rsidRPr="007B70C8" w:rsidR="00BF6E2C">
        <w:t xml:space="preserve">The offer was refused by </w:t>
      </w:r>
      <w:r w:rsidR="003D5F84">
        <w:t xml:space="preserve">Mr </w:t>
      </w:r>
      <w:r w:rsidRPr="007B70C8" w:rsidR="00BF6E2C">
        <w:t>A. Scordino.</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17</w:t>
      </w:r>
      <w:r>
        <w:fldChar w:fldCharType="end"/>
      </w:r>
      <w:r>
        <w:t>.  </w:t>
      </w:r>
      <w:r w:rsidRPr="007B70C8" w:rsidR="00BF6E2C">
        <w:t xml:space="preserve">On </w:t>
      </w:r>
      <w:smartTag w:uri="urn:schemas-microsoft-com:office:smarttags" w:element="date">
        <w:smartTagPr>
          <w:attr w:name="Month" w:val="3"/>
          <w:attr w:name="Day" w:val="21"/>
          <w:attr w:name="Year" w:val="1983"/>
        </w:smartTagPr>
        <w:r w:rsidR="00BF6E2C" w:rsidRPr="007B70C8">
          <w:t>21 March 1983</w:t>
        </w:r>
      </w:smartTag>
      <w:r w:rsidRPr="007B70C8" w:rsidR="00BF6E2C">
        <w:t xml:space="preserve"> the Regional Council issued an expropriation order in respect of the land.</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18</w:t>
      </w:r>
      <w:r>
        <w:fldChar w:fldCharType="end"/>
      </w:r>
      <w:r>
        <w:t>.  </w:t>
      </w:r>
      <w:r w:rsidRPr="007B70C8" w:rsidR="00BF6E2C">
        <w:t xml:space="preserve">On </w:t>
      </w:r>
      <w:smartTag w:uri="urn:schemas-microsoft-com:office:smarttags" w:element="date">
        <w:smartTagPr>
          <w:attr w:name="Month" w:val="6"/>
          <w:attr w:name="Day" w:val="13"/>
          <w:attr w:name="Year" w:val="1983"/>
        </w:smartTagPr>
        <w:r w:rsidR="00BF6E2C" w:rsidRPr="007B70C8">
          <w:t>13 June 1983</w:t>
        </w:r>
      </w:smartTag>
      <w:r w:rsidRPr="007B70C8" w:rsidR="00BF6E2C">
        <w:t xml:space="preserve"> the District Council made a second offer </w:t>
      </w:r>
      <w:r w:rsidR="00685BED">
        <w:t>of</w:t>
      </w:r>
      <w:r w:rsidRPr="007B70C8" w:rsidR="00BF6E2C">
        <w:t xml:space="preserve"> an advance, this time amounting to ITL 785,000. The offer was not accepted.</w:t>
      </w:r>
    </w:p>
    <w:p w:rsidR="00967E1F" w:rsidP="00D619DD" w:rsidRDefault="007E7F66">
      <w:pPr>
        <w:pStyle w:val="JuParaChar1Char"/>
      </w:pPr>
      <w:r>
        <w:fldChar w:fldCharType="begin"/>
      </w:r>
      <w:r>
        <w:instrText xml:space="preserve"> SEQ level0 \*arabic </w:instrText>
      </w:r>
      <w:r>
        <w:fldChar w:fldCharType="separate"/>
      </w:r>
      <w:r w:rsidR="008B3B68">
        <w:rPr>
          <w:noProof/>
        </w:rPr>
        <w:t>19</w:t>
      </w:r>
      <w:r>
        <w:fldChar w:fldCharType="end"/>
      </w:r>
      <w:r>
        <w:t>.  </w:t>
      </w:r>
      <w:r w:rsidRPr="007B70C8" w:rsidR="00BF6E2C">
        <w:t xml:space="preserve">In judgment </w:t>
      </w:r>
      <w:r w:rsidRPr="007B70C8" w:rsidR="00D6594D">
        <w:t>no. 223</w:t>
      </w:r>
      <w:r w:rsidR="00B7193F">
        <w:t xml:space="preserve"> of</w:t>
      </w:r>
      <w:r w:rsidRPr="007B70C8" w:rsidR="00BF6E2C">
        <w:t xml:space="preserve"> </w:t>
      </w:r>
      <w:smartTag w:uri="urn:schemas-microsoft-com:office:smarttags" w:element="date">
        <w:smartTagPr>
          <w:attr w:name="Month" w:val="7"/>
          <w:attr w:name="Day" w:val="15"/>
          <w:attr w:name="Year" w:val="1983"/>
        </w:smartTagPr>
        <w:r w:rsidR="00685BED">
          <w:t xml:space="preserve">15 July </w:t>
        </w:r>
        <w:r w:rsidR="00BF6E2C" w:rsidRPr="007B70C8">
          <w:t>1983</w:t>
        </w:r>
      </w:smartTag>
      <w:r w:rsidR="00D6594D">
        <w:t>,</w:t>
      </w:r>
      <w:r w:rsidR="007D174F">
        <w:t xml:space="preserve"> </w:t>
      </w:r>
      <w:r w:rsidRPr="007B70C8" w:rsidR="00BF6E2C">
        <w:t xml:space="preserve">the </w:t>
      </w:r>
      <w:smartTag w:uri="urn:schemas-microsoft-com:office:smarttags" w:element="Street">
        <w:smartTag w:uri="urn:schemas-microsoft-com:office:smarttags" w:element="address">
          <w:r w:rsidR="00BF6E2C" w:rsidRPr="007B70C8">
            <w:t>Constitutional Court</w:t>
          </w:r>
        </w:smartTag>
      </w:smartTag>
      <w:r w:rsidRPr="007B70C8" w:rsidR="00BF6E2C">
        <w:t xml:space="preserve"> declared Law no.</w:t>
      </w:r>
      <w:r w:rsidR="006D0ACB">
        <w:t xml:space="preserve"> </w:t>
      </w:r>
      <w:r w:rsidRPr="007B70C8" w:rsidR="00BF6E2C">
        <w:t xml:space="preserve">385/1980 unconstitutional on the ground that it made the award of compensation subject to the enactment of a </w:t>
      </w:r>
      <w:r w:rsidR="007D174F">
        <w:t xml:space="preserve">future </w:t>
      </w:r>
      <w:r w:rsidRPr="007B70C8" w:rsidR="00BF6E2C">
        <w:t>law.</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20</w:t>
      </w:r>
      <w:r>
        <w:fldChar w:fldCharType="end"/>
      </w:r>
      <w:r>
        <w:t>.  </w:t>
      </w:r>
      <w:r w:rsidRPr="007B70C8" w:rsidR="00BF6E2C">
        <w:t xml:space="preserve">As a result of that judgment, Law no. 2359/1865, which provided that compensation for expropriation </w:t>
      </w:r>
      <w:r w:rsidR="007D174F">
        <w:t>should correspond</w:t>
      </w:r>
      <w:r w:rsidRPr="007B70C8" w:rsidR="00BF6E2C">
        <w:t xml:space="preserve"> to the market value</w:t>
      </w:r>
      <w:r w:rsidR="00AF19E3">
        <w:t xml:space="preserve"> of the land in question</w:t>
      </w:r>
      <w:r w:rsidRPr="007B70C8" w:rsidR="00BF6E2C">
        <w:t xml:space="preserve">, </w:t>
      </w:r>
      <w:r w:rsidR="007D174F">
        <w:t>came back into force</w:t>
      </w:r>
      <w:r w:rsidRPr="007B70C8" w:rsidR="00BF6E2C">
        <w:t>.</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21</w:t>
      </w:r>
      <w:r>
        <w:fldChar w:fldCharType="end"/>
      </w:r>
      <w:r>
        <w:t>.  </w:t>
      </w:r>
      <w:r w:rsidRPr="007B70C8" w:rsidR="00BF6E2C">
        <w:t xml:space="preserve">On </w:t>
      </w:r>
      <w:smartTag w:uri="urn:schemas-microsoft-com:office:smarttags" w:element="date">
        <w:smartTagPr>
          <w:attr w:name="Month" w:val="8"/>
          <w:attr w:name="Day" w:val="10"/>
          <w:attr w:name="Year" w:val="1984"/>
        </w:smartTagPr>
        <w:r w:rsidR="00BF6E2C" w:rsidRPr="007B70C8">
          <w:t>10 August 1984</w:t>
        </w:r>
      </w:smartTag>
      <w:r w:rsidRPr="007B70C8" w:rsidR="00BF6E2C">
        <w:t xml:space="preserve"> </w:t>
      </w:r>
      <w:r w:rsidR="00E879DF">
        <w:t xml:space="preserve">Mr </w:t>
      </w:r>
      <w:r w:rsidRPr="007B70C8" w:rsidR="00BF6E2C">
        <w:t xml:space="preserve">A. Scordino served </w:t>
      </w:r>
      <w:r w:rsidR="007D174F">
        <w:t xml:space="preserve">formal </w:t>
      </w:r>
      <w:r w:rsidRPr="007B70C8" w:rsidR="00BF6E2C">
        <w:t>notice on the District Council to determine the final amount of compensation in accordance with Law no. 2359/1865. On 16 November 1989 he learned that Reggio di Calabria District Council had a</w:t>
      </w:r>
      <w:r w:rsidR="00D3111A">
        <w:t>ssessed the final amount at ITL </w:t>
      </w:r>
      <w:r w:rsidRPr="007B70C8" w:rsidR="00BF6E2C">
        <w:t xml:space="preserve">88,414,940 (ITL 50,000 per </w:t>
      </w:r>
      <w:r w:rsidR="00D076AF">
        <w:t>square metre</w:t>
      </w:r>
      <w:r w:rsidRPr="007B70C8" w:rsidR="00BF6E2C">
        <w:t xml:space="preserve">) in </w:t>
      </w:r>
      <w:r w:rsidR="007D174F">
        <w:t>an order</w:t>
      </w:r>
      <w:r w:rsidRPr="007B70C8" w:rsidR="00BF6E2C">
        <w:t xml:space="preserve"> of 6</w:t>
      </w:r>
      <w:r w:rsidR="00B767E4">
        <w:t xml:space="preserve"> October </w:t>
      </w:r>
      <w:r w:rsidRPr="007B70C8" w:rsidR="00BF6E2C">
        <w:t>1989.</w:t>
      </w:r>
    </w:p>
    <w:p w:rsidRPr="00DA15E2" w:rsidR="00BF6E2C" w:rsidP="00124007" w:rsidRDefault="007E7F66">
      <w:pPr>
        <w:pStyle w:val="JuHA0"/>
        <w:outlineLvl w:val="0"/>
        <w:rPr>
          <w:lang w:val="en-GB"/>
        </w:rPr>
      </w:pPr>
      <w:r w:rsidRPr="00DA15E2">
        <w:rPr>
          <w:lang w:val="en-GB"/>
        </w:rPr>
        <w:t>B</w:t>
      </w:r>
      <w:r w:rsidRPr="00DA15E2" w:rsidR="00BF6E2C">
        <w:rPr>
          <w:lang w:val="en-GB"/>
        </w:rPr>
        <w:t>.  Proceedings for the award of compensation for the expropriation</w:t>
      </w:r>
    </w:p>
    <w:p w:rsidR="00967E1F" w:rsidP="00D619DD" w:rsidRDefault="007E7F66">
      <w:pPr>
        <w:pStyle w:val="JuParaChar1Char"/>
      </w:pPr>
      <w:r>
        <w:fldChar w:fldCharType="begin"/>
      </w:r>
      <w:r>
        <w:instrText xml:space="preserve"> SEQ level0 \*arabic </w:instrText>
      </w:r>
      <w:r>
        <w:fldChar w:fldCharType="separate"/>
      </w:r>
      <w:r w:rsidR="008B3B68">
        <w:rPr>
          <w:noProof/>
        </w:rPr>
        <w:t>22</w:t>
      </w:r>
      <w:r>
        <w:fldChar w:fldCharType="end"/>
      </w:r>
      <w:r>
        <w:t>.  </w:t>
      </w:r>
      <w:r w:rsidRPr="007B70C8" w:rsidR="00BF6E2C">
        <w:t xml:space="preserve">On 25 May 1990, contesting the amount of compensation he had been awarded, </w:t>
      </w:r>
      <w:r w:rsidR="002C63BA">
        <w:t xml:space="preserve">Mr </w:t>
      </w:r>
      <w:r w:rsidRPr="007B70C8" w:rsidR="00BF6E2C">
        <w:t>A. Scordino brought proceedings against the District Council and the cooperative in the Reggio di Calabria Court of Appeal.</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23</w:t>
      </w:r>
      <w:r>
        <w:fldChar w:fldCharType="end"/>
      </w:r>
      <w:r>
        <w:t>.  </w:t>
      </w:r>
      <w:r w:rsidRPr="007B70C8" w:rsidR="00BF6E2C">
        <w:t xml:space="preserve">He argued that the amount determined by the District </w:t>
      </w:r>
      <w:r w:rsidRPr="007B70C8" w:rsidR="007B70C8">
        <w:t>Council</w:t>
      </w:r>
      <w:r w:rsidRPr="007B70C8" w:rsidR="00BF6E2C">
        <w:t xml:space="preserve"> was ridiculously low in relation to the market value of the land and </w:t>
      </w:r>
      <w:r w:rsidR="00857C00">
        <w:t>requested</w:t>
      </w:r>
      <w:r w:rsidRPr="007B70C8" w:rsidR="00BF6E2C">
        <w:t xml:space="preserve">, among other things, to have the compensation calculated in accordance with Law no. 2359/1865. He also sought compensation for the period during which the land had been occupied before </w:t>
      </w:r>
      <w:r w:rsidR="00857C00">
        <w:t>the</w:t>
      </w:r>
      <w:r w:rsidRPr="007B70C8" w:rsidR="00BF6E2C">
        <w:t xml:space="preserve"> expropriation</w:t>
      </w:r>
      <w:r w:rsidR="00857C00">
        <w:t xml:space="preserve"> order had been issued</w:t>
      </w:r>
      <w:r w:rsidRPr="007B70C8" w:rsidR="00BF6E2C">
        <w:t xml:space="preserve">, and for the area of land (1,500 </w:t>
      </w:r>
      <w:r w:rsidR="000456BB">
        <w:t>sq. m</w:t>
      </w:r>
      <w:r w:rsidRPr="007B70C8" w:rsidR="00BF6E2C">
        <w:t>) that had become unusable as a result of the building work.</w:t>
      </w:r>
    </w:p>
    <w:p w:rsidR="00967E1F" w:rsidP="00D619DD" w:rsidRDefault="007E7F66">
      <w:pPr>
        <w:pStyle w:val="JuParaChar1Char"/>
      </w:pPr>
      <w:r>
        <w:fldChar w:fldCharType="begin"/>
      </w:r>
      <w:r>
        <w:instrText xml:space="preserve"> SEQ level0 \*arabic </w:instrText>
      </w:r>
      <w:r>
        <w:fldChar w:fldCharType="separate"/>
      </w:r>
      <w:r w:rsidR="008B3B68">
        <w:rPr>
          <w:noProof/>
        </w:rPr>
        <w:t>24</w:t>
      </w:r>
      <w:r>
        <w:fldChar w:fldCharType="end"/>
      </w:r>
      <w:r>
        <w:t>.  </w:t>
      </w:r>
      <w:r w:rsidRPr="007B70C8" w:rsidR="00BF6E2C">
        <w:t xml:space="preserve">Preparation of the case for hearing began on </w:t>
      </w:r>
      <w:smartTag w:uri="urn:schemas-microsoft-com:office:smarttags" w:element="date">
        <w:smartTagPr>
          <w:attr w:name="Month" w:val="1"/>
          <w:attr w:name="Day" w:val="7"/>
          <w:attr w:name="Year" w:val="1991"/>
        </w:smartTagPr>
        <w:r w:rsidR="00BF6E2C" w:rsidRPr="007B70C8">
          <w:t>7 January 1991</w:t>
        </w:r>
      </w:smartTag>
      <w:r w:rsidRPr="007B70C8" w:rsidR="00BF6E2C">
        <w:t>.</w:t>
      </w:r>
    </w:p>
    <w:p w:rsidR="00967E1F" w:rsidP="00D619DD" w:rsidRDefault="007E7F66">
      <w:pPr>
        <w:pStyle w:val="JuParaChar1Char"/>
      </w:pPr>
      <w:r>
        <w:fldChar w:fldCharType="begin"/>
      </w:r>
      <w:r>
        <w:instrText xml:space="preserve"> SEQ level0 \*arabic </w:instrText>
      </w:r>
      <w:r>
        <w:fldChar w:fldCharType="separate"/>
      </w:r>
      <w:r w:rsidR="008B3B68">
        <w:rPr>
          <w:noProof/>
        </w:rPr>
        <w:t>25</w:t>
      </w:r>
      <w:r>
        <w:fldChar w:fldCharType="end"/>
      </w:r>
      <w:r>
        <w:t>.  </w:t>
      </w:r>
      <w:r w:rsidRPr="007B70C8" w:rsidR="00BF6E2C">
        <w:t xml:space="preserve">The cooperative </w:t>
      </w:r>
      <w:r w:rsidR="00853CC6">
        <w:t>gave notice of its intention to defend</w:t>
      </w:r>
      <w:r w:rsidRPr="007B70C8" w:rsidR="00BF6E2C">
        <w:t xml:space="preserve"> and raised an objection</w:t>
      </w:r>
      <w:r w:rsidR="002050E4">
        <w:t xml:space="preserve">, arguing that it </w:t>
      </w:r>
      <w:r w:rsidR="008B3B33">
        <w:t>could not be considered a party to</w:t>
      </w:r>
      <w:r w:rsidR="00853CC6">
        <w:t xml:space="preserve"> the proceedings</w:t>
      </w:r>
      <w:r w:rsidRPr="007B70C8" w:rsidR="00BF6E2C">
        <w:t>.</w:t>
      </w:r>
    </w:p>
    <w:p w:rsidR="00967E1F" w:rsidP="00D619DD" w:rsidRDefault="007E7F66">
      <w:pPr>
        <w:pStyle w:val="JuParaChar1Char"/>
      </w:pPr>
      <w:r>
        <w:fldChar w:fldCharType="begin"/>
      </w:r>
      <w:r>
        <w:instrText xml:space="preserve"> SEQ level0 \*arabic </w:instrText>
      </w:r>
      <w:r>
        <w:fldChar w:fldCharType="separate"/>
      </w:r>
      <w:r w:rsidR="008B3B68">
        <w:rPr>
          <w:noProof/>
        </w:rPr>
        <w:t>26</w:t>
      </w:r>
      <w:r>
        <w:fldChar w:fldCharType="end"/>
      </w:r>
      <w:r>
        <w:t>.  </w:t>
      </w:r>
      <w:r w:rsidRPr="007B70C8" w:rsidR="00BF6E2C">
        <w:t xml:space="preserve">On 4 February 1991, as the District Council had still not </w:t>
      </w:r>
      <w:r w:rsidR="00853CC6">
        <w:t>given notice of its intention to defend</w:t>
      </w:r>
      <w:r w:rsidRPr="007B70C8" w:rsidR="00BF6E2C">
        <w:t xml:space="preserve">, the </w:t>
      </w:r>
      <w:smartTag w:uri="urn:schemas-microsoft-com:office:smarttags" w:element="place">
        <w:smartTag w:uri="urn:schemas-microsoft-com:office:smarttags" w:element="City">
          <w:r w:rsidR="00BF6E2C" w:rsidRPr="007B70C8">
            <w:t>Reggio di Calabria</w:t>
          </w:r>
        </w:smartTag>
      </w:smartTag>
      <w:r w:rsidRPr="007B70C8" w:rsidR="00BF6E2C">
        <w:t xml:space="preserve"> Court of Appeal declared it to be in default and ordered an expert assessment of the land</w:t>
      </w:r>
      <w:r w:rsidR="00AD16B3">
        <w:t>. By</w:t>
      </w:r>
      <w:r w:rsidR="00B20891">
        <w:t xml:space="preserve"> an order of 13 </w:t>
      </w:r>
      <w:r w:rsidRPr="007B70C8" w:rsidR="00BF6E2C">
        <w:t>February 1991</w:t>
      </w:r>
      <w:r w:rsidR="00AD16B3">
        <w:t>,</w:t>
      </w:r>
      <w:r w:rsidRPr="007B70C8" w:rsidR="00BF6E2C">
        <w:t xml:space="preserve"> an expert was appointed and was </w:t>
      </w:r>
      <w:r w:rsidR="00B20891">
        <w:t xml:space="preserve">given </w:t>
      </w:r>
      <w:r w:rsidRPr="007B70C8" w:rsidR="00B20891">
        <w:t xml:space="preserve">three months </w:t>
      </w:r>
      <w:r w:rsidR="00B20891">
        <w:t>in which</w:t>
      </w:r>
      <w:r w:rsidRPr="007B70C8" w:rsidR="00BF6E2C">
        <w:t xml:space="preserve"> to submit his report.</w:t>
      </w:r>
    </w:p>
    <w:p w:rsidR="00967E1F" w:rsidP="00D619DD" w:rsidRDefault="007E7F66">
      <w:pPr>
        <w:pStyle w:val="JuParaChar1Char"/>
      </w:pPr>
      <w:r>
        <w:fldChar w:fldCharType="begin"/>
      </w:r>
      <w:r>
        <w:instrText xml:space="preserve"> SEQ level0 \*arabic </w:instrText>
      </w:r>
      <w:r>
        <w:fldChar w:fldCharType="separate"/>
      </w:r>
      <w:r w:rsidR="008B3B68">
        <w:rPr>
          <w:noProof/>
        </w:rPr>
        <w:t>27</w:t>
      </w:r>
      <w:r>
        <w:fldChar w:fldCharType="end"/>
      </w:r>
      <w:r>
        <w:t>.  </w:t>
      </w:r>
      <w:r w:rsidRPr="007B70C8" w:rsidR="00BF6E2C">
        <w:t xml:space="preserve">On </w:t>
      </w:r>
      <w:smartTag w:uri="urn:schemas-microsoft-com:office:smarttags" w:element="date">
        <w:smartTagPr>
          <w:attr w:name="Month" w:val="5"/>
          <w:attr w:name="Day" w:val="6"/>
          <w:attr w:name="Year" w:val="1991"/>
        </w:smartTagPr>
        <w:r w:rsidR="00BF6E2C" w:rsidRPr="007B70C8">
          <w:t>6 May 1991</w:t>
        </w:r>
      </w:smartTag>
      <w:r w:rsidRPr="007B70C8" w:rsidR="00BF6E2C">
        <w:t xml:space="preserve"> the District Council </w:t>
      </w:r>
      <w:r w:rsidR="00853CC6">
        <w:t xml:space="preserve">gave </w:t>
      </w:r>
      <w:r w:rsidRPr="00853CC6" w:rsidR="00853CC6">
        <w:t xml:space="preserve">notice of its intention to defend </w:t>
      </w:r>
      <w:r w:rsidRPr="007B70C8" w:rsidR="00BF6E2C">
        <w:t>and raised an objection</w:t>
      </w:r>
      <w:r w:rsidR="002050E4">
        <w:t xml:space="preserve">, arguing that it </w:t>
      </w:r>
      <w:r w:rsidR="008B3B33">
        <w:t>could not be considered a party to the proceedings</w:t>
      </w:r>
      <w:r w:rsidRPr="007B70C8" w:rsidR="00BF6E2C">
        <w:t>. The expert agreed to his terms of reference and was sworn in.</w:t>
      </w:r>
    </w:p>
    <w:p w:rsidR="00967E1F" w:rsidP="00D619DD" w:rsidRDefault="007E7F66">
      <w:pPr>
        <w:pStyle w:val="JuParaChar1Char"/>
      </w:pPr>
      <w:r>
        <w:fldChar w:fldCharType="begin"/>
      </w:r>
      <w:r>
        <w:instrText xml:space="preserve"> SEQ level0 \*arabic </w:instrText>
      </w:r>
      <w:r>
        <w:fldChar w:fldCharType="separate"/>
      </w:r>
      <w:r w:rsidR="008B3B68">
        <w:rPr>
          <w:noProof/>
        </w:rPr>
        <w:t>28</w:t>
      </w:r>
      <w:r>
        <w:fldChar w:fldCharType="end"/>
      </w:r>
      <w:r>
        <w:t>.  </w:t>
      </w:r>
      <w:r w:rsidRPr="007B70C8" w:rsidR="00BF6E2C">
        <w:t xml:space="preserve">On </w:t>
      </w:r>
      <w:smartTag w:uri="urn:schemas-microsoft-com:office:smarttags" w:element="date">
        <w:smartTagPr>
          <w:attr w:name="Month" w:val="12"/>
          <w:attr w:name="Day" w:val="4"/>
          <w:attr w:name="Year" w:val="1991"/>
        </w:smartTagPr>
        <w:r w:rsidR="00BF6E2C" w:rsidRPr="007B70C8">
          <w:t>4 December 1991</w:t>
        </w:r>
      </w:smartTag>
      <w:r w:rsidRPr="007B70C8" w:rsidR="00BF6E2C">
        <w:t xml:space="preserve"> the expert submitted a report.</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29</w:t>
      </w:r>
      <w:r>
        <w:fldChar w:fldCharType="end"/>
      </w:r>
      <w:r>
        <w:t>.  </w:t>
      </w:r>
      <w:r w:rsidR="0048583E">
        <w:t xml:space="preserve">On </w:t>
      </w:r>
      <w:smartTag w:uri="urn:schemas-microsoft-com:office:smarttags" w:element="date">
        <w:smartTagPr>
          <w:attr w:name="Month" w:val="8"/>
          <w:attr w:name="Day" w:val="14"/>
          <w:attr w:name="Year" w:val="1992"/>
        </w:smartTagPr>
        <w:r w:rsidR="0048583E">
          <w:t>14</w:t>
        </w:r>
        <w:r w:rsidR="00BF6E2C" w:rsidRPr="007B70C8">
          <w:t xml:space="preserve"> August 1992</w:t>
        </w:r>
      </w:smartTag>
      <w:r w:rsidRPr="007B70C8" w:rsidR="00BF6E2C">
        <w:t xml:space="preserve"> Law</w:t>
      </w:r>
      <w:r w:rsidR="003514BC">
        <w:t xml:space="preserve"> no. 359 </w:t>
      </w:r>
      <w:r w:rsidR="0048583E">
        <w:t xml:space="preserve">of </w:t>
      </w:r>
      <w:smartTag w:uri="urn:schemas-microsoft-com:office:smarttags" w:element="date">
        <w:smartTagPr>
          <w:attr w:name="Month" w:val="8"/>
          <w:attr w:name="Day" w:val="8"/>
          <w:attr w:name="Year" w:val="1992"/>
        </w:smartTagPr>
        <w:r w:rsidR="0048583E">
          <w:t>8 August 1992</w:t>
        </w:r>
      </w:smartTag>
      <w:r w:rsidRPr="007B70C8" w:rsidR="00BF6E2C">
        <w:t xml:space="preserve"> </w:t>
      </w:r>
      <w:r w:rsidR="007331FE">
        <w:t>(“Urgent</w:t>
      </w:r>
      <w:r w:rsidRPr="007B70C8" w:rsidR="007331FE">
        <w:t xml:space="preserve"> measure</w:t>
      </w:r>
      <w:r w:rsidR="007331FE">
        <w:t>s</w:t>
      </w:r>
      <w:r w:rsidRPr="00D6594D" w:rsidR="007331FE">
        <w:t xml:space="preserve"> </w:t>
      </w:r>
      <w:r w:rsidR="007331FE">
        <w:t xml:space="preserve">aimed at </w:t>
      </w:r>
      <w:r w:rsidRPr="007B70C8" w:rsidR="007331FE">
        <w:t>stabilis</w:t>
      </w:r>
      <w:r w:rsidR="007331FE">
        <w:t xml:space="preserve">ing </w:t>
      </w:r>
      <w:r w:rsidRPr="007B70C8" w:rsidR="007331FE">
        <w:t>public finances</w:t>
      </w:r>
      <w:r w:rsidR="007331FE">
        <w:t xml:space="preserve">”) </w:t>
      </w:r>
      <w:r w:rsidRPr="007B70C8" w:rsidR="00BF6E2C">
        <w:t xml:space="preserve">came </w:t>
      </w:r>
      <w:r w:rsidR="00B20891">
        <w:t>into force. S</w:t>
      </w:r>
      <w:r w:rsidRPr="007B70C8" w:rsidR="00B20891">
        <w:t xml:space="preserve">ection 5 </w:t>
      </w:r>
      <w:r w:rsidRPr="007B70C8" w:rsidR="00B20891">
        <w:rPr>
          <w:i/>
          <w:iCs/>
        </w:rPr>
        <w:t>bis</w:t>
      </w:r>
      <w:r w:rsidRPr="007B70C8" w:rsidR="00BF6E2C">
        <w:t xml:space="preserve"> </w:t>
      </w:r>
      <w:r w:rsidR="005A2A87">
        <w:t xml:space="preserve">of the </w:t>
      </w:r>
      <w:r w:rsidR="007331FE">
        <w:t>L</w:t>
      </w:r>
      <w:r w:rsidR="00B20891">
        <w:t xml:space="preserve">aw </w:t>
      </w:r>
      <w:r w:rsidRPr="007B70C8" w:rsidR="00BF6E2C">
        <w:t>la</w:t>
      </w:r>
      <w:r w:rsidR="00B20891">
        <w:t>id</w:t>
      </w:r>
      <w:r w:rsidRPr="007B70C8" w:rsidR="00BF6E2C">
        <w:t xml:space="preserve"> down new criteria</w:t>
      </w:r>
      <w:r w:rsidRPr="007B70C8" w:rsidR="00BF6E2C">
        <w:rPr>
          <w:i/>
          <w:iCs/>
        </w:rPr>
        <w:t xml:space="preserve"> </w:t>
      </w:r>
      <w:r w:rsidRPr="007B70C8" w:rsidR="00BF6E2C">
        <w:t xml:space="preserve">for calculating compensation for the expropriation of building land. The </w:t>
      </w:r>
      <w:r w:rsidR="007331FE">
        <w:t>L</w:t>
      </w:r>
      <w:r w:rsidRPr="007B70C8" w:rsidR="00BF6E2C">
        <w:t>aw was expressly applicable to pending proceedings.</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30</w:t>
      </w:r>
      <w:r>
        <w:fldChar w:fldCharType="end"/>
      </w:r>
      <w:r>
        <w:t>.  </w:t>
      </w:r>
      <w:r w:rsidR="00E879DF">
        <w:t xml:space="preserve">Mr </w:t>
      </w:r>
      <w:r w:rsidRPr="007B70C8" w:rsidR="00BF6E2C">
        <w:t>A. Scordino</w:t>
      </w:r>
      <w:r w:rsidR="00DA3700">
        <w:t xml:space="preserve"> died</w:t>
      </w:r>
      <w:r w:rsidRPr="007B70C8" w:rsidR="00BF6E2C">
        <w:t xml:space="preserve"> on </w:t>
      </w:r>
      <w:smartTag w:uri="urn:schemas-microsoft-com:office:smarttags" w:element="date">
        <w:smartTagPr>
          <w:attr w:name="Month" w:val="11"/>
          <w:attr w:name="Day" w:val="30"/>
          <w:attr w:name="Year" w:val="1992"/>
        </w:smartTagPr>
        <w:r w:rsidR="00BF6E2C" w:rsidRPr="007B70C8">
          <w:t>30 November 1992</w:t>
        </w:r>
      </w:smartTag>
      <w:r w:rsidR="00DA3700">
        <w:t>. O</w:t>
      </w:r>
      <w:r w:rsidRPr="007B70C8" w:rsidR="00DA3700">
        <w:t xml:space="preserve">n </w:t>
      </w:r>
      <w:smartTag w:uri="urn:schemas-microsoft-com:office:smarttags" w:element="date">
        <w:smartTagPr>
          <w:attr w:name="Month" w:val="9"/>
          <w:attr w:name="Day" w:val="18"/>
          <w:attr w:name="Year" w:val="1993"/>
        </w:smartTagPr>
        <w:r w:rsidR="00DA3700" w:rsidRPr="007B70C8">
          <w:t>18 September 1993</w:t>
        </w:r>
      </w:smartTag>
      <w:r w:rsidR="00DA3700">
        <w:t xml:space="preserve"> </w:t>
      </w:r>
      <w:r w:rsidRPr="007B70C8" w:rsidR="00BF6E2C">
        <w:t xml:space="preserve">the applicants </w:t>
      </w:r>
      <w:r w:rsidR="00DA3700">
        <w:t>declared their intention to continue the</w:t>
      </w:r>
      <w:r w:rsidRPr="007B70C8" w:rsidR="00BF6E2C">
        <w:t xml:space="preserve"> proceedings.</w:t>
      </w:r>
    </w:p>
    <w:p w:rsidR="00967E1F" w:rsidP="00D619DD" w:rsidRDefault="007E7F66">
      <w:pPr>
        <w:pStyle w:val="JuParaChar1Char"/>
      </w:pPr>
      <w:r w:rsidRPr="007E7F66">
        <w:fldChar w:fldCharType="begin"/>
      </w:r>
      <w:r w:rsidRPr="007E7F66">
        <w:instrText xml:space="preserve"> SEQ level0 \*arabic </w:instrText>
      </w:r>
      <w:r w:rsidRPr="007E7F66">
        <w:fldChar w:fldCharType="separate"/>
      </w:r>
      <w:r w:rsidR="008B3B68">
        <w:rPr>
          <w:noProof/>
        </w:rPr>
        <w:t>31</w:t>
      </w:r>
      <w:r w:rsidRPr="007E7F66">
        <w:fldChar w:fldCharType="end"/>
      </w:r>
      <w:r w:rsidRPr="007E7F66">
        <w:t>.</w:t>
      </w:r>
      <w:r>
        <w:rPr>
          <w:b/>
        </w:rPr>
        <w:t>  </w:t>
      </w:r>
      <w:r w:rsidRPr="007B70C8" w:rsidR="00BF6E2C">
        <w:t xml:space="preserve">On </w:t>
      </w:r>
      <w:smartTag w:uri="urn:schemas-microsoft-com:office:smarttags" w:element="date">
        <w:smartTagPr>
          <w:attr w:name="Month" w:val="10"/>
          <w:attr w:name="Day" w:val="4"/>
          <w:attr w:name="Year" w:val="1993"/>
        </w:smartTagPr>
        <w:r w:rsidR="00BF6E2C" w:rsidRPr="007B70C8">
          <w:t>4 October 1993</w:t>
        </w:r>
      </w:smartTag>
      <w:r w:rsidRPr="007B70C8" w:rsidR="00BF6E2C">
        <w:t xml:space="preserve"> the </w:t>
      </w:r>
      <w:smartTag w:uri="urn:schemas-microsoft-com:office:smarttags" w:element="place">
        <w:smartTag w:uri="urn:schemas-microsoft-com:office:smarttags" w:element="City">
          <w:r w:rsidR="00BF6E2C" w:rsidRPr="007B70C8">
            <w:t>Reggio di Calabria</w:t>
          </w:r>
        </w:smartTag>
      </w:smartTag>
      <w:r w:rsidRPr="007B70C8" w:rsidR="00BF6E2C">
        <w:t xml:space="preserve"> Court of Appeal appointed another expert and instructed him to assess the compensation for the expropriation according to the </w:t>
      </w:r>
      <w:r w:rsidR="00B20891">
        <w:t xml:space="preserve">new </w:t>
      </w:r>
      <w:r w:rsidRPr="007B70C8" w:rsidR="00BF6E2C">
        <w:t xml:space="preserve">criteria </w:t>
      </w:r>
      <w:r w:rsidR="00B20891">
        <w:t>laid down in</w:t>
      </w:r>
      <w:r w:rsidRPr="007B70C8" w:rsidR="00BF6E2C">
        <w:t xml:space="preserve"> section 5 </w:t>
      </w:r>
      <w:r w:rsidRPr="007B70C8" w:rsidR="00BF6E2C">
        <w:rPr>
          <w:i/>
          <w:iCs/>
        </w:rPr>
        <w:t>bis</w:t>
      </w:r>
      <w:r w:rsidR="000456BB">
        <w:t xml:space="preserve"> of Law no. </w:t>
      </w:r>
      <w:r w:rsidRPr="007B70C8" w:rsidR="00BF6E2C">
        <w:t>359/1992.</w:t>
      </w:r>
    </w:p>
    <w:p w:rsidR="00967E1F" w:rsidP="00D619DD" w:rsidRDefault="007E7F66">
      <w:pPr>
        <w:pStyle w:val="JuParaChar1Char"/>
      </w:pPr>
      <w:r>
        <w:fldChar w:fldCharType="begin"/>
      </w:r>
      <w:r>
        <w:instrText xml:space="preserve"> SEQ level0 \*arabic </w:instrText>
      </w:r>
      <w:r>
        <w:fldChar w:fldCharType="separate"/>
      </w:r>
      <w:r w:rsidR="008B3B68">
        <w:rPr>
          <w:noProof/>
        </w:rPr>
        <w:t>32</w:t>
      </w:r>
      <w:r>
        <w:fldChar w:fldCharType="end"/>
      </w:r>
      <w:r>
        <w:t>.  </w:t>
      </w:r>
      <w:r w:rsidRPr="007B70C8" w:rsidR="00BF6E2C">
        <w:t>The expert submitted his report on 24 March 1994, concluding that the land</w:t>
      </w:r>
      <w:r w:rsidR="00E6191D">
        <w:t>’</w:t>
      </w:r>
      <w:r w:rsidRPr="007B70C8" w:rsidR="00BF6E2C">
        <w:t xml:space="preserve">s market value on the date of </w:t>
      </w:r>
      <w:r w:rsidR="00D3111A">
        <w:t>the expropriation had been ITL </w:t>
      </w:r>
      <w:r w:rsidR="00B767E4">
        <w:t xml:space="preserve">165,755 per </w:t>
      </w:r>
      <w:r w:rsidR="00D076AF">
        <w:t>square metre</w:t>
      </w:r>
      <w:r w:rsidRPr="007B70C8" w:rsidR="00BF6E2C">
        <w:t xml:space="preserve">. In accordance with the </w:t>
      </w:r>
      <w:r w:rsidR="00B20891">
        <w:t xml:space="preserve">new </w:t>
      </w:r>
      <w:r w:rsidRPr="007B70C8" w:rsidR="00BF6E2C">
        <w:t xml:space="preserve">criteria </w:t>
      </w:r>
      <w:r w:rsidR="00B20891">
        <w:t>laid down in</w:t>
      </w:r>
      <w:r w:rsidRPr="007B70C8" w:rsidR="00BF6E2C">
        <w:t xml:space="preserve"> section 5 </w:t>
      </w:r>
      <w:r w:rsidRPr="007B70C8" w:rsidR="00BF6E2C">
        <w:rPr>
          <w:i/>
          <w:iCs/>
        </w:rPr>
        <w:t>bis</w:t>
      </w:r>
      <w:r w:rsidRPr="007B70C8" w:rsidR="00BF6E2C">
        <w:t xml:space="preserve"> of Law no. 359/1992, the compensation due was ITL</w:t>
      </w:r>
      <w:r w:rsidR="00D076AF">
        <w:t> </w:t>
      </w:r>
      <w:r w:rsidRPr="007B70C8" w:rsidR="00BF6E2C">
        <w:t xml:space="preserve">82,890 per </w:t>
      </w:r>
      <w:r w:rsidR="00D076AF">
        <w:t>square metre</w:t>
      </w:r>
      <w:r w:rsidRPr="007B70C8" w:rsidR="00BF6E2C">
        <w:t>.</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33</w:t>
      </w:r>
      <w:r>
        <w:fldChar w:fldCharType="end"/>
      </w:r>
      <w:r>
        <w:t>.  </w:t>
      </w:r>
      <w:r w:rsidRPr="007B70C8" w:rsidR="00BF6E2C">
        <w:t xml:space="preserve">At </w:t>
      </w:r>
      <w:r w:rsidR="00066B44">
        <w:t>a</w:t>
      </w:r>
      <w:r w:rsidRPr="007B70C8" w:rsidR="00BF6E2C">
        <w:t xml:space="preserve"> hearing on 11 April 1994</w:t>
      </w:r>
      <w:r w:rsidR="00AD16B3">
        <w:t>,</w:t>
      </w:r>
      <w:r w:rsidRPr="007B70C8" w:rsidR="00BF6E2C">
        <w:t xml:space="preserve"> the parties asked for time to submit comments on the expert</w:t>
      </w:r>
      <w:r w:rsidR="00E6191D">
        <w:t>’</w:t>
      </w:r>
      <w:r w:rsidRPr="007B70C8" w:rsidR="00BF6E2C">
        <w:t xml:space="preserve">s report. Counsel for the applicants produced a separate expert opinion and observed that the expert appointed by the court had omitted to calculate the compensation for the 1,500 </w:t>
      </w:r>
      <w:r w:rsidR="000456BB">
        <w:t>sq. m</w:t>
      </w:r>
      <w:r w:rsidRPr="007B70C8" w:rsidR="00BF6E2C">
        <w:t xml:space="preserve"> of land that </w:t>
      </w:r>
      <w:r w:rsidR="00AD16B3">
        <w:t>was</w:t>
      </w:r>
      <w:r w:rsidRPr="007B70C8" w:rsidR="00BF6E2C">
        <w:t xml:space="preserve"> not covered by the expropriation order but had become unusable as a result of the building work.</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34</w:t>
      </w:r>
      <w:r>
        <w:fldChar w:fldCharType="end"/>
      </w:r>
      <w:r>
        <w:t>.  </w:t>
      </w:r>
      <w:r w:rsidRPr="007B70C8" w:rsidR="00BF6E2C">
        <w:t xml:space="preserve">A hearing </w:t>
      </w:r>
      <w:r w:rsidRPr="007B70C8" w:rsidR="00B20891">
        <w:t xml:space="preserve">was held on </w:t>
      </w:r>
      <w:smartTag w:uri="urn:schemas-microsoft-com:office:smarttags" w:element="date">
        <w:smartTagPr>
          <w:attr w:name="Month" w:val="6"/>
          <w:attr w:name="Day" w:val="6"/>
          <w:attr w:name="Year" w:val="1994"/>
        </w:smartTagPr>
        <w:r w:rsidR="00B20891" w:rsidRPr="007B70C8">
          <w:t>6</w:t>
        </w:r>
        <w:r w:rsidR="00B20891">
          <w:t xml:space="preserve"> </w:t>
        </w:r>
        <w:r w:rsidR="00B20891" w:rsidRPr="007B70C8">
          <w:t>June 1994</w:t>
        </w:r>
      </w:smartTag>
      <w:r w:rsidR="00B20891">
        <w:t xml:space="preserve"> </w:t>
      </w:r>
      <w:r w:rsidRPr="007B70C8" w:rsidR="00BF6E2C">
        <w:t xml:space="preserve">at which observations were submitted in reply. The </w:t>
      </w:r>
      <w:r w:rsidR="00B20891">
        <w:t>next</w:t>
      </w:r>
      <w:r w:rsidRPr="007B70C8" w:rsidR="00BF6E2C">
        <w:t xml:space="preserve"> hearing, scheduled for </w:t>
      </w:r>
      <w:smartTag w:uri="urn:schemas-microsoft-com:office:smarttags" w:element="date">
        <w:smartTagPr>
          <w:attr w:name="Month" w:val="7"/>
          <w:attr w:name="Day" w:val="4"/>
          <w:attr w:name="Year" w:val="1994"/>
        </w:smartTagPr>
        <w:r w:rsidR="00BF6E2C" w:rsidRPr="007B70C8">
          <w:t>4 July 1994</w:t>
        </w:r>
      </w:smartTag>
      <w:r w:rsidRPr="007B70C8" w:rsidR="00BF6E2C">
        <w:t xml:space="preserve">, was </w:t>
      </w:r>
      <w:r w:rsidR="00E879DF">
        <w:t>adjourned</w:t>
      </w:r>
      <w:r w:rsidRPr="007B70C8" w:rsidR="00BF6E2C">
        <w:t xml:space="preserve"> by the court of its own motion until </w:t>
      </w:r>
      <w:smartTag w:uri="urn:schemas-microsoft-com:office:smarttags" w:element="date">
        <w:smartTagPr>
          <w:attr w:name="Month" w:val="10"/>
          <w:attr w:name="Day" w:val="3"/>
          <w:attr w:name="Year" w:val="1994"/>
        </w:smartTagPr>
        <w:r w:rsidR="00BF6E2C" w:rsidRPr="007B70C8">
          <w:t>3 October 1994</w:t>
        </w:r>
      </w:smartTag>
      <w:r w:rsidRPr="007B70C8" w:rsidR="00BF6E2C">
        <w:t xml:space="preserve"> and then until </w:t>
      </w:r>
      <w:smartTag w:uri="urn:schemas-microsoft-com:office:smarttags" w:element="date">
        <w:smartTagPr>
          <w:attr w:name="Month" w:val="11"/>
          <w:attr w:name="Day" w:val="10"/>
          <w:attr w:name="Year" w:val="1994"/>
        </w:smartTagPr>
        <w:r w:rsidR="00BF6E2C" w:rsidRPr="007B70C8">
          <w:t>10 November 1994</w:t>
        </w:r>
      </w:smartTag>
      <w:r w:rsidRPr="007B70C8" w:rsidR="00BF6E2C">
        <w:t>.</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35</w:t>
      </w:r>
      <w:r>
        <w:fldChar w:fldCharType="end"/>
      </w:r>
      <w:r>
        <w:t>.  </w:t>
      </w:r>
      <w:r w:rsidR="00AD16B3">
        <w:t>By</w:t>
      </w:r>
      <w:r w:rsidRPr="007B70C8" w:rsidR="00BF6E2C">
        <w:t xml:space="preserve"> an order of 29 December 1994</w:t>
      </w:r>
      <w:r w:rsidR="00AD16B3">
        <w:t>,</w:t>
      </w:r>
      <w:r w:rsidRPr="007B70C8" w:rsidR="00BF6E2C">
        <w:t xml:space="preserve"> the court </w:t>
      </w:r>
      <w:r w:rsidR="00ED3DF1">
        <w:t>ordered</w:t>
      </w:r>
      <w:r w:rsidRPr="007B70C8" w:rsidR="00BF6E2C">
        <w:t xml:space="preserve"> a further expert assessment and ad</w:t>
      </w:r>
      <w:r w:rsidR="00B20891">
        <w:t>journed the proceedings until 6</w:t>
      </w:r>
      <w:r w:rsidR="00E879DF">
        <w:t xml:space="preserve"> </w:t>
      </w:r>
      <w:r w:rsidRPr="007B70C8" w:rsidR="00BF6E2C">
        <w:t xml:space="preserve">March 1995. However, </w:t>
      </w:r>
      <w:r w:rsidRPr="007B70C8" w:rsidR="00B20891">
        <w:t xml:space="preserve">the hearing </w:t>
      </w:r>
      <w:r w:rsidR="00B20891">
        <w:t>was</w:t>
      </w:r>
      <w:r w:rsidRPr="007B70C8" w:rsidR="00BF6E2C">
        <w:t xml:space="preserve"> subsequently </w:t>
      </w:r>
      <w:r w:rsidR="00E879DF">
        <w:t>adjourned</w:t>
      </w:r>
      <w:r w:rsidRPr="007B70C8" w:rsidR="00BF6E2C">
        <w:t xml:space="preserve"> on several occasions as the investigating judge was unavailable. At the applicants</w:t>
      </w:r>
      <w:r w:rsidR="00E6191D">
        <w:t>’</w:t>
      </w:r>
      <w:r w:rsidRPr="007B70C8" w:rsidR="00BF6E2C">
        <w:t xml:space="preserve"> request, the investigating judge was replaced on </w:t>
      </w:r>
      <w:smartTag w:uri="urn:schemas-microsoft-com:office:smarttags" w:element="date">
        <w:smartTagPr>
          <w:attr w:name="Month" w:val="2"/>
          <w:attr w:name="Day" w:val="29"/>
          <w:attr w:name="Year" w:val="1996"/>
        </w:smartTagPr>
        <w:r w:rsidR="00BF6E2C" w:rsidRPr="007B70C8">
          <w:t>29 February 1996</w:t>
        </w:r>
      </w:smartTag>
      <w:r w:rsidRPr="007B70C8" w:rsidR="00BF6E2C">
        <w:t xml:space="preserve"> and the parties made their submissions at a hearing on </w:t>
      </w:r>
      <w:smartTag w:uri="urn:schemas-microsoft-com:office:smarttags" w:element="date">
        <w:smartTagPr>
          <w:attr w:name="Month" w:val="3"/>
          <w:attr w:name="Day" w:val="20"/>
          <w:attr w:name="Year" w:val="1996"/>
        </w:smartTagPr>
        <w:r w:rsidR="00BF6E2C" w:rsidRPr="007B70C8">
          <w:t>20</w:t>
        </w:r>
        <w:r w:rsidR="00E879DF">
          <w:t xml:space="preserve"> </w:t>
        </w:r>
        <w:r w:rsidR="00BF6E2C" w:rsidRPr="007B70C8">
          <w:t>March 1996</w:t>
        </w:r>
      </w:smartTag>
      <w:r w:rsidRPr="007B70C8" w:rsidR="00BF6E2C">
        <w:t>.</w:t>
      </w:r>
    </w:p>
    <w:p w:rsidR="00967E1F" w:rsidP="00D619DD" w:rsidRDefault="007E7F66">
      <w:pPr>
        <w:pStyle w:val="JuParaChar1Char"/>
      </w:pPr>
      <w:r>
        <w:fldChar w:fldCharType="begin"/>
      </w:r>
      <w:r>
        <w:instrText xml:space="preserve"> SEQ level0 \*arabic </w:instrText>
      </w:r>
      <w:r>
        <w:fldChar w:fldCharType="separate"/>
      </w:r>
      <w:r w:rsidR="008B3B68">
        <w:rPr>
          <w:noProof/>
        </w:rPr>
        <w:t>36</w:t>
      </w:r>
      <w:r>
        <w:fldChar w:fldCharType="end"/>
      </w:r>
      <w:r>
        <w:t>.  </w:t>
      </w:r>
      <w:r w:rsidRPr="007B70C8" w:rsidR="00BF6E2C">
        <w:t>In a judgment of 17 July 1996</w:t>
      </w:r>
      <w:r w:rsidR="00AD16B3">
        <w:t>,</w:t>
      </w:r>
      <w:r w:rsidRPr="007B70C8" w:rsidR="00BF6E2C">
        <w:t xml:space="preserve"> the Reggio di Calabria Court of Appeal held that the applicants were entitled to compensation calculated according to section 5 </w:t>
      </w:r>
      <w:r w:rsidRPr="007B70C8" w:rsidR="00BF6E2C">
        <w:rPr>
          <w:i/>
          <w:iCs/>
        </w:rPr>
        <w:t>bis</w:t>
      </w:r>
      <w:r w:rsidRPr="007B70C8" w:rsidR="00BF6E2C">
        <w:t xml:space="preserve"> of Law no. 359/1992, both for the land that had been formally expropriated and for the land that had become unusable as a result of the building work. It </w:t>
      </w:r>
      <w:r w:rsidR="00F155D9">
        <w:t>also held</w:t>
      </w:r>
      <w:r w:rsidRPr="007B70C8" w:rsidR="00BF6E2C">
        <w:t xml:space="preserve"> that the compensation thus </w:t>
      </w:r>
      <w:r w:rsidR="00B20891">
        <w:t>determined</w:t>
      </w:r>
      <w:r w:rsidRPr="007B70C8" w:rsidR="00BF6E2C">
        <w:t xml:space="preserve"> should not be subject to the </w:t>
      </w:r>
      <w:r w:rsidR="00F155D9">
        <w:t xml:space="preserve">further </w:t>
      </w:r>
      <w:r w:rsidRPr="007B70C8" w:rsidR="00BF6E2C">
        <w:t xml:space="preserve">40% </w:t>
      </w:r>
      <w:r w:rsidR="00E879DF">
        <w:t xml:space="preserve">statutory </w:t>
      </w:r>
      <w:r w:rsidR="00B20891">
        <w:t>d</w:t>
      </w:r>
      <w:r w:rsidRPr="007B70C8" w:rsidR="00BF6E2C">
        <w:t xml:space="preserve">eduction </w:t>
      </w:r>
      <w:r w:rsidR="00E879DF">
        <w:t xml:space="preserve">applicable </w:t>
      </w:r>
      <w:r w:rsidRPr="007B70C8" w:rsidR="00BF6E2C">
        <w:t>where the owner of the expropriated land had not signed an agreement for its transfer (</w:t>
      </w:r>
      <w:r w:rsidRPr="007B70C8" w:rsidR="00BF6E2C">
        <w:rPr>
          <w:i/>
          <w:iCs/>
        </w:rPr>
        <w:t>cessione volontaria</w:t>
      </w:r>
      <w:r w:rsidRPr="007B70C8" w:rsidR="00BF6E2C">
        <w:t xml:space="preserve">), seeing that in the </w:t>
      </w:r>
      <w:r w:rsidR="00B20891">
        <w:t>applicants</w:t>
      </w:r>
      <w:r w:rsidR="00E6191D">
        <w:t>’</w:t>
      </w:r>
      <w:r w:rsidRPr="007B70C8" w:rsidR="00BF6E2C">
        <w:t xml:space="preserve"> case the land had alre</w:t>
      </w:r>
      <w:r w:rsidR="00F155D9">
        <w:t>ady been expropriated when the L</w:t>
      </w:r>
      <w:r w:rsidRPr="007B70C8" w:rsidR="00BF6E2C">
        <w:t>aw had come into force.</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37</w:t>
      </w:r>
      <w:r>
        <w:fldChar w:fldCharType="end"/>
      </w:r>
      <w:r>
        <w:t>.  </w:t>
      </w:r>
      <w:r w:rsidRPr="007B70C8" w:rsidR="00BF6E2C">
        <w:t>In conclusion, the Court of Appeal ordered the District Council and the cooperative to pay the applicants:</w:t>
      </w:r>
    </w:p>
    <w:p w:rsidRPr="007B70C8" w:rsidR="00BF6E2C" w:rsidP="00D619DD" w:rsidRDefault="00BF6E2C">
      <w:pPr>
        <w:pStyle w:val="JuParaChar1Char"/>
      </w:pPr>
      <w:r w:rsidRPr="007B70C8">
        <w:t xml:space="preserve">(a)  ITL 148,041,540 </w:t>
      </w:r>
      <w:r w:rsidR="00D076AF">
        <w:t>(ITL 82,890 per</w:t>
      </w:r>
      <w:r w:rsidR="00B767E4">
        <w:t xml:space="preserve"> </w:t>
      </w:r>
      <w:r w:rsidR="00D076AF">
        <w:t>square metre</w:t>
      </w:r>
      <w:r w:rsidRPr="007B70C8" w:rsidR="00B20891">
        <w:t xml:space="preserve"> for 1,7</w:t>
      </w:r>
      <w:r w:rsidR="006D0ACB">
        <w:t>86 sq. m</w:t>
      </w:r>
      <w:r w:rsidRPr="007B70C8" w:rsidR="00B20891">
        <w:t xml:space="preserve"> of land)</w:t>
      </w:r>
      <w:r w:rsidR="00B20891">
        <w:t xml:space="preserve"> </w:t>
      </w:r>
      <w:r w:rsidRPr="007B70C8">
        <w:t>in compensation for the expropriation;</w:t>
      </w:r>
    </w:p>
    <w:p w:rsidRPr="007B70C8" w:rsidR="00BF6E2C" w:rsidP="00D619DD" w:rsidRDefault="00BF6E2C">
      <w:pPr>
        <w:pStyle w:val="JuParaChar1Char"/>
      </w:pPr>
      <w:r w:rsidRPr="007B70C8">
        <w:t xml:space="preserve">(b)  ITL 91,774,043 </w:t>
      </w:r>
      <w:r w:rsidRPr="007B70C8" w:rsidR="00B20891">
        <w:t xml:space="preserve">(ITL 75,012.50 per </w:t>
      </w:r>
      <w:r w:rsidR="00D076AF">
        <w:t>square metre</w:t>
      </w:r>
      <w:r w:rsidRPr="007B70C8" w:rsidR="00B20891">
        <w:t xml:space="preserve"> for 1</w:t>
      </w:r>
      <w:r w:rsidR="00853CC6">
        <w:t>,</w:t>
      </w:r>
      <w:r w:rsidR="006D0ACB">
        <w:t>223.45 sq. m</w:t>
      </w:r>
      <w:r w:rsidRPr="007B70C8" w:rsidR="00B20891">
        <w:t>)</w:t>
      </w:r>
      <w:r w:rsidR="00B20891">
        <w:t xml:space="preserve"> in compensation </w:t>
      </w:r>
      <w:r w:rsidRPr="007B70C8">
        <w:t xml:space="preserve">for the part of the land that had become unusable and was to be regarded as having been </w:t>
      </w:r>
      <w:r w:rsidRPr="007B70C8">
        <w:rPr>
          <w:i/>
          <w:iCs/>
        </w:rPr>
        <w:t>de facto</w:t>
      </w:r>
      <w:r w:rsidRPr="007B70C8">
        <w:t xml:space="preserve"> expropriated; and</w:t>
      </w:r>
    </w:p>
    <w:p w:rsidRPr="007B70C8" w:rsidR="00BF6E2C" w:rsidP="00D619DD" w:rsidRDefault="00BF6E2C">
      <w:pPr>
        <w:pStyle w:val="JuParaChar1Char"/>
      </w:pPr>
      <w:r w:rsidRPr="007B70C8">
        <w:t xml:space="preserve">(c)  compensation for the period during which the land had been occupied prior to </w:t>
      </w:r>
      <w:r w:rsidR="00B20891">
        <w:t xml:space="preserve">its </w:t>
      </w:r>
      <w:r w:rsidR="006D0ACB">
        <w:t>expropriation.</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38</w:t>
      </w:r>
      <w:r>
        <w:fldChar w:fldCharType="end"/>
      </w:r>
      <w:r>
        <w:t>.  </w:t>
      </w:r>
      <w:r w:rsidRPr="007B70C8" w:rsidR="00BF6E2C">
        <w:t xml:space="preserve">Those amounts were to be index-linked and </w:t>
      </w:r>
      <w:r w:rsidR="00D578AA">
        <w:t>subject to interest</w:t>
      </w:r>
      <w:r w:rsidRPr="007B70C8" w:rsidR="00BF6E2C">
        <w:t xml:space="preserve"> until the date of settlement.</w:t>
      </w:r>
    </w:p>
    <w:p w:rsidR="00967E1F" w:rsidP="00D619DD" w:rsidRDefault="007E7F66">
      <w:pPr>
        <w:pStyle w:val="JuParaChar1Char"/>
      </w:pPr>
      <w:r>
        <w:fldChar w:fldCharType="begin"/>
      </w:r>
      <w:r>
        <w:instrText xml:space="preserve"> SEQ level0 \*arabic </w:instrText>
      </w:r>
      <w:r>
        <w:fldChar w:fldCharType="separate"/>
      </w:r>
      <w:r w:rsidR="008B3B68">
        <w:rPr>
          <w:noProof/>
        </w:rPr>
        <w:t>39</w:t>
      </w:r>
      <w:r>
        <w:fldChar w:fldCharType="end"/>
      </w:r>
      <w:r>
        <w:t>.  </w:t>
      </w:r>
      <w:r w:rsidRPr="007B70C8" w:rsidR="00BF6E2C">
        <w:t xml:space="preserve">On </w:t>
      </w:r>
      <w:smartTag w:uri="urn:schemas-microsoft-com:office:smarttags" w:element="date">
        <w:smartTagPr>
          <w:attr w:name="Month" w:val="12"/>
          <w:attr w:name="Day" w:val="20"/>
          <w:attr w:name="Year" w:val="1996"/>
        </w:smartTagPr>
        <w:r w:rsidR="00BF6E2C" w:rsidRPr="007B70C8">
          <w:t>20 December 1996</w:t>
        </w:r>
      </w:smartTag>
      <w:r w:rsidRPr="007B70C8" w:rsidR="00BF6E2C">
        <w:t xml:space="preserve"> the cooperative appealed on points of law, arguing that</w:t>
      </w:r>
      <w:r w:rsidR="00853CC6">
        <w:t xml:space="preserve"> it </w:t>
      </w:r>
      <w:r w:rsidR="008B3B33">
        <w:t>could not be considered a party to the proceedings</w:t>
      </w:r>
      <w:r w:rsidR="00853CC6">
        <w:t xml:space="preserve">. On 20 and </w:t>
      </w:r>
      <w:smartTag w:uri="urn:schemas-microsoft-com:office:smarttags" w:element="date">
        <w:smartTagPr>
          <w:attr w:name="Month" w:val="1"/>
          <w:attr w:name="Day" w:val="31"/>
          <w:attr w:name="Year" w:val="1997"/>
        </w:smartTagPr>
        <w:r w:rsidR="00853CC6">
          <w:t>31 </w:t>
        </w:r>
        <w:r w:rsidR="00BF6E2C" w:rsidRPr="007B70C8">
          <w:t>January 1997</w:t>
        </w:r>
      </w:smartTag>
      <w:r w:rsidRPr="007B70C8" w:rsidR="00BF6E2C">
        <w:t xml:space="preserve"> </w:t>
      </w:r>
      <w:r w:rsidR="00B20891">
        <w:t xml:space="preserve">respectively </w:t>
      </w:r>
      <w:r w:rsidRPr="007B70C8" w:rsidR="00BF6E2C">
        <w:t xml:space="preserve">the applicants and the District Council </w:t>
      </w:r>
      <w:r w:rsidR="00B20891">
        <w:t xml:space="preserve">likewise </w:t>
      </w:r>
      <w:r w:rsidRPr="007B70C8" w:rsidR="00BF6E2C">
        <w:t>appealed.</w:t>
      </w:r>
    </w:p>
    <w:p w:rsidRPr="007B70C8" w:rsidR="00BF6E2C" w:rsidP="00D619DD" w:rsidRDefault="00BF6E2C">
      <w:pPr>
        <w:pStyle w:val="JuParaChar1Char"/>
      </w:pPr>
      <w:r w:rsidRPr="007B70C8">
        <w:t xml:space="preserve">On </w:t>
      </w:r>
      <w:smartTag w:uri="urn:schemas-microsoft-com:office:smarttags" w:element="date">
        <w:smartTagPr>
          <w:attr w:name="Month" w:val="6"/>
          <w:attr w:name="Day" w:val="30"/>
          <w:attr w:name="Year" w:val="1997"/>
        </w:smartTagPr>
        <w:r w:rsidRPr="007B70C8">
          <w:t>30 June 1997</w:t>
        </w:r>
      </w:smartTag>
      <w:r w:rsidRPr="007B70C8">
        <w:t xml:space="preserve"> the cooperative applied for a stay of execution of the Court of Appeal</w:t>
      </w:r>
      <w:r w:rsidR="00E6191D">
        <w:t>’</w:t>
      </w:r>
      <w:r w:rsidRPr="007B70C8">
        <w:t xml:space="preserve">s judgment. That application was </w:t>
      </w:r>
      <w:r w:rsidR="00066B44">
        <w:t>dismissed</w:t>
      </w:r>
      <w:r w:rsidR="004A4DFB">
        <w:t xml:space="preserve"> on 8</w:t>
      </w:r>
      <w:r w:rsidR="001861AD">
        <w:t xml:space="preserve"> </w:t>
      </w:r>
      <w:r w:rsidR="004A4DFB">
        <w:t>August</w:t>
      </w:r>
      <w:r w:rsidR="001861AD">
        <w:t xml:space="preserve"> </w:t>
      </w:r>
      <w:r w:rsidRPr="007B70C8">
        <w:t>1997.</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40</w:t>
      </w:r>
      <w:r>
        <w:fldChar w:fldCharType="end"/>
      </w:r>
      <w:r>
        <w:t>.  </w:t>
      </w:r>
      <w:r w:rsidRPr="007B70C8" w:rsidR="00BF6E2C">
        <w:t>In a judgment of 3 August 1998, d</w:t>
      </w:r>
      <w:r w:rsidR="00B20891">
        <w:t>eposited with the registry on 7 </w:t>
      </w:r>
      <w:r w:rsidRPr="007B70C8" w:rsidR="00BF6E2C">
        <w:t>December 1998, the Court of Cassation allowed the cooperative</w:t>
      </w:r>
      <w:r w:rsidR="00E6191D">
        <w:t>’</w:t>
      </w:r>
      <w:r w:rsidRPr="007B70C8" w:rsidR="00BF6E2C">
        <w:t>s appeal</w:t>
      </w:r>
      <w:r w:rsidR="00B20891">
        <w:t xml:space="preserve">, </w:t>
      </w:r>
      <w:r w:rsidRPr="007B70C8" w:rsidR="00BF6E2C">
        <w:t>acknowledg</w:t>
      </w:r>
      <w:r w:rsidR="00B20891">
        <w:t>ing</w:t>
      </w:r>
      <w:r w:rsidRPr="007B70C8" w:rsidR="00BF6E2C">
        <w:t xml:space="preserve"> that it </w:t>
      </w:r>
      <w:r w:rsidR="00066B44">
        <w:t>was not a party to</w:t>
      </w:r>
      <w:r w:rsidR="00853CC6">
        <w:t xml:space="preserve"> the proceedings as</w:t>
      </w:r>
      <w:r w:rsidRPr="007B70C8" w:rsidR="00BF6E2C">
        <w:t xml:space="preserve"> it had not formally been a party to the expropriation, although it had benefited from it. It upheld the remainder of the </w:t>
      </w:r>
      <w:smartTag w:uri="urn:schemas-microsoft-com:office:smarttags" w:element="place">
        <w:smartTag w:uri="urn:schemas-microsoft-com:office:smarttags" w:element="City">
          <w:r w:rsidR="00BF6E2C" w:rsidRPr="007B70C8">
            <w:t>Reggio di Calabria</w:t>
          </w:r>
        </w:smartTag>
      </w:smartTag>
      <w:r w:rsidRPr="007B70C8" w:rsidR="00BF6E2C">
        <w:t xml:space="preserve"> Court of Appeal</w:t>
      </w:r>
      <w:r w:rsidR="00E6191D">
        <w:t>’</w:t>
      </w:r>
      <w:r w:rsidRPr="007B70C8" w:rsidR="00BF6E2C">
        <w:t>s judgment.</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41</w:t>
      </w:r>
      <w:r>
        <w:fldChar w:fldCharType="end"/>
      </w:r>
      <w:r>
        <w:t>.  </w:t>
      </w:r>
      <w:r w:rsidRPr="007B70C8" w:rsidR="00BF6E2C">
        <w:t xml:space="preserve">In </w:t>
      </w:r>
      <w:r w:rsidR="00DA3700">
        <w:t xml:space="preserve">the meantime, on </w:t>
      </w:r>
      <w:smartTag w:uri="urn:schemas-microsoft-com:office:smarttags" w:element="date">
        <w:smartTagPr>
          <w:attr w:name="Month" w:val="6"/>
          <w:attr w:name="Day" w:val="18"/>
          <w:attr w:name="Year" w:val="1997"/>
        </w:smartTagPr>
        <w:r w:rsidR="00DA3700">
          <w:t>18 June 1997</w:t>
        </w:r>
      </w:smartTag>
      <w:r w:rsidR="00DA3700">
        <w:t xml:space="preserve">, the amount awarded by the Court of Appeal had been deposited at the National Bank. </w:t>
      </w:r>
      <w:r w:rsidRPr="00DA3700" w:rsidR="00DA3700">
        <w:t xml:space="preserve">On 30 September 1997 tax was deducted from </w:t>
      </w:r>
      <w:r w:rsidR="003514BC">
        <w:t>it</w:t>
      </w:r>
      <w:r w:rsidRPr="00DA3700" w:rsidR="00DA3700">
        <w:t xml:space="preserve"> at a rate of 20% in accordance with Law no.</w:t>
      </w:r>
      <w:r w:rsidR="00AD16B3">
        <w:t> </w:t>
      </w:r>
      <w:r w:rsidRPr="00DA3700" w:rsidR="00DA3700">
        <w:t>413/1991</w:t>
      </w:r>
      <w:r w:rsidRPr="007B70C8" w:rsidR="00BF6E2C">
        <w:t>.</w:t>
      </w:r>
    </w:p>
    <w:p w:rsidRPr="00DA15E2" w:rsidR="00BF6E2C" w:rsidP="00124007" w:rsidRDefault="007E7F66">
      <w:pPr>
        <w:pStyle w:val="JuHA0"/>
        <w:outlineLvl w:val="0"/>
        <w:rPr>
          <w:lang w:val="en-GB"/>
        </w:rPr>
      </w:pPr>
      <w:r w:rsidRPr="00DA15E2">
        <w:rPr>
          <w:lang w:val="en-GB"/>
        </w:rPr>
        <w:t>C</w:t>
      </w:r>
      <w:r w:rsidRPr="00DA15E2" w:rsidR="00BF6E2C">
        <w:rPr>
          <w:lang w:val="en-GB"/>
        </w:rPr>
        <w:t>.  </w:t>
      </w:r>
      <w:r w:rsidRPr="00DA15E2" w:rsidR="00DA1F6D">
        <w:rPr>
          <w:lang w:val="en-GB"/>
        </w:rPr>
        <w:t>The</w:t>
      </w:r>
      <w:r w:rsidRPr="00DA15E2" w:rsidR="00BF6E2C">
        <w:rPr>
          <w:lang w:val="en-GB"/>
        </w:rPr>
        <w:t xml:space="preserve"> </w:t>
      </w:r>
      <w:r w:rsidRPr="00DA15E2" w:rsidR="003514BC">
        <w:rPr>
          <w:lang w:val="en-GB"/>
        </w:rPr>
        <w:t>“</w:t>
      </w:r>
      <w:r w:rsidRPr="00DA15E2" w:rsidR="00BF6E2C">
        <w:rPr>
          <w:lang w:val="en-GB"/>
        </w:rPr>
        <w:t>Pinto</w:t>
      </w:r>
      <w:r w:rsidRPr="00DA15E2" w:rsidR="003514BC">
        <w:rPr>
          <w:lang w:val="en-GB"/>
        </w:rPr>
        <w:t>”</w:t>
      </w:r>
      <w:r w:rsidRPr="00DA15E2" w:rsidR="00DA1F6D">
        <w:rPr>
          <w:lang w:val="en-GB"/>
        </w:rPr>
        <w:t xml:space="preserve"> </w:t>
      </w:r>
      <w:r w:rsidRPr="00DA15E2" w:rsidR="003514BC">
        <w:rPr>
          <w:lang w:val="en-GB"/>
        </w:rPr>
        <w:t>proceedings</w:t>
      </w:r>
    </w:p>
    <w:p w:rsidRPr="007B70C8" w:rsidR="00BF6E2C" w:rsidP="00D619DD" w:rsidRDefault="007E7F66">
      <w:pPr>
        <w:pStyle w:val="JuParaChar1Char"/>
      </w:pPr>
      <w:r>
        <w:fldChar w:fldCharType="begin"/>
      </w:r>
      <w:r>
        <w:instrText xml:space="preserve"> SEQ level0 \*arabic </w:instrText>
      </w:r>
      <w:r>
        <w:fldChar w:fldCharType="separate"/>
      </w:r>
      <w:r w:rsidR="008B3B68">
        <w:rPr>
          <w:noProof/>
        </w:rPr>
        <w:t>42</w:t>
      </w:r>
      <w:r>
        <w:fldChar w:fldCharType="end"/>
      </w:r>
      <w:r>
        <w:t>.  </w:t>
      </w:r>
      <w:r w:rsidRPr="007B70C8" w:rsidR="00BF6E2C">
        <w:t xml:space="preserve">On </w:t>
      </w:r>
      <w:smartTag w:uri="urn:schemas-microsoft-com:office:smarttags" w:element="date">
        <w:smartTagPr>
          <w:attr w:name="Month" w:val="4"/>
          <w:attr w:name="Day" w:val="18"/>
          <w:attr w:name="Year" w:val="2002"/>
        </w:smartTagPr>
        <w:r w:rsidR="00BF6E2C" w:rsidRPr="007B70C8">
          <w:t>18 April 200</w:t>
        </w:r>
        <w:r w:rsidR="000B01A7">
          <w:t>2</w:t>
        </w:r>
      </w:smartTag>
      <w:r w:rsidRPr="007B70C8" w:rsidR="00BF6E2C">
        <w:t xml:space="preserve"> the applicants applied to the </w:t>
      </w:r>
      <w:smartTag w:uri="urn:schemas-microsoft-com:office:smarttags" w:element="place">
        <w:smartTag w:uri="urn:schemas-microsoft-com:office:smarttags" w:element="City">
          <w:r w:rsidR="00BF6E2C" w:rsidRPr="007B70C8">
            <w:t>Reggio di Calabria</w:t>
          </w:r>
        </w:smartTag>
      </w:smartTag>
      <w:r w:rsidRPr="007B70C8" w:rsidR="00BF6E2C">
        <w:t xml:space="preserve"> Court of Appeal </w:t>
      </w:r>
      <w:r w:rsidR="00DA1F6D">
        <w:t xml:space="preserve">under </w:t>
      </w:r>
      <w:r w:rsidR="00BA1C8A">
        <w:t>Law no. 89 of 24</w:t>
      </w:r>
      <w:r w:rsidR="001861AD">
        <w:t xml:space="preserve"> </w:t>
      </w:r>
      <w:r w:rsidR="00BA1C8A">
        <w:t>March</w:t>
      </w:r>
      <w:r w:rsidR="001861AD">
        <w:t xml:space="preserve"> </w:t>
      </w:r>
      <w:r w:rsidR="00BA1C8A">
        <w:t xml:space="preserve">2001, known as </w:t>
      </w:r>
      <w:r w:rsidRPr="007B70C8" w:rsidR="00DA1F6D">
        <w:t xml:space="preserve">the </w:t>
      </w:r>
      <w:r w:rsidR="00BA1C8A">
        <w:t>“</w:t>
      </w:r>
      <w:r w:rsidRPr="007B70C8" w:rsidR="00DA1F6D">
        <w:t>Pinto Act</w:t>
      </w:r>
      <w:r w:rsidR="00BA1C8A">
        <w:t>”,</w:t>
      </w:r>
      <w:r w:rsidRPr="007B70C8" w:rsidR="00DA1F6D">
        <w:t xml:space="preserve"> </w:t>
      </w:r>
      <w:r w:rsidR="000B01A7">
        <w:t>complaining about</w:t>
      </w:r>
      <w:r w:rsidRPr="007B70C8" w:rsidR="00BF6E2C">
        <w:t xml:space="preserve"> the </w:t>
      </w:r>
      <w:r w:rsidR="00BA1C8A">
        <w:t xml:space="preserve">excessive </w:t>
      </w:r>
      <w:r w:rsidRPr="007B70C8" w:rsidR="00BF6E2C">
        <w:t xml:space="preserve">length of the </w:t>
      </w:r>
      <w:r w:rsidR="00BA1C8A">
        <w:t>above-de</w:t>
      </w:r>
      <w:smartTag w:uri="urn:schemas-microsoft-com:office:smarttags" w:element="PersonName">
        <w:r w:rsidR="00BA1C8A">
          <w:t>scribe</w:t>
        </w:r>
      </w:smartTag>
      <w:r w:rsidR="00BA1C8A">
        <w:t xml:space="preserve">d </w:t>
      </w:r>
      <w:r w:rsidRPr="007B70C8" w:rsidR="007B70C8">
        <w:t>proceedings</w:t>
      </w:r>
      <w:r w:rsidRPr="007B70C8" w:rsidR="00BF6E2C">
        <w:t>.</w:t>
      </w:r>
    </w:p>
    <w:p w:rsidRPr="007B70C8" w:rsidR="00BF6E2C" w:rsidP="00D619DD" w:rsidRDefault="00BF6E2C">
      <w:pPr>
        <w:pStyle w:val="JuParaChar1Char"/>
      </w:pPr>
      <w:r w:rsidRPr="007B70C8">
        <w:t>The</w:t>
      </w:r>
      <w:r w:rsidR="003514BC">
        <w:t xml:space="preserve"> applicants asked the court to find that there had been a violation of Article 6 § 1 of the Convention and order the </w:t>
      </w:r>
      <w:r w:rsidR="00C86FC6">
        <w:t>Italian State</w:t>
      </w:r>
      <w:r w:rsidR="003514BC">
        <w:t xml:space="preserve"> and the Ministry of Justice to compensate them for non-pecuniar</w:t>
      </w:r>
      <w:r w:rsidRPr="007B70C8">
        <w:t>y</w:t>
      </w:r>
      <w:r w:rsidR="003514BC">
        <w:t xml:space="preserve"> damage,</w:t>
      </w:r>
      <w:r w:rsidRPr="007B70C8">
        <w:t xml:space="preserve"> </w:t>
      </w:r>
      <w:r w:rsidR="003514BC">
        <w:t>which they assessed at 50,000</w:t>
      </w:r>
      <w:r w:rsidRPr="00D578AA" w:rsidR="00D578AA">
        <w:t xml:space="preserve"> </w:t>
      </w:r>
      <w:r w:rsidR="00D578AA">
        <w:t>euros (EUR)</w:t>
      </w:r>
      <w:r w:rsidR="003514BC">
        <w:t>, and the pecuniar</w:t>
      </w:r>
      <w:r w:rsidRPr="007B70C8">
        <w:t>y damage</w:t>
      </w:r>
      <w:r w:rsidR="003514BC">
        <w:t xml:space="preserve"> that they considered they had sustained as a result of the application of Law no. 359/1992 to their case</w:t>
      </w:r>
      <w:r w:rsidRPr="007B70C8">
        <w:t>.</w:t>
      </w:r>
    </w:p>
    <w:p w:rsidR="003E3541" w:rsidP="00D619DD" w:rsidRDefault="007E7F66">
      <w:pPr>
        <w:pStyle w:val="JuParaChar1Char"/>
      </w:pPr>
      <w:r>
        <w:fldChar w:fldCharType="begin"/>
      </w:r>
      <w:r>
        <w:instrText xml:space="preserve"> SEQ level0 \*arabic </w:instrText>
      </w:r>
      <w:r>
        <w:fldChar w:fldCharType="separate"/>
      </w:r>
      <w:r w:rsidR="008B3B68">
        <w:rPr>
          <w:noProof/>
        </w:rPr>
        <w:t>43</w:t>
      </w:r>
      <w:r>
        <w:fldChar w:fldCharType="end"/>
      </w:r>
      <w:r>
        <w:t>.  </w:t>
      </w:r>
      <w:r w:rsidRPr="007B70C8" w:rsidR="00BF6E2C">
        <w:t>In a decision of 1 July 200</w:t>
      </w:r>
      <w:r w:rsidR="00007045">
        <w:t>2</w:t>
      </w:r>
      <w:r w:rsidR="00BA1C8A">
        <w:t>, deposited with the registry on 27</w:t>
      </w:r>
      <w:r w:rsidR="001861AD">
        <w:t xml:space="preserve"> </w:t>
      </w:r>
      <w:r w:rsidR="00BA1C8A">
        <w:t>July</w:t>
      </w:r>
      <w:r w:rsidR="001861AD">
        <w:t xml:space="preserve"> </w:t>
      </w:r>
      <w:r w:rsidR="00BA1C8A">
        <w:t>2002,</w:t>
      </w:r>
      <w:r w:rsidRPr="007B70C8" w:rsidR="00BF6E2C">
        <w:t xml:space="preserve"> the </w:t>
      </w:r>
      <w:smartTag w:uri="urn:schemas-microsoft-com:office:smarttags" w:element="place">
        <w:smartTag w:uri="urn:schemas-microsoft-com:office:smarttags" w:element="City">
          <w:r w:rsidR="00BF6E2C" w:rsidRPr="007B70C8">
            <w:t>Reggio di Calabria</w:t>
          </w:r>
        </w:smartTag>
      </w:smartTag>
      <w:r w:rsidRPr="007B70C8" w:rsidR="00BF6E2C">
        <w:t xml:space="preserve"> Court of Appeal </w:t>
      </w:r>
      <w:r w:rsidR="003E3541">
        <w:t>found that the length of the proceedings had been excessive. It held as follows:</w:t>
      </w:r>
    </w:p>
    <w:p w:rsidR="00BF6E2C" w:rsidP="003E3541" w:rsidRDefault="004B4040">
      <w:pPr>
        <w:pStyle w:val="JuQuotChar1"/>
      </w:pPr>
      <w:r>
        <w:t>“</w:t>
      </w:r>
      <w:r w:rsidR="00B9248D">
        <w:t>...</w:t>
      </w:r>
      <w:r w:rsidR="00B7193F">
        <w:t xml:space="preserve"> </w:t>
      </w:r>
      <w:r>
        <w:t>T</w:t>
      </w:r>
      <w:r w:rsidR="003E3541">
        <w:t xml:space="preserve">he proceedings began on </w:t>
      </w:r>
      <w:smartTag w:uri="urn:schemas-microsoft-com:office:smarttags" w:element="date">
        <w:smartTagPr>
          <w:attr w:name="Month" w:val="5"/>
          <w:attr w:name="Day" w:val="24"/>
          <w:attr w:name="Year" w:val="1990"/>
        </w:smartTagPr>
        <w:r w:rsidR="003E3541">
          <w:t>24 May 1990</w:t>
        </w:r>
      </w:smartTag>
      <w:r w:rsidR="003E3541">
        <w:t xml:space="preserve"> and ended on </w:t>
      </w:r>
      <w:smartTag w:uri="urn:schemas-microsoft-com:office:smarttags" w:element="date">
        <w:smartTagPr>
          <w:attr w:name="Month" w:val="12"/>
          <w:attr w:name="Day" w:val="7"/>
          <w:attr w:name="Year" w:val="1998"/>
        </w:smartTagPr>
        <w:r w:rsidR="003E3541">
          <w:t>7 December 1998</w:t>
        </w:r>
      </w:smartTag>
      <w:r w:rsidR="003E3541">
        <w:t>. They were conducted at two levels of jurisdiction and were not particularly complex.</w:t>
      </w:r>
    </w:p>
    <w:p w:rsidR="003E3541" w:rsidP="003E3541" w:rsidRDefault="003E3541">
      <w:pPr>
        <w:pStyle w:val="JuQuotChar1"/>
      </w:pPr>
      <w:r>
        <w:t>It can be seen from the case-law of the European Court of Human Rights that</w:t>
      </w:r>
      <w:r w:rsidRPr="00D728CE" w:rsidR="00D728CE">
        <w:t xml:space="preserve"> </w:t>
      </w:r>
      <w:r w:rsidR="00D728CE">
        <w:t>three years is deemed to be</w:t>
      </w:r>
      <w:r>
        <w:t xml:space="preserve"> an acceptable </w:t>
      </w:r>
      <w:r w:rsidR="00B7193F">
        <w:t>period</w:t>
      </w:r>
      <w:r>
        <w:t xml:space="preserve"> </w:t>
      </w:r>
      <w:r w:rsidR="00066B44">
        <w:t>for</w:t>
      </w:r>
      <w:r>
        <w:t xml:space="preserve"> proceedings at first instance and two years at second instance.</w:t>
      </w:r>
    </w:p>
    <w:p w:rsidR="00D728CE" w:rsidP="003E3541" w:rsidRDefault="00D728CE">
      <w:pPr>
        <w:pStyle w:val="JuQuotChar1"/>
      </w:pPr>
      <w:r>
        <w:t>The applicants declared their intention to continue the proceedings as the heirs of Mr A. Scordino, who died in 1992, when a reasonable time had not yet been exceeded.</w:t>
      </w:r>
    </w:p>
    <w:p w:rsidR="00AA31DC" w:rsidP="003E3541" w:rsidRDefault="00AA31DC">
      <w:pPr>
        <w:pStyle w:val="JuQuotChar1"/>
      </w:pPr>
      <w:r>
        <w:t>Accordingly, the delays must be calculated only in respect of the subsequent period</w:t>
      </w:r>
      <w:r w:rsidR="00066B44">
        <w:t>, and</w:t>
      </w:r>
      <w:r>
        <w:t xml:space="preserve"> amount to three years and six months.</w:t>
      </w:r>
    </w:p>
    <w:p w:rsidR="005814F3" w:rsidP="003E3541" w:rsidRDefault="00066B44">
      <w:pPr>
        <w:pStyle w:val="JuQuotChar1"/>
      </w:pPr>
      <w:r>
        <w:t>It is not t</w:t>
      </w:r>
      <w:r w:rsidR="005814F3">
        <w:t xml:space="preserve">he </w:t>
      </w:r>
      <w:r>
        <w:t>applicants who are responsible</w:t>
      </w:r>
      <w:r w:rsidR="005814F3">
        <w:t xml:space="preserve"> for the delay</w:t>
      </w:r>
      <w:r>
        <w:t>,</w:t>
      </w:r>
      <w:r w:rsidR="005814F3">
        <w:t xml:space="preserve"> but </w:t>
      </w:r>
      <w:r>
        <w:t xml:space="preserve">rather the malfunctioning of </w:t>
      </w:r>
      <w:r w:rsidR="005814F3">
        <w:t>the judicial system.</w:t>
      </w:r>
    </w:p>
    <w:p w:rsidRPr="00BB0C71" w:rsidR="00BB0C71" w:rsidP="00BB0C71" w:rsidRDefault="00BB0C71">
      <w:pPr>
        <w:pStyle w:val="JuQuotChar1"/>
      </w:pPr>
      <w:r w:rsidRPr="00BB0C71">
        <w:t xml:space="preserve">The pecuniary damage alleged by the applicants </w:t>
      </w:r>
      <w:r>
        <w:t>has not been caused by the length of the proceedings and cannot therefore be compensated.</w:t>
      </w:r>
    </w:p>
    <w:p w:rsidRPr="00303974" w:rsidR="00BB0C71" w:rsidP="00BB0C71" w:rsidRDefault="00303974">
      <w:pPr>
        <w:pStyle w:val="JuQuotChar1"/>
      </w:pPr>
      <w:r w:rsidRPr="00303974">
        <w:t>Having regard to the foregoing</w:t>
      </w:r>
      <w:r w:rsidRPr="00303974" w:rsidR="00BB0C71">
        <w:t xml:space="preserve">, </w:t>
      </w:r>
      <w:r w:rsidRPr="00303974">
        <w:t>the applicants are entitled only to compensation for the non-pecuniary damage they have sustained on account of the length of the proceedings</w:t>
      </w:r>
      <w:r w:rsidRPr="00303974" w:rsidR="00BB0C71">
        <w:t xml:space="preserve">, </w:t>
      </w:r>
      <w:r>
        <w:t>that is, the</w:t>
      </w:r>
      <w:r w:rsidRPr="00303974" w:rsidR="00BB0C71">
        <w:t xml:space="preserve"> </w:t>
      </w:r>
      <w:r>
        <w:t>prolonged uncertainty regarding the outcome of the pr</w:t>
      </w:r>
      <w:r w:rsidR="007557A8">
        <w:t>o</w:t>
      </w:r>
      <w:r>
        <w:t xml:space="preserve">ceedings and the distress </w:t>
      </w:r>
      <w:r w:rsidR="00EE2A72">
        <w:t xml:space="preserve">generally </w:t>
      </w:r>
      <w:r w:rsidR="002A4615">
        <w:t>experienced</w:t>
      </w:r>
      <w:r w:rsidR="00EE2A72">
        <w:t xml:space="preserve"> as a result of that uncertainty.</w:t>
      </w:r>
    </w:p>
    <w:p w:rsidRPr="00EE2A72" w:rsidR="00BB0C71" w:rsidP="00BB0C71" w:rsidRDefault="00EE2A72">
      <w:pPr>
        <w:pStyle w:val="JuQuotChar1"/>
      </w:pPr>
      <w:r w:rsidRPr="00EE2A72">
        <w:t>In view of what was at stake</w:t>
      </w:r>
      <w:r w:rsidRPr="00EE2A72" w:rsidR="00BB0C71">
        <w:t xml:space="preserve">, </w:t>
      </w:r>
      <w:r w:rsidRPr="00EE2A72">
        <w:t>the am</w:t>
      </w:r>
      <w:r>
        <w:t xml:space="preserve">ount to be awarded for non-pecuniary damage is </w:t>
      </w:r>
      <w:r w:rsidRPr="00EE2A72">
        <w:t>EUR</w:t>
      </w:r>
      <w:r>
        <w:t xml:space="preserve"> 2,</w:t>
      </w:r>
      <w:r w:rsidRPr="00EE2A72" w:rsidR="00BB0C71">
        <w:t>450</w:t>
      </w:r>
      <w:r>
        <w:t>.”</w:t>
      </w:r>
    </w:p>
    <w:p w:rsidR="00BF6E2C" w:rsidP="00D619DD" w:rsidRDefault="007E7F66">
      <w:pPr>
        <w:pStyle w:val="JuParaChar1Char"/>
        <w:rPr>
          <w:szCs w:val="24"/>
        </w:rPr>
      </w:pPr>
      <w:r>
        <w:fldChar w:fldCharType="begin"/>
      </w:r>
      <w:r>
        <w:instrText xml:space="preserve"> SEQ level0 \*arabic </w:instrText>
      </w:r>
      <w:r>
        <w:fldChar w:fldCharType="separate"/>
      </w:r>
      <w:r w:rsidR="008B3B68">
        <w:rPr>
          <w:noProof/>
        </w:rPr>
        <w:t>44</w:t>
      </w:r>
      <w:r>
        <w:fldChar w:fldCharType="end"/>
      </w:r>
      <w:r>
        <w:t>.  </w:t>
      </w:r>
      <w:r w:rsidRPr="00B011F5" w:rsidR="00B011F5">
        <w:t xml:space="preserve">The Court of Appeal ordered the Ministry of Justice to </w:t>
      </w:r>
      <w:r w:rsidR="00B011F5">
        <w:t>pay the applicant</w:t>
      </w:r>
      <w:r w:rsidRPr="00B011F5" w:rsidR="00B011F5">
        <w:rPr>
          <w:szCs w:val="24"/>
        </w:rPr>
        <w:t xml:space="preserve">s </w:t>
      </w:r>
      <w:r w:rsidR="00B011F5">
        <w:rPr>
          <w:szCs w:val="24"/>
        </w:rPr>
        <w:t xml:space="preserve">a total sum of </w:t>
      </w:r>
      <w:r w:rsidR="00A3566A">
        <w:rPr>
          <w:szCs w:val="24"/>
        </w:rPr>
        <w:t xml:space="preserve">EUR </w:t>
      </w:r>
      <w:r w:rsidR="00B011F5">
        <w:rPr>
          <w:szCs w:val="24"/>
        </w:rPr>
        <w:t>2,</w:t>
      </w:r>
      <w:r w:rsidRPr="00B011F5" w:rsidR="00B011F5">
        <w:rPr>
          <w:szCs w:val="24"/>
        </w:rPr>
        <w:t>450</w:t>
      </w:r>
      <w:r w:rsidR="001861AD">
        <w:rPr>
          <w:szCs w:val="24"/>
        </w:rPr>
        <w:t xml:space="preserve"> </w:t>
      </w:r>
      <w:r w:rsidR="00B011F5">
        <w:rPr>
          <w:szCs w:val="24"/>
        </w:rPr>
        <w:t>for non-pecuniary damage alone</w:t>
      </w:r>
      <w:r w:rsidRPr="00B011F5" w:rsidR="00B011F5">
        <w:rPr>
          <w:szCs w:val="24"/>
        </w:rPr>
        <w:t xml:space="preserve">. </w:t>
      </w:r>
      <w:r w:rsidR="00AD16B3">
        <w:rPr>
          <w:szCs w:val="24"/>
        </w:rPr>
        <w:t>With regard to the g</w:t>
      </w:r>
      <w:r w:rsidR="00B011F5">
        <w:rPr>
          <w:szCs w:val="24"/>
        </w:rPr>
        <w:t xml:space="preserve">overnment, the Court of Appeal considered that they </w:t>
      </w:r>
      <w:r w:rsidR="002A4615">
        <w:rPr>
          <w:szCs w:val="24"/>
        </w:rPr>
        <w:t>could</w:t>
      </w:r>
      <w:r w:rsidR="00B011F5">
        <w:rPr>
          <w:szCs w:val="24"/>
        </w:rPr>
        <w:t xml:space="preserve"> not</w:t>
      </w:r>
      <w:r w:rsidR="002A4615">
        <w:rPr>
          <w:szCs w:val="24"/>
        </w:rPr>
        <w:t xml:space="preserve"> be considered as a party to the proceedings.</w:t>
      </w:r>
    </w:p>
    <w:p w:rsidR="00B011F5" w:rsidP="00D619DD" w:rsidRDefault="00B011F5">
      <w:pPr>
        <w:pStyle w:val="JuParaChar1Char"/>
        <w:rPr>
          <w:szCs w:val="24"/>
        </w:rPr>
      </w:pPr>
      <w:r>
        <w:rPr>
          <w:szCs w:val="24"/>
        </w:rPr>
        <w:fldChar w:fldCharType="begin"/>
      </w:r>
      <w:r>
        <w:rPr>
          <w:szCs w:val="24"/>
        </w:rPr>
        <w:instrText xml:space="preserve"> SEQ level0 \*arabic </w:instrText>
      </w:r>
      <w:r>
        <w:rPr>
          <w:szCs w:val="24"/>
        </w:rPr>
        <w:fldChar w:fldCharType="separate"/>
      </w:r>
      <w:r w:rsidR="008B3B68">
        <w:rPr>
          <w:noProof/>
          <w:szCs w:val="24"/>
        </w:rPr>
        <w:t>45</w:t>
      </w:r>
      <w:r>
        <w:rPr>
          <w:szCs w:val="24"/>
        </w:rPr>
        <w:fldChar w:fldCharType="end"/>
      </w:r>
      <w:r>
        <w:rPr>
          <w:szCs w:val="24"/>
        </w:rPr>
        <w:t>.  </w:t>
      </w:r>
      <w:r w:rsidRPr="00486B77">
        <w:rPr>
          <w:szCs w:val="24"/>
        </w:rPr>
        <w:t xml:space="preserve">Regarding the apportionment of the legal costs, the Court of Appeal </w:t>
      </w:r>
      <w:r w:rsidR="00486B77">
        <w:rPr>
          <w:szCs w:val="24"/>
        </w:rPr>
        <w:t xml:space="preserve">ordered the </w:t>
      </w:r>
      <w:r w:rsidRPr="00486B77" w:rsidR="00486B77">
        <w:rPr>
          <w:szCs w:val="24"/>
        </w:rPr>
        <w:t>Ministry of Jus</w:t>
      </w:r>
      <w:r w:rsidRPr="00486B77">
        <w:rPr>
          <w:szCs w:val="24"/>
        </w:rPr>
        <w:t xml:space="preserve">tice </w:t>
      </w:r>
      <w:r w:rsidR="00486B77">
        <w:rPr>
          <w:szCs w:val="24"/>
        </w:rPr>
        <w:t>to pay</w:t>
      </w:r>
      <w:r w:rsidRPr="00486B77" w:rsidR="00486B77">
        <w:rPr>
          <w:szCs w:val="24"/>
        </w:rPr>
        <w:t xml:space="preserve"> EUR 1,</w:t>
      </w:r>
      <w:r w:rsidR="00486B77">
        <w:rPr>
          <w:szCs w:val="24"/>
        </w:rPr>
        <w:t>500</w:t>
      </w:r>
      <w:r w:rsidR="001861AD">
        <w:rPr>
          <w:szCs w:val="24"/>
        </w:rPr>
        <w:t xml:space="preserve"> </w:t>
      </w:r>
      <w:r w:rsidR="00486B77">
        <w:rPr>
          <w:szCs w:val="24"/>
        </w:rPr>
        <w:t>and the applicants to pay the remaining</w:t>
      </w:r>
      <w:r w:rsidRPr="00486B77" w:rsidR="00486B77">
        <w:rPr>
          <w:szCs w:val="24"/>
        </w:rPr>
        <w:t xml:space="preserve"> EUR</w:t>
      </w:r>
      <w:r w:rsidR="001861AD">
        <w:rPr>
          <w:szCs w:val="24"/>
        </w:rPr>
        <w:t xml:space="preserve"> </w:t>
      </w:r>
      <w:r w:rsidR="00486B77">
        <w:rPr>
          <w:szCs w:val="24"/>
        </w:rPr>
        <w:t>1,500.</w:t>
      </w:r>
    </w:p>
    <w:p w:rsidRPr="00486B77" w:rsidR="004E77DA" w:rsidP="00D619DD" w:rsidRDefault="004E77DA">
      <w:pPr>
        <w:pStyle w:val="JuParaChar1Char"/>
      </w:pPr>
      <w:r>
        <w:rPr>
          <w:szCs w:val="24"/>
        </w:rPr>
        <w:fldChar w:fldCharType="begin"/>
      </w:r>
      <w:r>
        <w:rPr>
          <w:szCs w:val="24"/>
        </w:rPr>
        <w:instrText xml:space="preserve"> SEQ level0 \*arabic </w:instrText>
      </w:r>
      <w:r>
        <w:rPr>
          <w:szCs w:val="24"/>
        </w:rPr>
        <w:fldChar w:fldCharType="separate"/>
      </w:r>
      <w:r w:rsidR="008B3B68">
        <w:rPr>
          <w:noProof/>
          <w:szCs w:val="24"/>
        </w:rPr>
        <w:t>46</w:t>
      </w:r>
      <w:r>
        <w:rPr>
          <w:szCs w:val="24"/>
        </w:rPr>
        <w:fldChar w:fldCharType="end"/>
      </w:r>
      <w:r>
        <w:rPr>
          <w:szCs w:val="24"/>
        </w:rPr>
        <w:t>.  The applicants did not appeal to the Court of Cassation. The Court of Appeal</w:t>
      </w:r>
      <w:r w:rsidR="00E6191D">
        <w:rPr>
          <w:szCs w:val="24"/>
        </w:rPr>
        <w:t>’</w:t>
      </w:r>
      <w:r>
        <w:rPr>
          <w:szCs w:val="24"/>
        </w:rPr>
        <w:t>s decision became final on</w:t>
      </w:r>
      <w:r w:rsidRPr="003A50AC">
        <w:rPr>
          <w:szCs w:val="24"/>
        </w:rPr>
        <w:t xml:space="preserve"> </w:t>
      </w:r>
      <w:smartTag w:uri="urn:schemas-microsoft-com:office:smarttags" w:element="date">
        <w:smartTagPr>
          <w:attr w:name="Month" w:val="10"/>
          <w:attr w:name="Day" w:val="26"/>
          <w:attr w:name="Year" w:val="2003"/>
        </w:smartTagPr>
        <w:r w:rsidRPr="003A50AC">
          <w:rPr>
            <w:szCs w:val="24"/>
          </w:rPr>
          <w:t xml:space="preserve">26 </w:t>
        </w:r>
        <w:r>
          <w:rPr>
            <w:szCs w:val="24"/>
          </w:rPr>
          <w:t>October</w:t>
        </w:r>
        <w:r w:rsidRPr="003A50AC">
          <w:rPr>
            <w:szCs w:val="24"/>
          </w:rPr>
          <w:t xml:space="preserve"> 2003</w:t>
        </w:r>
      </w:smartTag>
      <w:r>
        <w:rPr>
          <w:szCs w:val="24"/>
        </w:rPr>
        <w:t>.</w:t>
      </w:r>
    </w:p>
    <w:p w:rsidR="00BF6E2C" w:rsidP="00124007" w:rsidRDefault="00802A2F">
      <w:pPr>
        <w:pStyle w:val="JuHIRoman"/>
        <w:outlineLvl w:val="0"/>
      </w:pPr>
      <w:r>
        <w:t>II</w:t>
      </w:r>
      <w:r w:rsidR="00B011F5">
        <w:t>.</w:t>
      </w:r>
      <w:r w:rsidR="005A2A87">
        <w:t> </w:t>
      </w:r>
      <w:r w:rsidR="00B011F5">
        <w:t> </w:t>
      </w:r>
      <w:r w:rsidR="00BA1C8A">
        <w:t>RELEVANT DOMESTIC LAW AND PRACTICE</w:t>
      </w:r>
    </w:p>
    <w:p w:rsidRPr="00DA15E2" w:rsidR="00802A2F" w:rsidP="00124007" w:rsidRDefault="00802A2F">
      <w:pPr>
        <w:pStyle w:val="JuHA0"/>
        <w:outlineLvl w:val="0"/>
        <w:rPr>
          <w:lang w:val="en-GB"/>
        </w:rPr>
      </w:pPr>
      <w:r w:rsidRPr="00DA15E2">
        <w:rPr>
          <w:lang w:val="en-GB"/>
        </w:rPr>
        <w:t>A.  </w:t>
      </w:r>
      <w:r w:rsidR="00D578AA">
        <w:rPr>
          <w:lang w:val="en-GB"/>
        </w:rPr>
        <w:t>T</w:t>
      </w:r>
      <w:r w:rsidRPr="00DA15E2">
        <w:rPr>
          <w:lang w:val="en-GB"/>
        </w:rPr>
        <w:t>he expropriation</w:t>
      </w:r>
    </w:p>
    <w:p w:rsidRPr="007B70C8" w:rsidR="00802A2F" w:rsidP="00802A2F" w:rsidRDefault="00802A2F">
      <w:pPr>
        <w:pStyle w:val="JuParaChar1Char"/>
      </w:pPr>
      <w:r>
        <w:fldChar w:fldCharType="begin"/>
      </w:r>
      <w:r>
        <w:instrText xml:space="preserve"> SEQ level0 \*arabic </w:instrText>
      </w:r>
      <w:r>
        <w:fldChar w:fldCharType="separate"/>
      </w:r>
      <w:r w:rsidR="008B3B68">
        <w:rPr>
          <w:noProof/>
        </w:rPr>
        <w:t>47</w:t>
      </w:r>
      <w:r>
        <w:fldChar w:fldCharType="end"/>
      </w:r>
      <w:r>
        <w:t>.  </w:t>
      </w:r>
      <w:r w:rsidRPr="007B70C8">
        <w:t>Section 39 of Law no. 2359/1865 provided that</w:t>
      </w:r>
      <w:r w:rsidR="00AD16B3">
        <w:t>,</w:t>
      </w:r>
      <w:r w:rsidRPr="007B70C8">
        <w:t xml:space="preserve"> where land was expropriated, the compensation to be paid should correspond to its market value at the time of the expropriation.</w:t>
      </w:r>
    </w:p>
    <w:p w:rsidRPr="007B70C8" w:rsidR="00802A2F" w:rsidP="00802A2F" w:rsidRDefault="00802A2F">
      <w:pPr>
        <w:pStyle w:val="JuParaChar1Char"/>
      </w:pPr>
      <w:r>
        <w:fldChar w:fldCharType="begin"/>
      </w:r>
      <w:r>
        <w:instrText xml:space="preserve"> SEQ level0 \*arabic </w:instrText>
      </w:r>
      <w:r>
        <w:fldChar w:fldCharType="separate"/>
      </w:r>
      <w:r w:rsidR="008B3B68">
        <w:rPr>
          <w:noProof/>
        </w:rPr>
        <w:t>48</w:t>
      </w:r>
      <w:r>
        <w:fldChar w:fldCharType="end"/>
      </w:r>
      <w:r>
        <w:t>.  </w:t>
      </w:r>
      <w:r w:rsidRPr="007B70C8">
        <w:t xml:space="preserve">Article 42 of the Constitution, as interpreted by the Constitutional Court (see, </w:t>
      </w:r>
      <w:r w:rsidRPr="002A4615" w:rsidR="002A4615">
        <w:rPr>
          <w:i/>
        </w:rPr>
        <w:t>inter alia</w:t>
      </w:r>
      <w:r w:rsidRPr="007B70C8">
        <w:t xml:space="preserve">, judgment no. 138 of </w:t>
      </w:r>
      <w:smartTag w:uri="urn:schemas-microsoft-com:office:smarttags" w:element="date">
        <w:smartTagPr>
          <w:attr w:name="Month" w:val="12"/>
          <w:attr w:name="Day" w:val="6"/>
          <w:attr w:name="Year" w:val="1977"/>
        </w:smartTagPr>
        <w:r w:rsidRPr="007B70C8">
          <w:t>6 December 1977</w:t>
        </w:r>
      </w:smartTag>
      <w:r w:rsidRPr="007B70C8">
        <w:t xml:space="preserve">), guarantees the payment of compensation </w:t>
      </w:r>
      <w:r>
        <w:t>for expropriation, in an amount lower than t</w:t>
      </w:r>
      <w:r w:rsidRPr="007B70C8">
        <w:t>he market value of the land.</w:t>
      </w:r>
    </w:p>
    <w:p w:rsidR="00967E1F" w:rsidP="00802A2F" w:rsidRDefault="00802A2F">
      <w:pPr>
        <w:pStyle w:val="JuParaChar1Char"/>
      </w:pPr>
      <w:r>
        <w:fldChar w:fldCharType="begin"/>
      </w:r>
      <w:r>
        <w:instrText xml:space="preserve"> SEQ level0 \*arabic </w:instrText>
      </w:r>
      <w:r>
        <w:fldChar w:fldCharType="separate"/>
      </w:r>
      <w:r w:rsidR="008B3B68">
        <w:rPr>
          <w:noProof/>
        </w:rPr>
        <w:t>49</w:t>
      </w:r>
      <w:r>
        <w:fldChar w:fldCharType="end"/>
      </w:r>
      <w:r>
        <w:t>.  </w:t>
      </w:r>
      <w:r w:rsidRPr="007B70C8">
        <w:t>Law no. 865/1971</w:t>
      </w:r>
      <w:r w:rsidR="004F0A29">
        <w:t xml:space="preserve"> (</w:t>
      </w:r>
      <w:r w:rsidR="004F0A29">
        <w:rPr>
          <w:szCs w:val="24"/>
        </w:rPr>
        <w:t>supplemented by section</w:t>
      </w:r>
      <w:r w:rsidRPr="003A50AC" w:rsidR="004F0A29">
        <w:rPr>
          <w:szCs w:val="24"/>
        </w:rPr>
        <w:t xml:space="preserve"> 4 </w:t>
      </w:r>
      <w:r w:rsidR="004F0A29">
        <w:rPr>
          <w:szCs w:val="24"/>
        </w:rPr>
        <w:t>of Legislative Decree no. </w:t>
      </w:r>
      <w:r w:rsidR="002A4615">
        <w:rPr>
          <w:szCs w:val="24"/>
        </w:rPr>
        <w:t>115/</w:t>
      </w:r>
      <w:r w:rsidRPr="003A50AC" w:rsidR="004F0A29">
        <w:rPr>
          <w:szCs w:val="24"/>
        </w:rPr>
        <w:t xml:space="preserve">1974, </w:t>
      </w:r>
      <w:r w:rsidR="004F0A29">
        <w:rPr>
          <w:szCs w:val="24"/>
        </w:rPr>
        <w:t>which subsequently became Law no. 247/</w:t>
      </w:r>
      <w:r w:rsidRPr="003A50AC" w:rsidR="004F0A29">
        <w:rPr>
          <w:szCs w:val="24"/>
        </w:rPr>
        <w:t xml:space="preserve">1974, </w:t>
      </w:r>
      <w:r w:rsidR="002A4615">
        <w:rPr>
          <w:szCs w:val="24"/>
        </w:rPr>
        <w:t>and</w:t>
      </w:r>
      <w:r w:rsidR="00331DE9">
        <w:rPr>
          <w:szCs w:val="24"/>
        </w:rPr>
        <w:t xml:space="preserve"> by section</w:t>
      </w:r>
      <w:r w:rsidRPr="003A50AC" w:rsidR="004F0A29">
        <w:rPr>
          <w:szCs w:val="24"/>
        </w:rPr>
        <w:t xml:space="preserve"> 14 </w:t>
      </w:r>
      <w:r w:rsidR="00331DE9">
        <w:rPr>
          <w:szCs w:val="24"/>
        </w:rPr>
        <w:t>of Law no. 10/</w:t>
      </w:r>
      <w:r w:rsidRPr="003A50AC" w:rsidR="004F0A29">
        <w:rPr>
          <w:szCs w:val="24"/>
        </w:rPr>
        <w:t>1977)</w:t>
      </w:r>
      <w:r w:rsidRPr="007B70C8">
        <w:t xml:space="preserve"> </w:t>
      </w:r>
      <w:r>
        <w:t>laid down new</w:t>
      </w:r>
      <w:r w:rsidRPr="007B70C8">
        <w:t xml:space="preserve"> criteria: compensation </w:t>
      </w:r>
      <w:r>
        <w:t xml:space="preserve">for any land, </w:t>
      </w:r>
      <w:r w:rsidRPr="007B70C8">
        <w:t>whether it was</w:t>
      </w:r>
      <w:r>
        <w:t xml:space="preserve"> agricultural or building land, should be paid </w:t>
      </w:r>
      <w:r w:rsidRPr="007B70C8">
        <w:t>as though it were agricultural land.</w:t>
      </w:r>
    </w:p>
    <w:p w:rsidR="00802A2F" w:rsidP="00802A2F" w:rsidRDefault="00802A2F">
      <w:pPr>
        <w:pStyle w:val="JuParaChar1Char"/>
      </w:pPr>
      <w:r>
        <w:fldChar w:fldCharType="begin"/>
      </w:r>
      <w:r>
        <w:instrText xml:space="preserve"> SEQ level0 \*arabic </w:instrText>
      </w:r>
      <w:r>
        <w:fldChar w:fldCharType="separate"/>
      </w:r>
      <w:r w:rsidR="008B3B68">
        <w:rPr>
          <w:noProof/>
        </w:rPr>
        <w:t>50</w:t>
      </w:r>
      <w:r>
        <w:fldChar w:fldCharType="end"/>
      </w:r>
      <w:r>
        <w:t>.  </w:t>
      </w:r>
      <w:r w:rsidR="00BA1C8A">
        <w:t xml:space="preserve">In judgment no. 5 of 25 January </w:t>
      </w:r>
      <w:r w:rsidRPr="007B70C8">
        <w:t>1980</w:t>
      </w:r>
      <w:r w:rsidR="00D578AA">
        <w:t>,</w:t>
      </w:r>
      <w:r w:rsidRPr="007B70C8">
        <w:t xml:space="preserve"> the </w:t>
      </w:r>
      <w:smartTag w:uri="urn:schemas-microsoft-com:office:smarttags" w:element="Street">
        <w:smartTag w:uri="urn:schemas-microsoft-com:office:smarttags" w:element="address">
          <w:r w:rsidRPr="007B70C8">
            <w:t>Constitutional Court</w:t>
          </w:r>
        </w:smartTag>
      </w:smartTag>
      <w:r>
        <w:t xml:space="preserve"> declared Law</w:t>
      </w:r>
      <w:r w:rsidR="001861AD">
        <w:t xml:space="preserve"> </w:t>
      </w:r>
      <w:r>
        <w:t>no.</w:t>
      </w:r>
      <w:r w:rsidR="001861AD">
        <w:t xml:space="preserve"> </w:t>
      </w:r>
      <w:r w:rsidRPr="007B70C8">
        <w:t>865/1971 unconstitutional on the ground that it afforded the same treatment to two very different situations by providing for the same form of compensation for building and agricultural land.</w:t>
      </w:r>
    </w:p>
    <w:p w:rsidRPr="00331DE9" w:rsidR="00331DE9" w:rsidP="007331FE" w:rsidRDefault="00331DE9">
      <w:pPr>
        <w:pStyle w:val="JuParaChar1Char"/>
        <w:rPr>
          <w:szCs w:val="24"/>
        </w:rPr>
      </w:pPr>
      <w:r>
        <w:fldChar w:fldCharType="begin"/>
      </w:r>
      <w:r>
        <w:instrText xml:space="preserve"> SEQ level0 \*arabic </w:instrText>
      </w:r>
      <w:r>
        <w:fldChar w:fldCharType="separate"/>
      </w:r>
      <w:r w:rsidR="008B3B68">
        <w:rPr>
          <w:noProof/>
        </w:rPr>
        <w:t>51</w:t>
      </w:r>
      <w:r>
        <w:fldChar w:fldCharType="end"/>
      </w:r>
      <w:r>
        <w:t xml:space="preserve">.  The scope of a decision of the </w:t>
      </w:r>
      <w:smartTag w:uri="urn:schemas-microsoft-com:office:smarttags" w:element="Street">
        <w:smartTag w:uri="urn:schemas-microsoft-com:office:smarttags" w:element="address">
          <w:r>
            <w:t>Constitutional Court</w:t>
          </w:r>
        </w:smartTag>
      </w:smartTag>
      <w:r>
        <w:t xml:space="preserve"> declaring a law illegal is not limited to the case in question but is </w:t>
      </w:r>
      <w:r w:rsidRPr="00331DE9">
        <w:rPr>
          <w:i/>
        </w:rPr>
        <w:t>erga omnes</w:t>
      </w:r>
      <w:r>
        <w:t xml:space="preserve">. </w:t>
      </w:r>
      <w:r w:rsidRPr="00331DE9">
        <w:rPr>
          <w:szCs w:val="24"/>
        </w:rPr>
        <w:t xml:space="preserve">It is of retrospective effect in that the law declared </w:t>
      </w:r>
      <w:r w:rsidR="00BD3B26">
        <w:rPr>
          <w:szCs w:val="24"/>
        </w:rPr>
        <w:t xml:space="preserve">unconstitutional can no longer </w:t>
      </w:r>
      <w:r w:rsidRPr="00331DE9">
        <w:rPr>
          <w:szCs w:val="24"/>
        </w:rPr>
        <w:t>produce any effect</w:t>
      </w:r>
      <w:r w:rsidR="002A4615">
        <w:rPr>
          <w:szCs w:val="24"/>
        </w:rPr>
        <w:t>s</w:t>
      </w:r>
      <w:r w:rsidRPr="00331DE9">
        <w:rPr>
          <w:szCs w:val="24"/>
        </w:rPr>
        <w:t xml:space="preserve"> or be appli</w:t>
      </w:r>
      <w:r w:rsidR="002A4615">
        <w:rPr>
          <w:szCs w:val="24"/>
        </w:rPr>
        <w:t>ed</w:t>
      </w:r>
      <w:r w:rsidRPr="00331DE9">
        <w:rPr>
          <w:szCs w:val="24"/>
        </w:rPr>
        <w:t xml:space="preserve"> from the day after the publication of th</w:t>
      </w:r>
      <w:r w:rsidR="00E560B0">
        <w:rPr>
          <w:szCs w:val="24"/>
        </w:rPr>
        <w:t>e decision (A</w:t>
      </w:r>
      <w:r w:rsidRPr="00331DE9">
        <w:rPr>
          <w:szCs w:val="24"/>
        </w:rPr>
        <w:t xml:space="preserve">rticle 136 </w:t>
      </w:r>
      <w:r w:rsidR="00E560B0">
        <w:rPr>
          <w:szCs w:val="24"/>
        </w:rPr>
        <w:t>of the</w:t>
      </w:r>
      <w:r w:rsidRPr="00331DE9">
        <w:rPr>
          <w:szCs w:val="24"/>
        </w:rPr>
        <w:t xml:space="preserve"> Constitution</w:t>
      </w:r>
      <w:r w:rsidR="00E560B0">
        <w:rPr>
          <w:szCs w:val="24"/>
        </w:rPr>
        <w:t xml:space="preserve"> taken in conjunction with section 1 of Constitutional Act no. </w:t>
      </w:r>
      <w:r w:rsidR="008D6E5C">
        <w:rPr>
          <w:szCs w:val="24"/>
        </w:rPr>
        <w:t xml:space="preserve">1 </w:t>
      </w:r>
      <w:r w:rsidR="00E560B0">
        <w:rPr>
          <w:szCs w:val="24"/>
        </w:rPr>
        <w:t>of</w:t>
      </w:r>
      <w:r w:rsidRPr="00331DE9">
        <w:rPr>
          <w:szCs w:val="24"/>
        </w:rPr>
        <w:t xml:space="preserve"> 1948 </w:t>
      </w:r>
      <w:r w:rsidR="00E560B0">
        <w:rPr>
          <w:szCs w:val="24"/>
        </w:rPr>
        <w:t>and section</w:t>
      </w:r>
      <w:r w:rsidRPr="00331DE9">
        <w:rPr>
          <w:szCs w:val="24"/>
        </w:rPr>
        <w:t xml:space="preserve"> 30</w:t>
      </w:r>
      <w:r w:rsidR="002A4615">
        <w:rPr>
          <w:szCs w:val="24"/>
        </w:rPr>
        <w:t>(</w:t>
      </w:r>
      <w:r w:rsidRPr="00331DE9">
        <w:rPr>
          <w:szCs w:val="24"/>
        </w:rPr>
        <w:t>3</w:t>
      </w:r>
      <w:r w:rsidR="002A4615">
        <w:rPr>
          <w:szCs w:val="24"/>
        </w:rPr>
        <w:t>)</w:t>
      </w:r>
      <w:r w:rsidRPr="00331DE9">
        <w:rPr>
          <w:szCs w:val="24"/>
        </w:rPr>
        <w:t xml:space="preserve"> </w:t>
      </w:r>
      <w:r w:rsidR="00E560B0">
        <w:rPr>
          <w:szCs w:val="24"/>
        </w:rPr>
        <w:t>of Law no. 87/</w:t>
      </w:r>
      <w:r w:rsidRPr="00331DE9">
        <w:rPr>
          <w:szCs w:val="24"/>
        </w:rPr>
        <w:t>1953).</w:t>
      </w:r>
    </w:p>
    <w:p w:rsidRPr="001B7384" w:rsidR="00331DE9" w:rsidP="00331DE9" w:rsidRDefault="008D6E5C">
      <w:pPr>
        <w:pStyle w:val="JuParaChar1Char"/>
        <w:rPr>
          <w:szCs w:val="24"/>
        </w:rPr>
      </w:pPr>
      <w:r w:rsidRPr="008D6E5C">
        <w:rPr>
          <w:szCs w:val="24"/>
        </w:rPr>
        <w:t xml:space="preserve">The </w:t>
      </w:r>
      <w:smartTag w:uri="urn:schemas-microsoft-com:office:smarttags" w:element="Street">
        <w:smartTag w:uri="urn:schemas-microsoft-com:office:smarttags" w:element="address">
          <w:r w:rsidRPr="008D6E5C">
            <w:rPr>
              <w:szCs w:val="24"/>
            </w:rPr>
            <w:t>Constitutional Court</w:t>
          </w:r>
        </w:smartTag>
      </w:smartTag>
      <w:r>
        <w:rPr>
          <w:szCs w:val="24"/>
        </w:rPr>
        <w:t xml:space="preserve"> has often made explicit the</w:t>
      </w:r>
      <w:r w:rsidRPr="008D6E5C">
        <w:rPr>
          <w:szCs w:val="24"/>
        </w:rPr>
        <w:t xml:space="preserve"> retrospective effect of de</w:t>
      </w:r>
      <w:r w:rsidRPr="008D6E5C" w:rsidR="00331DE9">
        <w:rPr>
          <w:szCs w:val="24"/>
        </w:rPr>
        <w:t xml:space="preserve">clarations </w:t>
      </w:r>
      <w:r w:rsidRPr="008D6E5C">
        <w:rPr>
          <w:szCs w:val="24"/>
        </w:rPr>
        <w:t xml:space="preserve">of unconstitutionality </w:t>
      </w:r>
      <w:r w:rsidRPr="008D6E5C" w:rsidR="00331DE9">
        <w:rPr>
          <w:szCs w:val="24"/>
        </w:rPr>
        <w:t>(</w:t>
      </w:r>
      <w:r w:rsidRPr="008D6E5C">
        <w:rPr>
          <w:szCs w:val="24"/>
        </w:rPr>
        <w:t>see</w:t>
      </w:r>
      <w:r w:rsidRPr="008D6E5C" w:rsidR="00331DE9">
        <w:rPr>
          <w:szCs w:val="24"/>
        </w:rPr>
        <w:t xml:space="preserve">, </w:t>
      </w:r>
      <w:r w:rsidRPr="008D6E5C">
        <w:rPr>
          <w:i/>
          <w:szCs w:val="24"/>
        </w:rPr>
        <w:t>inter alia</w:t>
      </w:r>
      <w:r w:rsidRPr="008D6E5C" w:rsidR="00331DE9">
        <w:rPr>
          <w:szCs w:val="24"/>
        </w:rPr>
        <w:t xml:space="preserve">, </w:t>
      </w:r>
      <w:r w:rsidR="005A2A87">
        <w:rPr>
          <w:szCs w:val="24"/>
        </w:rPr>
        <w:t xml:space="preserve">judgment no. </w:t>
      </w:r>
      <w:r w:rsidRPr="008D6E5C" w:rsidR="00331DE9">
        <w:rPr>
          <w:szCs w:val="24"/>
        </w:rPr>
        <w:t xml:space="preserve">127 </w:t>
      </w:r>
      <w:r>
        <w:rPr>
          <w:szCs w:val="24"/>
        </w:rPr>
        <w:t>of</w:t>
      </w:r>
      <w:r w:rsidRPr="008D6E5C" w:rsidR="00331DE9">
        <w:rPr>
          <w:szCs w:val="24"/>
        </w:rPr>
        <w:t xml:space="preserve"> 15 </w:t>
      </w:r>
      <w:r>
        <w:rPr>
          <w:szCs w:val="24"/>
        </w:rPr>
        <w:t>December</w:t>
      </w:r>
      <w:r w:rsidRPr="008D6E5C" w:rsidR="00331DE9">
        <w:rPr>
          <w:szCs w:val="24"/>
        </w:rPr>
        <w:t xml:space="preserve"> 1966). </w:t>
      </w:r>
      <w:r w:rsidRPr="001B7384" w:rsidR="001B7384">
        <w:rPr>
          <w:szCs w:val="24"/>
        </w:rPr>
        <w:t>It has indicated in this connection that a dec</w:t>
      </w:r>
      <w:r w:rsidRPr="001B7384" w:rsidR="00331DE9">
        <w:rPr>
          <w:szCs w:val="24"/>
        </w:rPr>
        <w:t xml:space="preserve">laration </w:t>
      </w:r>
      <w:r w:rsidRPr="001B7384" w:rsidR="001B7384">
        <w:rPr>
          <w:szCs w:val="24"/>
        </w:rPr>
        <w:t>of unconstitutionality can be equated with</w:t>
      </w:r>
      <w:r w:rsidRPr="001B7384" w:rsidR="00331DE9">
        <w:rPr>
          <w:szCs w:val="24"/>
        </w:rPr>
        <w:t xml:space="preserve"> </w:t>
      </w:r>
      <w:r w:rsidRPr="001B7384" w:rsidR="001B7384">
        <w:rPr>
          <w:szCs w:val="24"/>
        </w:rPr>
        <w:t>a straightforward annulment</w:t>
      </w:r>
      <w:r w:rsidRPr="001B7384" w:rsidR="00331DE9">
        <w:rPr>
          <w:szCs w:val="24"/>
        </w:rPr>
        <w:t xml:space="preserve">, </w:t>
      </w:r>
      <w:r w:rsidRPr="001B7384" w:rsidR="001B7384">
        <w:rPr>
          <w:szCs w:val="24"/>
        </w:rPr>
        <w:t>since it</w:t>
      </w:r>
      <w:r w:rsidRPr="001B7384" w:rsidR="00331DE9">
        <w:rPr>
          <w:szCs w:val="24"/>
        </w:rPr>
        <w:t xml:space="preserve"> </w:t>
      </w:r>
      <w:r w:rsidRPr="001B7384" w:rsidR="001B7384">
        <w:rPr>
          <w:szCs w:val="24"/>
        </w:rPr>
        <w:t>makes the law in question unconstituti</w:t>
      </w:r>
      <w:r w:rsidR="001B7384">
        <w:rPr>
          <w:szCs w:val="24"/>
        </w:rPr>
        <w:t>onal from the time of its entry into force, annuls it and makes it</w:t>
      </w:r>
      <w:r w:rsidRPr="001B7384" w:rsidR="00331DE9">
        <w:rPr>
          <w:szCs w:val="24"/>
        </w:rPr>
        <w:t xml:space="preserve"> inapplicable</w:t>
      </w:r>
      <w:r w:rsidR="001B7384">
        <w:rPr>
          <w:szCs w:val="24"/>
        </w:rPr>
        <w:t xml:space="preserve"> to any</w:t>
      </w:r>
      <w:r w:rsidRPr="001B7384" w:rsidR="00331DE9">
        <w:rPr>
          <w:szCs w:val="24"/>
        </w:rPr>
        <w:t xml:space="preserve"> </w:t>
      </w:r>
      <w:r w:rsidR="001B7384">
        <w:rPr>
          <w:szCs w:val="24"/>
        </w:rPr>
        <w:t xml:space="preserve">non-final </w:t>
      </w:r>
      <w:r w:rsidRPr="001B7384" w:rsidR="00331DE9">
        <w:rPr>
          <w:szCs w:val="24"/>
        </w:rPr>
        <w:t>situation (</w:t>
      </w:r>
      <w:r w:rsidR="001B7384">
        <w:rPr>
          <w:szCs w:val="24"/>
        </w:rPr>
        <w:t xml:space="preserve">and to </w:t>
      </w:r>
      <w:r w:rsidR="003D64AD">
        <w:rPr>
          <w:szCs w:val="24"/>
        </w:rPr>
        <w:t xml:space="preserve">the </w:t>
      </w:r>
      <w:r w:rsidR="001B7384">
        <w:rPr>
          <w:szCs w:val="24"/>
        </w:rPr>
        <w:t>final</w:t>
      </w:r>
      <w:r w:rsidRPr="001B7384" w:rsidR="00331DE9">
        <w:rPr>
          <w:szCs w:val="24"/>
        </w:rPr>
        <w:t xml:space="preserve"> situations</w:t>
      </w:r>
      <w:r w:rsidRPr="00BD3B26" w:rsidR="00BD3B26">
        <w:rPr>
          <w:szCs w:val="24"/>
        </w:rPr>
        <w:t xml:space="preserve"> </w:t>
      </w:r>
      <w:r w:rsidR="00BD3B26">
        <w:rPr>
          <w:szCs w:val="24"/>
        </w:rPr>
        <w:t>defined by law</w:t>
      </w:r>
      <w:r w:rsidRPr="001B7384" w:rsidR="00331DE9">
        <w:rPr>
          <w:szCs w:val="24"/>
        </w:rPr>
        <w:t xml:space="preserve">). </w:t>
      </w:r>
      <w:r w:rsidRPr="001B7384" w:rsidR="001B7384">
        <w:rPr>
          <w:szCs w:val="24"/>
        </w:rPr>
        <w:t>Furthermore</w:t>
      </w:r>
      <w:r w:rsidRPr="001B7384" w:rsidR="00331DE9">
        <w:rPr>
          <w:szCs w:val="24"/>
        </w:rPr>
        <w:t xml:space="preserve">, </w:t>
      </w:r>
      <w:r w:rsidRPr="001B7384" w:rsidR="001B7384">
        <w:rPr>
          <w:szCs w:val="24"/>
        </w:rPr>
        <w:t>no one at all</w:t>
      </w:r>
      <w:r w:rsidRPr="001B7384" w:rsidR="00331DE9">
        <w:rPr>
          <w:szCs w:val="24"/>
        </w:rPr>
        <w:t xml:space="preserve">, </w:t>
      </w:r>
      <w:r w:rsidRPr="001B7384" w:rsidR="001B7384">
        <w:rPr>
          <w:szCs w:val="24"/>
        </w:rPr>
        <w:t>in particular the courts</w:t>
      </w:r>
      <w:r w:rsidRPr="001B7384" w:rsidR="00331DE9">
        <w:rPr>
          <w:szCs w:val="24"/>
        </w:rPr>
        <w:t xml:space="preserve">, </w:t>
      </w:r>
      <w:r w:rsidRPr="001B7384" w:rsidR="001B7384">
        <w:rPr>
          <w:szCs w:val="24"/>
        </w:rPr>
        <w:t xml:space="preserve">may </w:t>
      </w:r>
      <w:r w:rsidR="00BD3B26">
        <w:rPr>
          <w:szCs w:val="24"/>
        </w:rPr>
        <w:t>rely on</w:t>
      </w:r>
      <w:r w:rsidRPr="001B7384" w:rsidR="001B7384">
        <w:rPr>
          <w:szCs w:val="24"/>
        </w:rPr>
        <w:t xml:space="preserve"> provisions that have been declared unconstitutional to assess a given</w:t>
      </w:r>
      <w:r w:rsidRPr="001B7384" w:rsidR="00331DE9">
        <w:rPr>
          <w:szCs w:val="24"/>
        </w:rPr>
        <w:t xml:space="preserve"> situation, </w:t>
      </w:r>
      <w:r w:rsidRPr="001B7384" w:rsidR="001B7384">
        <w:rPr>
          <w:szCs w:val="24"/>
        </w:rPr>
        <w:t>even if th</w:t>
      </w:r>
      <w:r w:rsidR="00BD3B26">
        <w:rPr>
          <w:szCs w:val="24"/>
        </w:rPr>
        <w:t>at</w:t>
      </w:r>
      <w:r w:rsidRPr="001B7384" w:rsidR="001B7384">
        <w:rPr>
          <w:szCs w:val="24"/>
        </w:rPr>
        <w:t xml:space="preserve"> situation</w:t>
      </w:r>
      <w:r w:rsidR="001B7384">
        <w:rPr>
          <w:szCs w:val="24"/>
        </w:rPr>
        <w:t xml:space="preserve"> arose prior to the de</w:t>
      </w:r>
      <w:r w:rsidRPr="001B7384" w:rsidR="00331DE9">
        <w:rPr>
          <w:szCs w:val="24"/>
        </w:rPr>
        <w:t xml:space="preserve">claration </w:t>
      </w:r>
      <w:r w:rsidR="00BD3B26">
        <w:rPr>
          <w:szCs w:val="24"/>
        </w:rPr>
        <w:t xml:space="preserve">of </w:t>
      </w:r>
      <w:r w:rsidR="001B7384">
        <w:rPr>
          <w:szCs w:val="24"/>
        </w:rPr>
        <w:t>unconstitutional</w:t>
      </w:r>
      <w:r w:rsidR="00BD3B26">
        <w:rPr>
          <w:szCs w:val="24"/>
        </w:rPr>
        <w:t>ity</w:t>
      </w:r>
      <w:r w:rsidRPr="001B7384" w:rsidR="00331DE9">
        <w:rPr>
          <w:szCs w:val="24"/>
        </w:rPr>
        <w:t xml:space="preserve"> (</w:t>
      </w:r>
      <w:r w:rsidR="001B7384">
        <w:rPr>
          <w:szCs w:val="24"/>
        </w:rPr>
        <w:t>see</w:t>
      </w:r>
      <w:r w:rsidRPr="001B7384" w:rsidR="00331DE9">
        <w:rPr>
          <w:szCs w:val="24"/>
        </w:rPr>
        <w:t xml:space="preserve">, </w:t>
      </w:r>
      <w:r w:rsidR="001B7384">
        <w:rPr>
          <w:szCs w:val="24"/>
        </w:rPr>
        <w:t>on this</w:t>
      </w:r>
      <w:r w:rsidRPr="001B7384" w:rsidR="00331DE9">
        <w:rPr>
          <w:szCs w:val="24"/>
        </w:rPr>
        <w:t xml:space="preserve"> point, </w:t>
      </w:r>
      <w:r w:rsidR="001B7384">
        <w:rPr>
          <w:szCs w:val="24"/>
        </w:rPr>
        <w:t xml:space="preserve">judgment no. </w:t>
      </w:r>
      <w:r w:rsidRPr="001B7384" w:rsidR="00331DE9">
        <w:rPr>
          <w:szCs w:val="24"/>
        </w:rPr>
        <w:t xml:space="preserve">49 </w:t>
      </w:r>
      <w:r w:rsidR="001B7384">
        <w:rPr>
          <w:szCs w:val="24"/>
        </w:rPr>
        <w:t>of</w:t>
      </w:r>
      <w:r w:rsidR="004D664D">
        <w:rPr>
          <w:szCs w:val="24"/>
        </w:rPr>
        <w:t xml:space="preserve"> </w:t>
      </w:r>
      <w:smartTag w:uri="urn:schemas-microsoft-com:office:smarttags" w:element="date">
        <w:smartTagPr>
          <w:attr w:name="Month" w:val="4"/>
          <w:attr w:name="Day" w:val="2"/>
          <w:attr w:name="Year" w:val="1970"/>
        </w:smartTagPr>
        <w:r w:rsidR="004D664D">
          <w:rPr>
            <w:szCs w:val="24"/>
          </w:rPr>
          <w:t>2 </w:t>
        </w:r>
        <w:r w:rsidR="001B7384">
          <w:rPr>
            <w:szCs w:val="24"/>
          </w:rPr>
          <w:t>April</w:t>
        </w:r>
        <w:r w:rsidR="00331DE9" w:rsidRPr="001B7384">
          <w:rPr>
            <w:szCs w:val="24"/>
          </w:rPr>
          <w:t xml:space="preserve"> 1970</w:t>
        </w:r>
      </w:smartTag>
      <w:r w:rsidRPr="001B7384" w:rsidR="00331DE9">
        <w:rPr>
          <w:szCs w:val="24"/>
        </w:rPr>
        <w:t xml:space="preserve"> </w:t>
      </w:r>
      <w:r w:rsidR="001B7384">
        <w:rPr>
          <w:szCs w:val="24"/>
        </w:rPr>
        <w:t>and d</w:t>
      </w:r>
      <w:r w:rsidRPr="001B7384" w:rsidR="001B7384">
        <w:rPr>
          <w:szCs w:val="24"/>
        </w:rPr>
        <w:t>e</w:t>
      </w:r>
      <w:r w:rsidRPr="001B7384" w:rsidR="00331DE9">
        <w:rPr>
          <w:szCs w:val="24"/>
        </w:rPr>
        <w:t>cisions n</w:t>
      </w:r>
      <w:r w:rsidR="001B7384">
        <w:rPr>
          <w:szCs w:val="24"/>
        </w:rPr>
        <w:t xml:space="preserve">o. </w:t>
      </w:r>
      <w:r w:rsidRPr="001B7384" w:rsidR="00331DE9">
        <w:rPr>
          <w:szCs w:val="24"/>
        </w:rPr>
        <w:t xml:space="preserve">271 </w:t>
      </w:r>
      <w:r w:rsidR="001B7384">
        <w:rPr>
          <w:szCs w:val="24"/>
        </w:rPr>
        <w:t>of</w:t>
      </w:r>
      <w:r w:rsidRPr="001B7384" w:rsidR="00331DE9">
        <w:rPr>
          <w:szCs w:val="24"/>
        </w:rPr>
        <w:t xml:space="preserve"> 1985, </w:t>
      </w:r>
      <w:r w:rsidR="001B7384">
        <w:rPr>
          <w:szCs w:val="24"/>
        </w:rPr>
        <w:t xml:space="preserve">no. </w:t>
      </w:r>
      <w:r w:rsidRPr="001B7384" w:rsidR="00331DE9">
        <w:rPr>
          <w:szCs w:val="24"/>
        </w:rPr>
        <w:t xml:space="preserve">329 </w:t>
      </w:r>
      <w:r w:rsidR="001B7384">
        <w:rPr>
          <w:szCs w:val="24"/>
        </w:rPr>
        <w:t>of 1985 and</w:t>
      </w:r>
      <w:r w:rsidRPr="001B7384" w:rsidR="00331DE9">
        <w:rPr>
          <w:szCs w:val="24"/>
        </w:rPr>
        <w:t xml:space="preserve"> </w:t>
      </w:r>
      <w:r w:rsidRPr="001B7384" w:rsidR="001B7384">
        <w:rPr>
          <w:szCs w:val="24"/>
        </w:rPr>
        <w:t>no.</w:t>
      </w:r>
      <w:r w:rsidRPr="001B7384" w:rsidR="00331DE9">
        <w:rPr>
          <w:szCs w:val="24"/>
        </w:rPr>
        <w:t xml:space="preserve"> 94 </w:t>
      </w:r>
      <w:r w:rsidR="001B7384">
        <w:rPr>
          <w:szCs w:val="24"/>
        </w:rPr>
        <w:t>of</w:t>
      </w:r>
      <w:r w:rsidRPr="001B7384" w:rsidR="00331DE9">
        <w:rPr>
          <w:szCs w:val="24"/>
        </w:rPr>
        <w:t xml:space="preserve"> 1986).</w:t>
      </w:r>
    </w:p>
    <w:p w:rsidRPr="00A12D03" w:rsidR="00331DE9" w:rsidP="00331DE9" w:rsidRDefault="004D0793">
      <w:pPr>
        <w:pStyle w:val="JuParaChar1Char"/>
        <w:rPr>
          <w:szCs w:val="24"/>
        </w:rPr>
      </w:pPr>
      <w:r w:rsidRPr="004D0793">
        <w:rPr>
          <w:szCs w:val="24"/>
        </w:rPr>
        <w:t xml:space="preserve">A similar decision </w:t>
      </w:r>
      <w:r w:rsidR="00BD3B26">
        <w:rPr>
          <w:szCs w:val="24"/>
        </w:rPr>
        <w:t>has been</w:t>
      </w:r>
      <w:r w:rsidRPr="004D0793">
        <w:rPr>
          <w:szCs w:val="24"/>
        </w:rPr>
        <w:t xml:space="preserve"> given by the</w:t>
      </w:r>
      <w:r w:rsidRPr="004D0793" w:rsidR="00331DE9">
        <w:rPr>
          <w:szCs w:val="24"/>
        </w:rPr>
        <w:t xml:space="preserve"> Cour</w:t>
      </w:r>
      <w:r w:rsidRPr="004D0793">
        <w:rPr>
          <w:szCs w:val="24"/>
        </w:rPr>
        <w:t>t</w:t>
      </w:r>
      <w:r w:rsidRPr="004D0793" w:rsidR="00331DE9">
        <w:rPr>
          <w:szCs w:val="24"/>
        </w:rPr>
        <w:t xml:space="preserve"> </w:t>
      </w:r>
      <w:r w:rsidRPr="004D0793">
        <w:rPr>
          <w:szCs w:val="24"/>
        </w:rPr>
        <w:t>of C</w:t>
      </w:r>
      <w:r w:rsidRPr="004D0793" w:rsidR="00331DE9">
        <w:rPr>
          <w:szCs w:val="24"/>
        </w:rPr>
        <w:t>assation</w:t>
      </w:r>
      <w:r w:rsidR="00BD3B26">
        <w:rPr>
          <w:szCs w:val="24"/>
        </w:rPr>
        <w:t>,</w:t>
      </w:r>
      <w:r w:rsidRPr="004D0793" w:rsidR="00331DE9">
        <w:rPr>
          <w:szCs w:val="24"/>
        </w:rPr>
        <w:t xml:space="preserve"> </w:t>
      </w:r>
      <w:r w:rsidRPr="004D0793">
        <w:rPr>
          <w:szCs w:val="24"/>
        </w:rPr>
        <w:t xml:space="preserve">declaring that </w:t>
      </w:r>
      <w:r w:rsidR="00FE1F73">
        <w:rPr>
          <w:szCs w:val="24"/>
        </w:rPr>
        <w:t>“</w:t>
      </w:r>
      <w:r w:rsidRPr="004D0793">
        <w:rPr>
          <w:szCs w:val="24"/>
        </w:rPr>
        <w:t>where a law has been declared unconstitutional it cannot in any circu</w:t>
      </w:r>
      <w:r>
        <w:rPr>
          <w:szCs w:val="24"/>
        </w:rPr>
        <w:t>m</w:t>
      </w:r>
      <w:r w:rsidRPr="004D0793">
        <w:rPr>
          <w:szCs w:val="24"/>
        </w:rPr>
        <w:t>stances be applied, giv</w:t>
      </w:r>
      <w:r>
        <w:rPr>
          <w:szCs w:val="24"/>
        </w:rPr>
        <w:t>en that it must be considered as having never existed</w:t>
      </w:r>
      <w:r w:rsidRPr="004D0793" w:rsidR="00331DE9">
        <w:rPr>
          <w:szCs w:val="24"/>
        </w:rPr>
        <w:t xml:space="preserve">, </w:t>
      </w:r>
      <w:r w:rsidR="00FE1F73">
        <w:rPr>
          <w:szCs w:val="24"/>
        </w:rPr>
        <w:t xml:space="preserve">and that a decision declaring a law unconstitutional </w:t>
      </w:r>
      <w:r w:rsidR="009B3D8A">
        <w:rPr>
          <w:szCs w:val="24"/>
        </w:rPr>
        <w:t>has a</w:t>
      </w:r>
      <w:r w:rsidR="00FE1F73">
        <w:rPr>
          <w:szCs w:val="24"/>
        </w:rPr>
        <w:t xml:space="preserve"> retrospective effect regarding any non-final situation</w:t>
      </w:r>
      <w:r w:rsidR="00ED231B">
        <w:rPr>
          <w:szCs w:val="24"/>
        </w:rPr>
        <w:t>”</w:t>
      </w:r>
      <w:r w:rsidRPr="004D0793" w:rsidR="00331DE9">
        <w:rPr>
          <w:szCs w:val="24"/>
        </w:rPr>
        <w:t xml:space="preserve"> (Cour</w:t>
      </w:r>
      <w:r w:rsidR="00FE1F73">
        <w:rPr>
          <w:szCs w:val="24"/>
        </w:rPr>
        <w:t>t</w:t>
      </w:r>
      <w:r w:rsidRPr="004D0793" w:rsidR="00331DE9">
        <w:rPr>
          <w:szCs w:val="24"/>
        </w:rPr>
        <w:t xml:space="preserve"> </w:t>
      </w:r>
      <w:r w:rsidR="00FE1F73">
        <w:rPr>
          <w:szCs w:val="24"/>
        </w:rPr>
        <w:t>of C</w:t>
      </w:r>
      <w:r w:rsidRPr="004D0793" w:rsidR="00331DE9">
        <w:rPr>
          <w:szCs w:val="24"/>
        </w:rPr>
        <w:t>assation, Sec</w:t>
      </w:r>
      <w:r w:rsidR="00124007">
        <w:rPr>
          <w:szCs w:val="24"/>
        </w:rPr>
        <w:t>tion</w:t>
      </w:r>
      <w:r w:rsidRPr="004D0793" w:rsidR="00331DE9">
        <w:rPr>
          <w:szCs w:val="24"/>
        </w:rPr>
        <w:t xml:space="preserve"> </w:t>
      </w:r>
      <w:r w:rsidRPr="00A12D03" w:rsidR="00331DE9">
        <w:rPr>
          <w:szCs w:val="24"/>
        </w:rPr>
        <w:t xml:space="preserve">II, 23 </w:t>
      </w:r>
      <w:r w:rsidRPr="00A12D03" w:rsidR="00FE1F73">
        <w:rPr>
          <w:szCs w:val="24"/>
        </w:rPr>
        <w:t>June</w:t>
      </w:r>
      <w:r w:rsidRPr="00A12D03" w:rsidR="00331DE9">
        <w:rPr>
          <w:szCs w:val="24"/>
        </w:rPr>
        <w:t xml:space="preserve"> 1979; Sec</w:t>
      </w:r>
      <w:r w:rsidR="00124007">
        <w:rPr>
          <w:szCs w:val="24"/>
        </w:rPr>
        <w:t>tion</w:t>
      </w:r>
      <w:r w:rsidRPr="00A12D03" w:rsidR="00331DE9">
        <w:rPr>
          <w:szCs w:val="24"/>
        </w:rPr>
        <w:t xml:space="preserve"> V, 15 </w:t>
      </w:r>
      <w:r w:rsidRPr="00A12D03" w:rsidR="00FE1F73">
        <w:rPr>
          <w:szCs w:val="24"/>
        </w:rPr>
        <w:t>June</w:t>
      </w:r>
      <w:r w:rsidRPr="00A12D03" w:rsidR="00331DE9">
        <w:rPr>
          <w:szCs w:val="24"/>
        </w:rPr>
        <w:t xml:space="preserve"> 1992).</w:t>
      </w:r>
    </w:p>
    <w:p w:rsidRPr="00A12D03" w:rsidR="00A12D03" w:rsidP="00331DE9" w:rsidRDefault="00A12D03">
      <w:pPr>
        <w:pStyle w:val="JuParaChar1Char"/>
        <w:rPr>
          <w:szCs w:val="24"/>
        </w:rPr>
      </w:pPr>
      <w:r>
        <w:rPr>
          <w:szCs w:val="24"/>
          <w:lang w:val="fr-FR"/>
        </w:rPr>
        <w:fldChar w:fldCharType="begin"/>
      </w:r>
      <w:r w:rsidRPr="00A12D03">
        <w:rPr>
          <w:szCs w:val="24"/>
        </w:rPr>
        <w:instrText xml:space="preserve"> SEQ level0 \*arabic </w:instrText>
      </w:r>
      <w:r>
        <w:rPr>
          <w:szCs w:val="24"/>
          <w:lang w:val="fr-FR"/>
        </w:rPr>
        <w:fldChar w:fldCharType="separate"/>
      </w:r>
      <w:r w:rsidR="008B3B68">
        <w:rPr>
          <w:noProof/>
          <w:szCs w:val="24"/>
        </w:rPr>
        <w:t>52</w:t>
      </w:r>
      <w:r>
        <w:rPr>
          <w:szCs w:val="24"/>
          <w:lang w:val="fr-FR"/>
        </w:rPr>
        <w:fldChar w:fldCharType="end"/>
      </w:r>
      <w:r w:rsidRPr="00A12D03">
        <w:rPr>
          <w:szCs w:val="24"/>
        </w:rPr>
        <w:t xml:space="preserve">.  When the </w:t>
      </w:r>
      <w:smartTag w:uri="urn:schemas-microsoft-com:office:smarttags" w:element="Street">
        <w:smartTag w:uri="urn:schemas-microsoft-com:office:smarttags" w:element="address">
          <w:r w:rsidRPr="00A12D03">
            <w:rPr>
              <w:szCs w:val="24"/>
            </w:rPr>
            <w:t>Constitutional Court</w:t>
          </w:r>
        </w:smartTag>
      </w:smartTag>
      <w:r w:rsidRPr="00A12D03">
        <w:rPr>
          <w:szCs w:val="24"/>
        </w:rPr>
        <w:t xml:space="preserve"> declares a law unconstitutional the provisions that had previously</w:t>
      </w:r>
      <w:r>
        <w:rPr>
          <w:szCs w:val="24"/>
        </w:rPr>
        <w:t xml:space="preserve"> been</w:t>
      </w:r>
      <w:r w:rsidRPr="00A12D03">
        <w:rPr>
          <w:szCs w:val="24"/>
        </w:rPr>
        <w:t xml:space="preserve"> applicable </w:t>
      </w:r>
      <w:r>
        <w:rPr>
          <w:szCs w:val="24"/>
        </w:rPr>
        <w:t>come back into force</w:t>
      </w:r>
      <w:r w:rsidRPr="00A12D03">
        <w:rPr>
          <w:szCs w:val="24"/>
        </w:rPr>
        <w:t xml:space="preserve"> (</w:t>
      </w:r>
      <w:r w:rsidRPr="00A12D03">
        <w:rPr>
          <w:i/>
          <w:szCs w:val="24"/>
        </w:rPr>
        <w:t>reviviscenza</w:t>
      </w:r>
      <w:r>
        <w:rPr>
          <w:szCs w:val="24"/>
        </w:rPr>
        <w:t>),</w:t>
      </w:r>
      <w:r w:rsidRPr="00A12D03">
        <w:rPr>
          <w:szCs w:val="24"/>
        </w:rPr>
        <w:t xml:space="preserve"> </w:t>
      </w:r>
      <w:r>
        <w:rPr>
          <w:szCs w:val="24"/>
        </w:rPr>
        <w:t>unless they have also been declared unconstitutional.</w:t>
      </w:r>
    </w:p>
    <w:p w:rsidR="00967E1F" w:rsidP="00802A2F" w:rsidRDefault="00802A2F">
      <w:pPr>
        <w:pStyle w:val="JuParaChar1Char"/>
      </w:pPr>
      <w:r>
        <w:fldChar w:fldCharType="begin"/>
      </w:r>
      <w:r w:rsidRPr="00A12D03">
        <w:instrText xml:space="preserve"> SEQ level0 \*arabic </w:instrText>
      </w:r>
      <w:r>
        <w:fldChar w:fldCharType="separate"/>
      </w:r>
      <w:r w:rsidR="008B3B68">
        <w:rPr>
          <w:noProof/>
        </w:rPr>
        <w:t>53</w:t>
      </w:r>
      <w:r>
        <w:fldChar w:fldCharType="end"/>
      </w:r>
      <w:r w:rsidRPr="00A12D03">
        <w:t>.  </w:t>
      </w:r>
      <w:r w:rsidR="004D664D">
        <w:t>After judgment no.</w:t>
      </w:r>
      <w:r w:rsidR="001861AD">
        <w:t xml:space="preserve"> </w:t>
      </w:r>
      <w:r w:rsidR="00BA1C8A">
        <w:t>5/1980 had declared Law no. 865/1971 unconstitutional</w:t>
      </w:r>
      <w:r w:rsidRPr="007B70C8">
        <w:t>, Parli</w:t>
      </w:r>
      <w:r w:rsidR="005A2A87">
        <w:t xml:space="preserve">ament enacted Law no. 385 of 29 </w:t>
      </w:r>
      <w:r w:rsidRPr="007B70C8">
        <w:t xml:space="preserve">July 1980, which </w:t>
      </w:r>
      <w:r>
        <w:t xml:space="preserve">reaffirmed, but this time </w:t>
      </w:r>
      <w:r w:rsidRPr="007B70C8">
        <w:t>on a provisional basis</w:t>
      </w:r>
      <w:r>
        <w:t>,</w:t>
      </w:r>
      <w:r w:rsidRPr="007B70C8">
        <w:t xml:space="preserve"> the criteria that had been declared unconstitutional. The </w:t>
      </w:r>
      <w:r>
        <w:t>Law provided that compensation should be paid in</w:t>
      </w:r>
      <w:r w:rsidRPr="007B70C8">
        <w:t xml:space="preserve"> the form of an advance, to be supplemented by a payment calculated on the basis of a subsequent law that would lay down specific compensation criteria for building land.</w:t>
      </w:r>
    </w:p>
    <w:p w:rsidRPr="007B70C8" w:rsidR="00802A2F" w:rsidP="00802A2F" w:rsidRDefault="00802A2F">
      <w:pPr>
        <w:pStyle w:val="JuParaChar1Char"/>
      </w:pPr>
      <w:r>
        <w:fldChar w:fldCharType="begin"/>
      </w:r>
      <w:r>
        <w:instrText xml:space="preserve"> SEQ level0 \*arabic </w:instrText>
      </w:r>
      <w:r>
        <w:fldChar w:fldCharType="separate"/>
      </w:r>
      <w:r w:rsidR="008B3B68">
        <w:rPr>
          <w:noProof/>
        </w:rPr>
        <w:t>54</w:t>
      </w:r>
      <w:r>
        <w:fldChar w:fldCharType="end"/>
      </w:r>
      <w:r>
        <w:t>.  </w:t>
      </w:r>
      <w:r w:rsidRPr="007B70C8">
        <w:t xml:space="preserve">In </w:t>
      </w:r>
      <w:r>
        <w:t xml:space="preserve">judgment </w:t>
      </w:r>
      <w:r w:rsidRPr="007B70C8">
        <w:t>no. 223</w:t>
      </w:r>
      <w:r w:rsidR="00BD3B26">
        <w:t xml:space="preserve"> of 15 July 1983</w:t>
      </w:r>
      <w:r w:rsidR="00D578AA">
        <w:t>,</w:t>
      </w:r>
      <w:r w:rsidRPr="007B70C8">
        <w:t xml:space="preserve"> the </w:t>
      </w:r>
      <w:smartTag w:uri="urn:schemas-microsoft-com:office:smarttags" w:element="Street">
        <w:smartTag w:uri="urn:schemas-microsoft-com:office:smarttags" w:element="address">
          <w:r w:rsidRPr="007B70C8">
            <w:t>Constitutional Court</w:t>
          </w:r>
        </w:smartTag>
      </w:smartTag>
      <w:r>
        <w:t xml:space="preserve"> declared Law</w:t>
      </w:r>
      <w:r w:rsidR="001861AD">
        <w:t xml:space="preserve"> </w:t>
      </w:r>
      <w:r w:rsidRPr="007B70C8">
        <w:t>no.</w:t>
      </w:r>
      <w:r w:rsidR="001861AD">
        <w:t xml:space="preserve"> </w:t>
      </w:r>
      <w:r w:rsidRPr="007B70C8">
        <w:t xml:space="preserve">385/1980 unconstitutional on the ground that it made the award of compensation </w:t>
      </w:r>
      <w:r w:rsidR="00BA1C8A">
        <w:t xml:space="preserve">for </w:t>
      </w:r>
      <w:r w:rsidR="00BD3B26">
        <w:t xml:space="preserve">the </w:t>
      </w:r>
      <w:r w:rsidR="00BA1C8A">
        <w:t xml:space="preserve">expropriation of building land </w:t>
      </w:r>
      <w:r w:rsidRPr="007B70C8">
        <w:t>subject to the enactment of a</w:t>
      </w:r>
      <w:r w:rsidRPr="00D6594D">
        <w:t xml:space="preserve"> </w:t>
      </w:r>
      <w:r w:rsidRPr="007B70C8">
        <w:t>future law</w:t>
      </w:r>
      <w:r w:rsidR="0012116B">
        <w:t xml:space="preserve"> and that it reintroduced – even if only on a provisional basis – compensation criteria </w:t>
      </w:r>
      <w:r w:rsidRPr="007B70C8" w:rsidR="0012116B">
        <w:t>that had been declared unconstitutional</w:t>
      </w:r>
      <w:r w:rsidRPr="007B70C8">
        <w:t>.</w:t>
      </w:r>
      <w:r w:rsidR="0012116B">
        <w:t xml:space="preserve"> In that connection the </w:t>
      </w:r>
      <w:smartTag w:uri="urn:schemas-microsoft-com:office:smarttags" w:element="Street">
        <w:smartTag w:uri="urn:schemas-microsoft-com:office:smarttags" w:element="address">
          <w:r w:rsidR="0012116B">
            <w:t>Constitutional Court</w:t>
          </w:r>
        </w:smartTag>
      </w:smartTag>
      <w:r w:rsidR="0012116B">
        <w:t xml:space="preserve"> reiterated that the legislature had to accept that a law that had been declared illegal </w:t>
      </w:r>
      <w:r w:rsidR="00BD3B26">
        <w:t xml:space="preserve">stopped </w:t>
      </w:r>
      <w:r w:rsidR="00B7193F">
        <w:t xml:space="preserve">producing its </w:t>
      </w:r>
      <w:r w:rsidR="0012116B">
        <w:t>effect</w:t>
      </w:r>
      <w:r w:rsidR="00B7193F">
        <w:t>s</w:t>
      </w:r>
      <w:r w:rsidR="0012116B">
        <w:t xml:space="preserve"> immediately</w:t>
      </w:r>
      <w:r w:rsidR="00BD3B26">
        <w:t>,</w:t>
      </w:r>
      <w:r w:rsidR="0012116B">
        <w:t xml:space="preserve"> and stressed the need to draw up provisions for </w:t>
      </w:r>
      <w:r w:rsidR="00BD3B26">
        <w:t xml:space="preserve">substantial awards of </w:t>
      </w:r>
      <w:r w:rsidR="0012116B">
        <w:rPr>
          <w:szCs w:val="24"/>
        </w:rPr>
        <w:t>compensation</w:t>
      </w:r>
      <w:r w:rsidR="00BD3B26">
        <w:rPr>
          <w:szCs w:val="24"/>
        </w:rPr>
        <w:t xml:space="preserve"> for</w:t>
      </w:r>
      <w:r w:rsidRPr="00BD3B26" w:rsidR="00BD3B26">
        <w:t xml:space="preserve"> </w:t>
      </w:r>
      <w:r w:rsidR="00BD3B26">
        <w:t>expr</w:t>
      </w:r>
      <w:r w:rsidRPr="003A50AC" w:rsidR="00BD3B26">
        <w:rPr>
          <w:szCs w:val="24"/>
        </w:rPr>
        <w:t>opriation</w:t>
      </w:r>
      <w:r w:rsidRPr="003A50AC" w:rsidR="0012116B">
        <w:rPr>
          <w:szCs w:val="24"/>
        </w:rPr>
        <w:t xml:space="preserve"> (</w:t>
      </w:r>
      <w:r w:rsidRPr="003A50AC" w:rsidR="0012116B">
        <w:rPr>
          <w:i/>
          <w:szCs w:val="24"/>
        </w:rPr>
        <w:t>serio ristoro</w:t>
      </w:r>
      <w:r w:rsidRPr="003A50AC" w:rsidR="0012116B">
        <w:rPr>
          <w:szCs w:val="24"/>
        </w:rPr>
        <w:t>)</w:t>
      </w:r>
      <w:r w:rsidR="0012116B">
        <w:rPr>
          <w:szCs w:val="24"/>
        </w:rPr>
        <w:t>.</w:t>
      </w:r>
    </w:p>
    <w:p w:rsidR="00967E1F" w:rsidP="00802A2F" w:rsidRDefault="00802A2F">
      <w:pPr>
        <w:pStyle w:val="JuParaChar1Char"/>
      </w:pPr>
      <w:r>
        <w:fldChar w:fldCharType="begin"/>
      </w:r>
      <w:r>
        <w:instrText xml:space="preserve"> SEQ level0 \*arabic </w:instrText>
      </w:r>
      <w:r>
        <w:fldChar w:fldCharType="separate"/>
      </w:r>
      <w:r w:rsidR="008B3B68">
        <w:rPr>
          <w:noProof/>
        </w:rPr>
        <w:t>55</w:t>
      </w:r>
      <w:r>
        <w:fldChar w:fldCharType="end"/>
      </w:r>
      <w:r>
        <w:t>.  </w:t>
      </w:r>
      <w:r w:rsidRPr="007B70C8">
        <w:t>As a result of judgment</w:t>
      </w:r>
      <w:r w:rsidR="00BA1C8A">
        <w:t xml:space="preserve"> no. 223</w:t>
      </w:r>
      <w:r w:rsidR="004D02B7">
        <w:t xml:space="preserve"> of 1983</w:t>
      </w:r>
      <w:r w:rsidRPr="007B70C8">
        <w:t xml:space="preserve">, </w:t>
      </w:r>
      <w:r w:rsidR="00BA1C8A">
        <w:t xml:space="preserve">section 39 of </w:t>
      </w:r>
      <w:r w:rsidRPr="007B70C8">
        <w:t>Law no.</w:t>
      </w:r>
      <w:r w:rsidR="007331FE">
        <w:t> </w:t>
      </w:r>
      <w:r w:rsidRPr="007B70C8">
        <w:t xml:space="preserve">2359/1865 </w:t>
      </w:r>
      <w:r>
        <w:t>came back into force</w:t>
      </w:r>
      <w:r w:rsidRPr="007B70C8">
        <w:t xml:space="preserve">. Consequently, </w:t>
      </w:r>
      <w:r>
        <w:t xml:space="preserve">the </w:t>
      </w:r>
      <w:r w:rsidRPr="007B70C8">
        <w:t>compensation payable for building land was</w:t>
      </w:r>
      <w:r>
        <w:t xml:space="preserve"> to correspond to</w:t>
      </w:r>
      <w:r w:rsidRPr="007B70C8">
        <w:t xml:space="preserve"> the land</w:t>
      </w:r>
      <w:r w:rsidR="00E6191D">
        <w:t>’</w:t>
      </w:r>
      <w:r w:rsidRPr="007B70C8">
        <w:t>s market value (see, for example, Court of Cassation, Section I, judgment no. 1</w:t>
      </w:r>
      <w:r w:rsidR="001B50C0">
        <w:t>3479 of 13 </w:t>
      </w:r>
      <w:r>
        <w:t>December 1991</w:t>
      </w:r>
      <w:r w:rsidR="00BA1C8A">
        <w:t>;</w:t>
      </w:r>
      <w:r>
        <w:t xml:space="preserve"> </w:t>
      </w:r>
      <w:r w:rsidRPr="007B70C8">
        <w:t xml:space="preserve">Section I, judgment no. 2180 of </w:t>
      </w:r>
      <w:smartTag w:uri="urn:schemas-microsoft-com:office:smarttags" w:element="date">
        <w:smartTagPr>
          <w:attr w:name="Month" w:val="2"/>
          <w:attr w:name="Day" w:val="22"/>
          <w:attr w:name="Year" w:val="1992"/>
        </w:smartTagPr>
        <w:r w:rsidRPr="007B70C8">
          <w:t>22 February 1992</w:t>
        </w:r>
      </w:smartTag>
      <w:r w:rsidR="00BA1C8A">
        <w:t xml:space="preserve">; and plenary court, judgment no. 3815 of </w:t>
      </w:r>
      <w:smartTag w:uri="urn:schemas-microsoft-com:office:smarttags" w:element="date">
        <w:smartTagPr>
          <w:attr w:name="Month" w:val="8"/>
          <w:attr w:name="Day" w:val="29"/>
          <w:attr w:name="Year" w:val="1989"/>
        </w:smartTagPr>
        <w:r w:rsidR="00BA1C8A">
          <w:t>29 August 1989</w:t>
        </w:r>
      </w:smartTag>
      <w:r w:rsidRPr="007B70C8">
        <w:t>).</w:t>
      </w:r>
    </w:p>
    <w:p w:rsidRPr="00F21968" w:rsidR="00802A2F" w:rsidP="00F21968" w:rsidRDefault="00802A2F">
      <w:pPr>
        <w:pStyle w:val="JuParaChar1Char"/>
      </w:pPr>
      <w:r>
        <w:fldChar w:fldCharType="begin"/>
      </w:r>
      <w:r>
        <w:instrText xml:space="preserve"> SEQ level0 \*arabic </w:instrText>
      </w:r>
      <w:r>
        <w:fldChar w:fldCharType="separate"/>
      </w:r>
      <w:r w:rsidR="008B3B68">
        <w:rPr>
          <w:noProof/>
        </w:rPr>
        <w:t>56</w:t>
      </w:r>
      <w:r>
        <w:fldChar w:fldCharType="end"/>
      </w:r>
      <w:r w:rsidR="00127720">
        <w:t>.  S</w:t>
      </w:r>
      <w:r w:rsidRPr="007B70C8" w:rsidR="00127720">
        <w:t xml:space="preserve">ection 5 </w:t>
      </w:r>
      <w:r w:rsidRPr="007B70C8" w:rsidR="00127720">
        <w:rPr>
          <w:i/>
          <w:iCs/>
        </w:rPr>
        <w:t>bis</w:t>
      </w:r>
      <w:r w:rsidR="00127720">
        <w:t xml:space="preserve"> of </w:t>
      </w:r>
      <w:r>
        <w:t xml:space="preserve">Law no. 359 of 8 August </w:t>
      </w:r>
      <w:r w:rsidR="00127720">
        <w:t>1992 introduced</w:t>
      </w:r>
      <w:r w:rsidRPr="007B70C8">
        <w:rPr>
          <w:i/>
          <w:iCs/>
        </w:rPr>
        <w:t xml:space="preserve"> </w:t>
      </w:r>
      <w:r>
        <w:t xml:space="preserve">a “temporary, </w:t>
      </w:r>
      <w:r w:rsidRPr="007B70C8">
        <w:t xml:space="preserve">exceptional </w:t>
      </w:r>
      <w:r>
        <w:t>and urgent</w:t>
      </w:r>
      <w:r w:rsidRPr="007B70C8">
        <w:t>” measure</w:t>
      </w:r>
      <w:r w:rsidRPr="00D6594D">
        <w:t xml:space="preserve"> </w:t>
      </w:r>
      <w:r>
        <w:t xml:space="preserve">aimed at </w:t>
      </w:r>
      <w:r w:rsidRPr="007B70C8">
        <w:t>stabilis</w:t>
      </w:r>
      <w:r>
        <w:t xml:space="preserve">ing </w:t>
      </w:r>
      <w:r w:rsidRPr="007B70C8">
        <w:t>public finances</w:t>
      </w:r>
      <w:r>
        <w:t>, to remain</w:t>
      </w:r>
      <w:r w:rsidRPr="007B70C8">
        <w:t xml:space="preserve"> valid until </w:t>
      </w:r>
      <w:r>
        <w:t>structural measures were adopted</w:t>
      </w:r>
      <w:r w:rsidRPr="007B70C8">
        <w:t>.</w:t>
      </w:r>
      <w:r w:rsidR="00FE4F7A">
        <w:t xml:space="preserve"> </w:t>
      </w:r>
      <w:r w:rsidRPr="00F21968" w:rsidR="00FE4F7A">
        <w:t>That provision</w:t>
      </w:r>
      <w:r w:rsidRPr="00F21968" w:rsidR="00F21968">
        <w:t xml:space="preserve"> applied to any expropriation</w:t>
      </w:r>
      <w:r w:rsidR="00F21968">
        <w:t xml:space="preserve"> under way</w:t>
      </w:r>
      <w:r w:rsidRPr="00F21968" w:rsidR="00F21968">
        <w:t xml:space="preserve"> and to a</w:t>
      </w:r>
      <w:r w:rsidR="00F21968">
        <w:t>ny</w:t>
      </w:r>
      <w:r w:rsidRPr="00F21968" w:rsidR="00F21968">
        <w:t xml:space="preserve"> pending</w:t>
      </w:r>
      <w:r w:rsidR="00F21968">
        <w:t xml:space="preserve"> proceedings related thereto</w:t>
      </w:r>
      <w:r w:rsidRPr="00F21968" w:rsidR="00F21968">
        <w:rPr>
          <w:szCs w:val="24"/>
        </w:rPr>
        <w:t xml:space="preserve">. Section 5 </w:t>
      </w:r>
      <w:r w:rsidRPr="00F21968" w:rsidR="00F21968">
        <w:rPr>
          <w:i/>
          <w:szCs w:val="24"/>
        </w:rPr>
        <w:t xml:space="preserve">bis </w:t>
      </w:r>
      <w:r w:rsidRPr="00F21968" w:rsidR="00F21968">
        <w:rPr>
          <w:szCs w:val="24"/>
        </w:rPr>
        <w:t>of Law no.</w:t>
      </w:r>
      <w:r w:rsidR="001861AD">
        <w:rPr>
          <w:szCs w:val="24"/>
        </w:rPr>
        <w:t xml:space="preserve"> </w:t>
      </w:r>
      <w:r w:rsidRPr="00F21968" w:rsidR="00F21968">
        <w:rPr>
          <w:szCs w:val="24"/>
        </w:rPr>
        <w:t xml:space="preserve">359/1992, which was published in the Official Gazette on </w:t>
      </w:r>
      <w:smartTag w:uri="urn:schemas-microsoft-com:office:smarttags" w:element="date">
        <w:smartTagPr>
          <w:attr w:name="Month" w:val="8"/>
          <w:attr w:name="Day" w:val="13"/>
          <w:attr w:name="Year" w:val="1992"/>
        </w:smartTagPr>
        <w:r w:rsidR="00F21968" w:rsidRPr="00F21968">
          <w:rPr>
            <w:szCs w:val="24"/>
          </w:rPr>
          <w:t>13 August 1992</w:t>
        </w:r>
      </w:smartTag>
      <w:r w:rsidRPr="00F21968" w:rsidR="00F21968">
        <w:rPr>
          <w:szCs w:val="24"/>
        </w:rPr>
        <w:t xml:space="preserve">, </w:t>
      </w:r>
      <w:r w:rsidR="00F21968">
        <w:rPr>
          <w:szCs w:val="24"/>
        </w:rPr>
        <w:t xml:space="preserve">came into force on </w:t>
      </w:r>
      <w:smartTag w:uri="urn:schemas-microsoft-com:office:smarttags" w:element="date">
        <w:smartTagPr>
          <w:attr w:name="Month" w:val="8"/>
          <w:attr w:name="Day" w:val="14"/>
          <w:attr w:name="Year" w:val="1992"/>
        </w:smartTagPr>
        <w:r w:rsidR="00F21968">
          <w:rPr>
            <w:szCs w:val="24"/>
          </w:rPr>
          <w:t>14 August</w:t>
        </w:r>
        <w:r w:rsidR="00F21968" w:rsidRPr="00F21968">
          <w:rPr>
            <w:szCs w:val="24"/>
          </w:rPr>
          <w:t xml:space="preserve"> 1992</w:t>
        </w:r>
      </w:smartTag>
      <w:r w:rsidRPr="00F21968" w:rsidR="00F21968">
        <w:rPr>
          <w:szCs w:val="24"/>
        </w:rPr>
        <w:t>.</w:t>
      </w:r>
    </w:p>
    <w:p w:rsidRPr="007B70C8" w:rsidR="00802A2F" w:rsidP="00802A2F" w:rsidRDefault="00802A2F">
      <w:pPr>
        <w:pStyle w:val="JuParaChar1Char"/>
      </w:pPr>
      <w:r>
        <w:fldChar w:fldCharType="begin"/>
      </w:r>
      <w:r>
        <w:instrText xml:space="preserve"> SEQ level0 \*arabic </w:instrText>
      </w:r>
      <w:r>
        <w:fldChar w:fldCharType="separate"/>
      </w:r>
      <w:r w:rsidR="008B3B68">
        <w:rPr>
          <w:noProof/>
        </w:rPr>
        <w:t>57</w:t>
      </w:r>
      <w:r>
        <w:fldChar w:fldCharType="end"/>
      </w:r>
      <w:r>
        <w:t>.  </w:t>
      </w:r>
      <w:r w:rsidRPr="007B70C8">
        <w:t xml:space="preserve">Section 5 </w:t>
      </w:r>
      <w:r w:rsidRPr="007B70C8">
        <w:rPr>
          <w:i/>
          <w:iCs/>
        </w:rPr>
        <w:t>bis</w:t>
      </w:r>
      <w:r w:rsidRPr="007B70C8">
        <w:t xml:space="preserve"> provides that the compensation payable for the expropriation of building land is to </w:t>
      </w:r>
      <w:r>
        <w:t>be</w:t>
      </w:r>
      <w:r w:rsidRPr="007B70C8">
        <w:t xml:space="preserve"> calculated using the following formula:</w:t>
      </w:r>
      <w:r>
        <w:t xml:space="preserve"> m</w:t>
      </w:r>
      <w:r w:rsidRPr="007B70C8">
        <w:t xml:space="preserve">arket value of the land </w:t>
      </w:r>
      <w:r>
        <w:t xml:space="preserve">plus the total of </w:t>
      </w:r>
      <w:r w:rsidRPr="007B70C8">
        <w:t xml:space="preserve">annual </w:t>
      </w:r>
      <w:r>
        <w:t>ground rent multiplied by the last ten years, divided by two, minus</w:t>
      </w:r>
      <w:r w:rsidRPr="007B70C8">
        <w:t xml:space="preserve"> </w:t>
      </w:r>
      <w:r>
        <w:t xml:space="preserve">a </w:t>
      </w:r>
      <w:r w:rsidRPr="007B70C8">
        <w:t xml:space="preserve">40% </w:t>
      </w:r>
      <w:r>
        <w:t>d</w:t>
      </w:r>
      <w:r w:rsidRPr="007B70C8">
        <w:t>eduction.</w:t>
      </w:r>
    </w:p>
    <w:p w:rsidR="00802A2F" w:rsidP="00802A2F" w:rsidRDefault="00802A2F">
      <w:pPr>
        <w:pStyle w:val="JuParaChar1Char"/>
      </w:pPr>
      <w:r>
        <w:fldChar w:fldCharType="begin"/>
      </w:r>
      <w:r>
        <w:instrText xml:space="preserve"> SEQ level0 \*arabic </w:instrText>
      </w:r>
      <w:r>
        <w:fldChar w:fldCharType="separate"/>
      </w:r>
      <w:r w:rsidR="008B3B68">
        <w:rPr>
          <w:noProof/>
        </w:rPr>
        <w:t>58</w:t>
      </w:r>
      <w:r>
        <w:fldChar w:fldCharType="end"/>
      </w:r>
      <w:r>
        <w:t>.  </w:t>
      </w:r>
      <w:r w:rsidRPr="007B70C8">
        <w:t xml:space="preserve">In </w:t>
      </w:r>
      <w:r>
        <w:t>such</w:t>
      </w:r>
      <w:r w:rsidRPr="007B70C8">
        <w:t xml:space="preserve"> case</w:t>
      </w:r>
      <w:r>
        <w:t>s</w:t>
      </w:r>
      <w:r w:rsidRPr="007B70C8">
        <w:t xml:space="preserve">, the compensation corresponds to 30% of the market value. </w:t>
      </w:r>
      <w:r>
        <w:t>That amount is subject to tax, deducted at source</w:t>
      </w:r>
      <w:r w:rsidRPr="00365A93">
        <w:t xml:space="preserve"> at a rate of 20%</w:t>
      </w:r>
      <w:r w:rsidRPr="007B70C8">
        <w:t xml:space="preserve"> (</w:t>
      </w:r>
      <w:r>
        <w:t>in accordance with</w:t>
      </w:r>
      <w:r w:rsidRPr="007B70C8">
        <w:t xml:space="preserve"> section 11 of Law no. 413/1991).</w:t>
      </w:r>
    </w:p>
    <w:p w:rsidRPr="007B70C8" w:rsidR="00802A2F" w:rsidP="00096409" w:rsidRDefault="00802A2F">
      <w:pPr>
        <w:pStyle w:val="JuParaChar1Char"/>
      </w:pPr>
      <w:r>
        <w:fldChar w:fldCharType="begin"/>
      </w:r>
      <w:r>
        <w:instrText xml:space="preserve"> SEQ level0 \*arabic </w:instrText>
      </w:r>
      <w:r>
        <w:fldChar w:fldCharType="separate"/>
      </w:r>
      <w:r w:rsidR="008B3B68">
        <w:rPr>
          <w:noProof/>
        </w:rPr>
        <w:t>59</w:t>
      </w:r>
      <w:r>
        <w:fldChar w:fldCharType="end"/>
      </w:r>
      <w:r>
        <w:t>.  The 40% d</w:t>
      </w:r>
      <w:r w:rsidRPr="007B70C8">
        <w:t xml:space="preserve">eduction can be avoided if </w:t>
      </w:r>
      <w:r>
        <w:t xml:space="preserve">the </w:t>
      </w:r>
      <w:r w:rsidRPr="007B70C8">
        <w:t>basis for the expropriation is no</w:t>
      </w:r>
      <w:r>
        <w:t>t an expropriation order but a “</w:t>
      </w:r>
      <w:r w:rsidRPr="007B70C8">
        <w:t>voluntary agreemen</w:t>
      </w:r>
      <w:r>
        <w:t>t” for the transfer of the land</w:t>
      </w:r>
      <w:r w:rsidRPr="007B70C8">
        <w:t xml:space="preserve"> or, as in the instant case, if the expropriation took place before section 5 </w:t>
      </w:r>
      <w:r w:rsidRPr="007B70C8">
        <w:rPr>
          <w:i/>
          <w:iCs/>
        </w:rPr>
        <w:t>bis</w:t>
      </w:r>
      <w:r w:rsidRPr="007B70C8">
        <w:t xml:space="preserve"> </w:t>
      </w:r>
      <w:r>
        <w:t>came</w:t>
      </w:r>
      <w:r w:rsidRPr="007B70C8">
        <w:t xml:space="preserve"> into force (see</w:t>
      </w:r>
      <w:r w:rsidRPr="007B70C8">
        <w:rPr>
          <w:color w:val="000000"/>
        </w:rPr>
        <w:t xml:space="preserve"> the Constitutional Court</w:t>
      </w:r>
      <w:r w:rsidR="00E6191D">
        <w:rPr>
          <w:color w:val="000000"/>
        </w:rPr>
        <w:t>’</w:t>
      </w:r>
      <w:r w:rsidRPr="007B70C8">
        <w:rPr>
          <w:color w:val="000000"/>
        </w:rPr>
        <w:t>s</w:t>
      </w:r>
      <w:r>
        <w:rPr>
          <w:color w:val="000000"/>
        </w:rPr>
        <w:t xml:space="preserve"> judgment no. </w:t>
      </w:r>
      <w:r w:rsidRPr="007B70C8">
        <w:rPr>
          <w:color w:val="000000"/>
        </w:rPr>
        <w:t>283 of 16 June 1993).</w:t>
      </w:r>
      <w:r w:rsidR="00096409">
        <w:t xml:space="preserve"> </w:t>
      </w:r>
      <w:r w:rsidRPr="007B70C8">
        <w:t xml:space="preserve">In </w:t>
      </w:r>
      <w:r>
        <w:t>such</w:t>
      </w:r>
      <w:r w:rsidRPr="007B70C8">
        <w:t xml:space="preserve"> case</w:t>
      </w:r>
      <w:r>
        <w:t>s</w:t>
      </w:r>
      <w:r w:rsidRPr="007B70C8">
        <w:t xml:space="preserve">, the resulting compensation corresponds to 50% of the market value. Again, </w:t>
      </w:r>
      <w:r>
        <w:t xml:space="preserve">that amount is subject to </w:t>
      </w:r>
      <w:r w:rsidRPr="007B70C8">
        <w:t xml:space="preserve">tax </w:t>
      </w:r>
      <w:r>
        <w:t xml:space="preserve">at </w:t>
      </w:r>
      <w:r w:rsidRPr="007B70C8">
        <w:t xml:space="preserve">a </w:t>
      </w:r>
      <w:r>
        <w:t xml:space="preserve">rate of </w:t>
      </w:r>
      <w:r w:rsidRPr="007B70C8">
        <w:t xml:space="preserve">20% (see </w:t>
      </w:r>
      <w:r w:rsidR="00096409">
        <w:t xml:space="preserve">paragraph 58 </w:t>
      </w:r>
      <w:r w:rsidRPr="007B70C8">
        <w:t>above).</w:t>
      </w:r>
    </w:p>
    <w:p w:rsidR="00802A2F" w:rsidP="00802A2F" w:rsidRDefault="00802A2F">
      <w:pPr>
        <w:pStyle w:val="JuParaChar1Char"/>
      </w:pPr>
      <w:r>
        <w:fldChar w:fldCharType="begin"/>
      </w:r>
      <w:r>
        <w:instrText xml:space="preserve"> SEQ level0 \*arabic </w:instrText>
      </w:r>
      <w:r>
        <w:fldChar w:fldCharType="separate"/>
      </w:r>
      <w:r w:rsidR="008B3B68">
        <w:rPr>
          <w:noProof/>
        </w:rPr>
        <w:t>60</w:t>
      </w:r>
      <w:r>
        <w:fldChar w:fldCharType="end"/>
      </w:r>
      <w:r>
        <w:t>.  </w:t>
      </w:r>
      <w:r w:rsidRPr="007B70C8">
        <w:t xml:space="preserve">The Constitutional Court has held section 5 </w:t>
      </w:r>
      <w:r w:rsidRPr="007B70C8">
        <w:rPr>
          <w:i/>
          <w:iCs/>
        </w:rPr>
        <w:t>bis</w:t>
      </w:r>
      <w:r w:rsidRPr="007B70C8">
        <w:t xml:space="preserve"> of Law no. 359/1992 and its retrospective application </w:t>
      </w:r>
      <w:r>
        <w:t>to be</w:t>
      </w:r>
      <w:r w:rsidRPr="007B70C8">
        <w:t xml:space="preserve"> compatible with the Constitution (judgment no. 283 of 16 June 1993</w:t>
      </w:r>
      <w:r w:rsidR="00096409">
        <w:t>, and</w:t>
      </w:r>
      <w:r w:rsidRPr="007B70C8">
        <w:t xml:space="preserve"> </w:t>
      </w:r>
      <w:r w:rsidR="00096409">
        <w:t>judgment no. 442 of 16</w:t>
      </w:r>
      <w:r w:rsidR="001861AD">
        <w:t xml:space="preserve"> </w:t>
      </w:r>
      <w:r w:rsidR="00096409">
        <w:t>December</w:t>
      </w:r>
      <w:r w:rsidR="001861AD">
        <w:t xml:space="preserve"> </w:t>
      </w:r>
      <w:r w:rsidRPr="007B70C8">
        <w:t>1993)</w:t>
      </w:r>
      <w:r>
        <w:t xml:space="preserve"> on account of</w:t>
      </w:r>
      <w:r w:rsidRPr="007B70C8">
        <w:t xml:space="preserve"> the urgent and </w:t>
      </w:r>
      <w:r>
        <w:t>temporary nature of the Law</w:t>
      </w:r>
      <w:r w:rsidRPr="007B70C8">
        <w:t>.</w:t>
      </w:r>
    </w:p>
    <w:p w:rsidR="007C7EB4" w:rsidP="00802A2F" w:rsidRDefault="007C7EB4">
      <w:pPr>
        <w:pStyle w:val="JuParaChar1Char"/>
      </w:pPr>
      <w:r>
        <w:fldChar w:fldCharType="begin"/>
      </w:r>
      <w:r>
        <w:instrText xml:space="preserve"> SEQ level0 \*arabic </w:instrText>
      </w:r>
      <w:r>
        <w:fldChar w:fldCharType="separate"/>
      </w:r>
      <w:r w:rsidR="008B3B68">
        <w:rPr>
          <w:noProof/>
        </w:rPr>
        <w:t>61</w:t>
      </w:r>
      <w:r>
        <w:fldChar w:fldCharType="end"/>
      </w:r>
      <w:r>
        <w:t>.  </w:t>
      </w:r>
      <w:r w:rsidRPr="007C7EB4">
        <w:t>The Code of Expropriation Prov</w:t>
      </w:r>
      <w:r w:rsidR="001B50C0">
        <w:t>isions (Presidential Decree no. </w:t>
      </w:r>
      <w:r w:rsidRPr="007C7EB4">
        <w:t>327</w:t>
      </w:r>
      <w:r w:rsidR="00127720">
        <w:t>/</w:t>
      </w:r>
      <w:r w:rsidRPr="007C7EB4">
        <w:t>2001, subsequently modified by Legislative Decree no. 302</w:t>
      </w:r>
      <w:r w:rsidR="00127720">
        <w:t>/</w:t>
      </w:r>
      <w:r w:rsidRPr="007C7EB4">
        <w:t xml:space="preserve">2002), which came into force on </w:t>
      </w:r>
      <w:smartTag w:uri="urn:schemas-microsoft-com:office:smarttags" w:element="date">
        <w:smartTagPr>
          <w:attr w:name="Month" w:val="6"/>
          <w:attr w:name="Day" w:val="30"/>
          <w:attr w:name="Year" w:val="2003"/>
        </w:smartTagPr>
        <w:r w:rsidRPr="007C7EB4">
          <w:t>30 June 2003</w:t>
        </w:r>
      </w:smartTag>
      <w:r w:rsidRPr="007C7EB4">
        <w:t>, codified the existing provisions and the principles established by the relevant case-law</w:t>
      </w:r>
      <w:r w:rsidRPr="00B7193F" w:rsidR="00B7193F">
        <w:t xml:space="preserve"> </w:t>
      </w:r>
      <w:r w:rsidR="00B7193F">
        <w:t>in respect of</w:t>
      </w:r>
      <w:r w:rsidRPr="007C7EB4" w:rsidR="00B7193F">
        <w:t xml:space="preserve"> expropriation</w:t>
      </w:r>
      <w:r>
        <w:t>.</w:t>
      </w:r>
    </w:p>
    <w:p w:rsidRPr="007C7EB4" w:rsidR="007C7EB4" w:rsidP="00802A2F" w:rsidRDefault="007C7EB4">
      <w:pPr>
        <w:pStyle w:val="JuParaChar1Char"/>
      </w:pPr>
      <w:r w:rsidRPr="007C7EB4">
        <w:t xml:space="preserve">Article 37 of the Code reiterates the main criteria for calculating compensation for expropriation </w:t>
      </w:r>
      <w:r w:rsidR="00B7193F">
        <w:t>set</w:t>
      </w:r>
      <w:r w:rsidRPr="007C7EB4">
        <w:t xml:space="preserve"> for</w:t>
      </w:r>
      <w:r w:rsidR="00B7193F">
        <w:t>th</w:t>
      </w:r>
      <w:r w:rsidRPr="007C7EB4">
        <w:t xml:space="preserve"> in section 5 </w:t>
      </w:r>
      <w:r w:rsidRPr="00B767E4">
        <w:rPr>
          <w:i/>
        </w:rPr>
        <w:t>bis</w:t>
      </w:r>
      <w:r w:rsidRPr="007C7EB4">
        <w:t xml:space="preserve"> of Law no.</w:t>
      </w:r>
      <w:r w:rsidR="00AD16B3">
        <w:t> </w:t>
      </w:r>
      <w:r w:rsidRPr="007C7EB4">
        <w:t>359/1992</w:t>
      </w:r>
      <w:r>
        <w:t>.</w:t>
      </w:r>
    </w:p>
    <w:p w:rsidRPr="00DA15E2" w:rsidR="00BF6E2C" w:rsidP="00124007" w:rsidRDefault="00802A2F">
      <w:pPr>
        <w:pStyle w:val="JuHA0"/>
        <w:outlineLvl w:val="0"/>
        <w:rPr>
          <w:lang w:val="en-GB"/>
        </w:rPr>
      </w:pPr>
      <w:r w:rsidRPr="00DA15E2">
        <w:rPr>
          <w:lang w:val="en-GB"/>
        </w:rPr>
        <w:t>B</w:t>
      </w:r>
      <w:r w:rsidRPr="00DA15E2" w:rsidR="00BF6E2C">
        <w:rPr>
          <w:lang w:val="en-GB"/>
        </w:rPr>
        <w:t>.  </w:t>
      </w:r>
      <w:r w:rsidR="00D578AA">
        <w:rPr>
          <w:lang w:val="en-GB"/>
        </w:rPr>
        <w:t>T</w:t>
      </w:r>
      <w:r w:rsidRPr="00DA15E2" w:rsidR="00BF6E2C">
        <w:rPr>
          <w:lang w:val="en-GB"/>
        </w:rPr>
        <w:t xml:space="preserve">he complaint concerning the length of </w:t>
      </w:r>
      <w:r w:rsidR="004D02B7">
        <w:rPr>
          <w:lang w:val="en-GB"/>
        </w:rPr>
        <w:t xml:space="preserve">the </w:t>
      </w:r>
      <w:r w:rsidRPr="00DA15E2" w:rsidR="00BF6E2C">
        <w:rPr>
          <w:lang w:val="en-GB"/>
        </w:rPr>
        <w:t>proceedings</w:t>
      </w:r>
    </w:p>
    <w:p w:rsidRPr="00DA15E2" w:rsidR="007F1809" w:rsidP="001B50C0" w:rsidRDefault="007F1809">
      <w:pPr>
        <w:pStyle w:val="JuH1"/>
        <w:rPr>
          <w:lang w:val="en-GB"/>
        </w:rPr>
      </w:pPr>
      <w:r w:rsidRPr="00DA15E2">
        <w:rPr>
          <w:lang w:val="en-GB"/>
        </w:rPr>
        <w:t>1.  Law no.</w:t>
      </w:r>
      <w:r w:rsidR="001861AD">
        <w:rPr>
          <w:lang w:val="en-GB"/>
        </w:rPr>
        <w:t xml:space="preserve"> </w:t>
      </w:r>
      <w:r w:rsidRPr="00DA15E2">
        <w:rPr>
          <w:lang w:val="en-GB"/>
        </w:rPr>
        <w:t>89 of</w:t>
      </w:r>
      <w:r w:rsidR="00D578AA">
        <w:rPr>
          <w:lang w:val="en-GB"/>
        </w:rPr>
        <w:t xml:space="preserve"> 24 March 2001</w:t>
      </w:r>
      <w:r w:rsidRPr="00DA15E2">
        <w:rPr>
          <w:lang w:val="en-GB"/>
        </w:rPr>
        <w:t xml:space="preserve"> </w:t>
      </w:r>
      <w:r w:rsidR="00D578AA">
        <w:rPr>
          <w:lang w:val="en-GB"/>
        </w:rPr>
        <w:t>(</w:t>
      </w:r>
      <w:r w:rsidRPr="00DA15E2">
        <w:rPr>
          <w:lang w:val="en-GB"/>
        </w:rPr>
        <w:t>the “Pinto Act”</w:t>
      </w:r>
      <w:r w:rsidR="00D578AA">
        <w:rPr>
          <w:lang w:val="en-GB"/>
        </w:rPr>
        <w:t>)</w:t>
      </w:r>
    </w:p>
    <w:p w:rsidRPr="00A07472" w:rsidR="00A07472" w:rsidP="00A07472" w:rsidRDefault="003E412B">
      <w:pPr>
        <w:pStyle w:val="JuPara"/>
        <w:rPr>
          <w:lang w:val="en-GB"/>
        </w:rPr>
      </w:pPr>
      <w:r>
        <w:fldChar w:fldCharType="begin"/>
      </w:r>
      <w:r w:rsidRPr="00A07472">
        <w:rPr>
          <w:lang w:val="en-GB"/>
        </w:rPr>
        <w:instrText xml:space="preserve"> SEQ level0 \*arabic </w:instrText>
      </w:r>
      <w:r>
        <w:fldChar w:fldCharType="separate"/>
      </w:r>
      <w:r w:rsidR="008B3B68">
        <w:rPr>
          <w:noProof/>
          <w:lang w:val="en-GB"/>
        </w:rPr>
        <w:t>62</w:t>
      </w:r>
      <w:r>
        <w:fldChar w:fldCharType="end"/>
      </w:r>
      <w:r w:rsidRPr="00A07472">
        <w:rPr>
          <w:lang w:val="en-GB"/>
        </w:rPr>
        <w:t>.  </w:t>
      </w:r>
      <w:r w:rsidRPr="00A07472" w:rsidR="00A07472">
        <w:rPr>
          <w:lang w:val="en-GB"/>
        </w:rPr>
        <w:t>Award of just satisfaction in the event of a breach of the requirement to dispose of proceedings within a reasonable time and amendment to Article 375 of the Code of Civil Procedure</w:t>
      </w:r>
    </w:p>
    <w:p w:rsidRPr="00B33F2C" w:rsidR="00B33F2C" w:rsidP="00B33F2C" w:rsidRDefault="00A07472">
      <w:pPr>
        <w:pStyle w:val="JuHArticle"/>
        <w:rPr>
          <w:sz w:val="24"/>
          <w:szCs w:val="24"/>
        </w:rPr>
      </w:pPr>
      <w:r w:rsidRPr="00B33F2C">
        <w:rPr>
          <w:sz w:val="24"/>
          <w:szCs w:val="24"/>
        </w:rPr>
        <w:t>C</w:t>
      </w:r>
      <w:r w:rsidRPr="00B33F2C" w:rsidR="00D578AA">
        <w:rPr>
          <w:sz w:val="24"/>
          <w:szCs w:val="24"/>
        </w:rPr>
        <w:t>hapter</w:t>
      </w:r>
      <w:r w:rsidRPr="00B33F2C">
        <w:rPr>
          <w:sz w:val="24"/>
          <w:szCs w:val="24"/>
        </w:rPr>
        <w:t xml:space="preserve"> II</w:t>
      </w:r>
      <w:r w:rsidRPr="00B33F2C" w:rsidR="00D578AA">
        <w:rPr>
          <w:sz w:val="24"/>
          <w:szCs w:val="24"/>
        </w:rPr>
        <w:t xml:space="preserve"> – </w:t>
      </w:r>
      <w:r w:rsidRPr="00B33F2C">
        <w:rPr>
          <w:sz w:val="24"/>
          <w:szCs w:val="24"/>
        </w:rPr>
        <w:t>Just satisfaction</w:t>
      </w:r>
    </w:p>
    <w:p w:rsidRPr="007331FE" w:rsidR="00A07472" w:rsidP="00B33F2C" w:rsidRDefault="00A07472">
      <w:pPr>
        <w:pStyle w:val="JuHArticle"/>
        <w:rPr>
          <w:rStyle w:val="JuHaChar1"/>
          <w:lang w:val="en-GB"/>
        </w:rPr>
      </w:pPr>
      <w:r w:rsidRPr="007331FE">
        <w:rPr>
          <w:rStyle w:val="JuHaChar1"/>
          <w:lang w:val="en-GB"/>
        </w:rPr>
        <w:t>Section 2</w:t>
      </w:r>
      <w:r w:rsidRPr="007331FE" w:rsidR="00D578AA">
        <w:rPr>
          <w:rStyle w:val="JuHaChar1"/>
          <w:lang w:val="en-GB"/>
        </w:rPr>
        <w:t xml:space="preserve"> – </w:t>
      </w:r>
      <w:r w:rsidRPr="007331FE">
        <w:rPr>
          <w:rStyle w:val="JuHaChar1"/>
          <w:lang w:val="en-GB"/>
        </w:rPr>
        <w:t>Entitlement to just satisfaction</w:t>
      </w:r>
    </w:p>
    <w:p w:rsidRPr="00A6562D" w:rsidR="00A07472" w:rsidP="00A07472" w:rsidRDefault="00A07472">
      <w:pPr>
        <w:pStyle w:val="JuQuotChar1"/>
      </w:pPr>
      <w:r w:rsidRPr="00A6562D">
        <w:t>“</w:t>
      </w:r>
      <w:r w:rsidR="007331FE">
        <w:t>(</w:t>
      </w:r>
      <w:r w:rsidRPr="00A6562D">
        <w:t>1</w:t>
      </w:r>
      <w:r w:rsidR="007331FE">
        <w:t>)</w:t>
      </w:r>
      <w:r w:rsidRPr="00A6562D">
        <w:t xml:space="preserve">  Anyone sustaining pecuniary or non-pecuniary damage as a result of a violation of the Convention for the Protection of Human Rights and Fundamental Freedoms, ratified by Law no. 848 of 4 August 1955, on account of a failure to comply with the </w:t>
      </w:r>
      <w:r w:rsidR="00E6191D">
        <w:t>‘</w:t>
      </w:r>
      <w:r w:rsidRPr="00A6562D">
        <w:t>reasonable</w:t>
      </w:r>
      <w:r w:rsidR="00D95BDE">
        <w:t xml:space="preserve"> </w:t>
      </w:r>
      <w:r w:rsidRPr="00A6562D">
        <w:t>time</w:t>
      </w:r>
      <w:r w:rsidR="00E6191D">
        <w:t>’</w:t>
      </w:r>
      <w:r w:rsidRPr="00A6562D">
        <w:t xml:space="preserve"> requirement in Article 6 § 1 of the Convention, shall be entitled to just satisfaction.</w:t>
      </w:r>
    </w:p>
    <w:p w:rsidR="00A07472" w:rsidP="00A07472" w:rsidRDefault="007331FE">
      <w:pPr>
        <w:pStyle w:val="JuQuotChar1"/>
      </w:pPr>
      <w:r>
        <w:t>(</w:t>
      </w:r>
      <w:r w:rsidR="00A07472">
        <w:t>2</w:t>
      </w:r>
      <w:r>
        <w:t>)</w:t>
      </w:r>
      <w:r w:rsidR="00A07472">
        <w:t>  In determining whether there has been a violation, the court shall have regard to the complexity of the case and, in the light thereof, the conduct of the parties and of the judge deciding procedural issues, and also the conduct of any authority required to participate in or contribute to the resolution of the case.</w:t>
      </w:r>
    </w:p>
    <w:p w:rsidR="00A07472" w:rsidP="00A07472" w:rsidRDefault="007331FE">
      <w:pPr>
        <w:pStyle w:val="JuQuotChar1"/>
      </w:pPr>
      <w:r>
        <w:t>(</w:t>
      </w:r>
      <w:r w:rsidR="00A07472">
        <w:t>3</w:t>
      </w:r>
      <w:r>
        <w:t>)</w:t>
      </w:r>
      <w:r w:rsidR="00A07472">
        <w:t>  The court shall assess the quantum of damage in accordance with Article 2056 of the Civil Code and shall apply the following rules:</w:t>
      </w:r>
    </w:p>
    <w:p w:rsidR="00A07472" w:rsidP="00A07472" w:rsidRDefault="00A07472">
      <w:pPr>
        <w:pStyle w:val="JuQuotSub"/>
      </w:pPr>
      <w:r>
        <w:t xml:space="preserve">(a)  only damage attributable to the period beyond the reasonable time referred to in subsection </w:t>
      </w:r>
      <w:r w:rsidR="00D95BDE">
        <w:t>(</w:t>
      </w:r>
      <w:r>
        <w:t>1</w:t>
      </w:r>
      <w:r w:rsidR="00D95BDE">
        <w:t>)</w:t>
      </w:r>
      <w:r>
        <w:t xml:space="preserve"> may be taken into account;</w:t>
      </w:r>
    </w:p>
    <w:p w:rsidR="00A07472" w:rsidP="00A07472" w:rsidRDefault="00A07472">
      <w:pPr>
        <w:pStyle w:val="JuQuotSub"/>
      </w:pPr>
      <w:r>
        <w:t>(b)  in addition to the payment of a sum of money, reparation for non-pecuniary damage shall be made by giving suitable publicity to the finding of a violation.”</w:t>
      </w:r>
    </w:p>
    <w:p w:rsidRPr="00A6562D" w:rsidR="00A07472" w:rsidP="00B33F2C" w:rsidRDefault="00A07472">
      <w:pPr>
        <w:pStyle w:val="JuHArticle"/>
      </w:pPr>
      <w:r w:rsidRPr="00A6562D">
        <w:t>Section 3</w:t>
      </w:r>
      <w:r w:rsidR="00D578AA">
        <w:t xml:space="preserve"> – </w:t>
      </w:r>
      <w:r w:rsidRPr="00A6562D">
        <w:t>Procedure</w:t>
      </w:r>
    </w:p>
    <w:p w:rsidR="00A07472" w:rsidP="00A07472" w:rsidRDefault="00A07472">
      <w:pPr>
        <w:pStyle w:val="JuQuotChar1"/>
      </w:pPr>
      <w:r>
        <w:t>“</w:t>
      </w:r>
      <w:r w:rsidR="007331FE">
        <w:t>(</w:t>
      </w:r>
      <w:r>
        <w:t>1</w:t>
      </w:r>
      <w:r w:rsidR="007331FE">
        <w:t>)</w:t>
      </w:r>
      <w:r>
        <w:t>  Claims for just satisfaction shall be lodged with the court of appeal in which the judge sits who has jurisdiction under Article 11 of the Code of Criminal Procedure to try cases concerning members of the judiciary in the district where the case in which the violation is alleged to have occurred was decided or discontinued at the merits stage or is still pending.</w:t>
      </w:r>
    </w:p>
    <w:p w:rsidR="00A07472" w:rsidP="00A07472" w:rsidRDefault="007331FE">
      <w:pPr>
        <w:pStyle w:val="JuQuotChar1"/>
      </w:pPr>
      <w:r>
        <w:t>(</w:t>
      </w:r>
      <w:r w:rsidR="00A07472">
        <w:t>2</w:t>
      </w:r>
      <w:r>
        <w:t>)</w:t>
      </w:r>
      <w:r w:rsidR="00A07472">
        <w:t>  The claim shall be made on an application lodged with the registry of the court of appeal by a lawyer holding a special authority containing all the information prescribed by Article 125 of the Code of Civil Procedure.</w:t>
      </w:r>
    </w:p>
    <w:p w:rsidR="00A07472" w:rsidP="00A07472" w:rsidRDefault="007331FE">
      <w:pPr>
        <w:pStyle w:val="JuQuotChar1"/>
      </w:pPr>
      <w:r>
        <w:t>(</w:t>
      </w:r>
      <w:r w:rsidR="00A07472">
        <w:t>3</w:t>
      </w:r>
      <w:r>
        <w:t>)</w:t>
      </w:r>
      <w:r w:rsidR="00A07472">
        <w:t>  The application shall be made against the Minister of Justice where the alleged violation has taken place in proceedings in the ordinary courts, the Minister of Defence where it has taken place in proceedings before the military courts and the Finance Minister where it has taken place in proceedings before the tax commissioners. In all other cases, the application shall be made against the Prime Minister.</w:t>
      </w:r>
    </w:p>
    <w:p w:rsidR="00A07472" w:rsidP="00A07472" w:rsidRDefault="007331FE">
      <w:pPr>
        <w:pStyle w:val="JuQuotChar1"/>
      </w:pPr>
      <w:r>
        <w:t>(</w:t>
      </w:r>
      <w:r w:rsidR="00A07472">
        <w:t>4</w:t>
      </w:r>
      <w:r>
        <w:t>)</w:t>
      </w:r>
      <w:r w:rsidR="00A07472">
        <w:t xml:space="preserve">  The court of appeal shall hear the application in accordance with Articles 737 et seq. of the Code of Civil Procedure. The application and the order setting the case down for hearing shall be served by the applicant on the defendant authority at its elected domicile at the offices of State Counsel </w:t>
      </w:r>
      <w:r w:rsidR="00D95BDE">
        <w:t>[</w:t>
      </w:r>
      <w:r w:rsidR="00A07472">
        <w:rPr>
          <w:i/>
        </w:rPr>
        <w:t>Avvocatura dello Stato</w:t>
      </w:r>
      <w:r w:rsidR="00D95BDE">
        <w:t>]</w:t>
      </w:r>
      <w:r w:rsidR="00A07472">
        <w:t xml:space="preserve"> at least fifteen days prior to the date of the hearing before the Chamber.</w:t>
      </w:r>
    </w:p>
    <w:p w:rsidR="00A07472" w:rsidP="00A07472" w:rsidRDefault="007331FE">
      <w:pPr>
        <w:pStyle w:val="JuQuotChar1"/>
      </w:pPr>
      <w:r>
        <w:t>(</w:t>
      </w:r>
      <w:r w:rsidR="00A07472">
        <w:t>5</w:t>
      </w:r>
      <w:r>
        <w:t>)</w:t>
      </w:r>
      <w:r w:rsidR="00A07472">
        <w:t xml:space="preserve">  The parties may apply to the court for an order for production of all or part of the procedural and other documents from the proceedings in which the violation referred to in section 2 is alleged to have occurred and they and their lawyers shall be entitled to be heard by the court in private if they attend the hearing. The parties may lodge memorials and documents up </w:t>
      </w:r>
      <w:r w:rsidR="00226A31">
        <w:t>until</w:t>
      </w:r>
      <w:r w:rsidR="00A07472">
        <w:t xml:space="preserve"> five days before the date set for the hearing or until expiry of the time allowed by the court of appeal for that purpose on an application by the parties.</w:t>
      </w:r>
    </w:p>
    <w:p w:rsidR="00A07472" w:rsidP="00A07472" w:rsidRDefault="007331FE">
      <w:pPr>
        <w:pStyle w:val="JuQuotChar1"/>
      </w:pPr>
      <w:r>
        <w:t>(</w:t>
      </w:r>
      <w:r w:rsidR="00A07472">
        <w:t>6</w:t>
      </w:r>
      <w:r>
        <w:t>)</w:t>
      </w:r>
      <w:r w:rsidR="00A07472">
        <w:t>  The court shall deliver a decision within four months after the application is lodged. An appeal shall lie to the Court of Cassation. The decision shall be enforceable immediately.</w:t>
      </w:r>
    </w:p>
    <w:p w:rsidR="00A07472" w:rsidP="00A07472" w:rsidRDefault="007331FE">
      <w:pPr>
        <w:pStyle w:val="JuQuotChar1"/>
      </w:pPr>
      <w:r>
        <w:t>(</w:t>
      </w:r>
      <w:r w:rsidR="00A07472">
        <w:t>7</w:t>
      </w:r>
      <w:r>
        <w:t>)</w:t>
      </w:r>
      <w:r w:rsidR="00A07472">
        <w:t xml:space="preserve">  To the extent that resources permit, payment of compensation to those entitled shall commence on </w:t>
      </w:r>
      <w:smartTag w:uri="urn:schemas-microsoft-com:office:smarttags" w:element="date">
        <w:smartTagPr>
          <w:attr w:name="Month" w:val="1"/>
          <w:attr w:name="Day" w:val="1"/>
          <w:attr w:name="Year" w:val="2002"/>
        </w:smartTagPr>
        <w:r w:rsidR="00A07472">
          <w:t xml:space="preserve">1 January </w:t>
        </w:r>
        <w:smartTag w:uri="urn:schemas-microsoft-com:office:smarttags" w:element="metricconverter">
          <w:smartTagPr>
            <w:attr w:name="ProductID" w:val="2002.”"/>
          </w:smartTagPr>
          <w:r w:rsidR="00A07472">
            <w:t>2002</w:t>
          </w:r>
        </w:smartTag>
      </w:smartTag>
      <w:r w:rsidR="00A07472">
        <w:t>.”</w:t>
      </w:r>
    </w:p>
    <w:p w:rsidRPr="00A6562D" w:rsidR="00A07472" w:rsidP="00B33F2C" w:rsidRDefault="006E0CF6">
      <w:pPr>
        <w:pStyle w:val="JuHArticle"/>
      </w:pPr>
      <w:r>
        <w:t xml:space="preserve">Section 4 – </w:t>
      </w:r>
      <w:r w:rsidRPr="00A6562D" w:rsidR="00A07472">
        <w:t>Time-limits and procedures for lodging applications</w:t>
      </w:r>
    </w:p>
    <w:p w:rsidR="00A07472" w:rsidP="00A07472" w:rsidRDefault="00A07472">
      <w:pPr>
        <w:pStyle w:val="JuQuotChar1"/>
      </w:pPr>
      <w:r>
        <w:t>“A claim for just satisfaction may be lodged while the proceedings in which the violation is alleged to have occurred are pending or within six months from the date when the decision ending the proceedings becomes final. Claims lodged after that date shall be time-barred.”</w:t>
      </w:r>
    </w:p>
    <w:p w:rsidRPr="006E0CF6" w:rsidR="00A07472" w:rsidP="00B33F2C" w:rsidRDefault="006E0CF6">
      <w:pPr>
        <w:pStyle w:val="JuHArticle"/>
      </w:pPr>
      <w:r w:rsidRPr="006E0CF6">
        <w:t xml:space="preserve">Section 5 – </w:t>
      </w:r>
      <w:r w:rsidRPr="006E0CF6" w:rsidR="00A07472">
        <w:t>Communications</w:t>
      </w:r>
    </w:p>
    <w:p w:rsidR="008C0F9B" w:rsidP="00A07472" w:rsidRDefault="00A07472">
      <w:pPr>
        <w:pStyle w:val="JuQuotChar1"/>
      </w:pPr>
      <w:r>
        <w:t>“If the court decides to allow an application, its decision shall be communicated by the registry to the parties, to State Counsel at the Court of Audit to enable him to start an investigation into liability, and to the authorities responsible for deciding whether to institute disciplinary proceedings against the civil servants involved in th</w:t>
      </w:r>
      <w:r w:rsidR="006E0CF6">
        <w:t>e proceedings in any capacity.”</w:t>
      </w:r>
    </w:p>
    <w:p w:rsidRPr="006E0CF6" w:rsidR="00A07472" w:rsidP="00B33F2C" w:rsidRDefault="00A07472">
      <w:pPr>
        <w:pStyle w:val="JuHArticle"/>
      </w:pPr>
      <w:r w:rsidRPr="006E0CF6">
        <w:t xml:space="preserve">Section 6 </w:t>
      </w:r>
      <w:r w:rsidRPr="006E0CF6" w:rsidR="006E0CF6">
        <w:t xml:space="preserve">– </w:t>
      </w:r>
      <w:r w:rsidRPr="006E0CF6">
        <w:t>Transitional provisions</w:t>
      </w:r>
    </w:p>
    <w:p w:rsidR="00A07472" w:rsidP="00A07472" w:rsidRDefault="00A07472">
      <w:pPr>
        <w:pStyle w:val="JuQuotChar1"/>
      </w:pPr>
      <w:r>
        <w:t>“</w:t>
      </w:r>
      <w:r w:rsidR="007331FE">
        <w:t>(</w:t>
      </w:r>
      <w:r>
        <w:t>1</w:t>
      </w:r>
      <w:r w:rsidR="007331FE">
        <w:t>)</w:t>
      </w:r>
      <w:r>
        <w:t xml:space="preserve">  Within six months after the entry into force of this Act, anyone who has lodged an application with the European Court of Human Rights in due time complaining of a violation of the </w:t>
      </w:r>
      <w:r w:rsidR="00E6191D">
        <w:t>‘</w:t>
      </w:r>
      <w:r>
        <w:t>reasonable</w:t>
      </w:r>
      <w:r w:rsidR="00D95BDE">
        <w:t xml:space="preserve"> </w:t>
      </w:r>
      <w:r>
        <w:t>time</w:t>
      </w:r>
      <w:r w:rsidR="00E6191D">
        <w:t>’</w:t>
      </w:r>
      <w:r>
        <w:t xml:space="preserve"> requirement contained in Article 6 § 1 of the Convention for the Protection of Human Rights and Fundamental Freedoms, ratified by Law no. 848 of 4 August 1955, shall be entitled to lodge a claim under section 3 hereof provided that the application has not by then been declared admissible by the European Court. In such cases, the application to the court of appeal must state when the application to the said </w:t>
      </w:r>
      <w:smartTag w:uri="urn:schemas-microsoft-com:office:smarttags" w:element="Street">
        <w:smartTag w:uri="urn:schemas-microsoft-com:office:smarttags" w:element="address">
          <w:r>
            <w:t>European Court</w:t>
          </w:r>
        </w:smartTag>
      </w:smartTag>
      <w:r>
        <w:t xml:space="preserve"> was made.</w:t>
      </w:r>
    </w:p>
    <w:p w:rsidR="00A07472" w:rsidP="00A07472" w:rsidRDefault="007331FE">
      <w:pPr>
        <w:pStyle w:val="JuQuotChar1"/>
      </w:pPr>
      <w:r>
        <w:t>(</w:t>
      </w:r>
      <w:r w:rsidR="00A07472">
        <w:t>2</w:t>
      </w:r>
      <w:r>
        <w:t>)</w:t>
      </w:r>
      <w:r w:rsidR="00A07472">
        <w:t xml:space="preserve">  The registry of the relevant court shall inform the Minister for Foreign Affairs without delay of any claim lodged in accordance with section 3 and within the period laid down in subsection </w:t>
      </w:r>
      <w:r>
        <w:t>(</w:t>
      </w:r>
      <w:r w:rsidR="00A07472">
        <w:t>1</w:t>
      </w:r>
      <w:r>
        <w:t>)</w:t>
      </w:r>
      <w:r w:rsidR="00A07472">
        <w:t xml:space="preserve"> of this section.”</w:t>
      </w:r>
    </w:p>
    <w:p w:rsidRPr="006E0CF6" w:rsidR="00A07472" w:rsidP="00B33F2C" w:rsidRDefault="006E0CF6">
      <w:pPr>
        <w:pStyle w:val="JuHArticle"/>
      </w:pPr>
      <w:r w:rsidRPr="006E0CF6">
        <w:t xml:space="preserve">Section 7 – </w:t>
      </w:r>
      <w:r w:rsidRPr="006E0CF6" w:rsidR="00A07472">
        <w:t>Financial provisions</w:t>
      </w:r>
    </w:p>
    <w:p w:rsidR="00A07472" w:rsidP="00A07472" w:rsidRDefault="00A07472">
      <w:pPr>
        <w:pStyle w:val="JuQuotChar1"/>
      </w:pPr>
      <w:r>
        <w:t>“</w:t>
      </w:r>
      <w:r w:rsidR="007331FE">
        <w:t>(</w:t>
      </w:r>
      <w:r>
        <w:t>1</w:t>
      </w:r>
      <w:r w:rsidR="007331FE">
        <w:t>)</w:t>
      </w:r>
      <w:r>
        <w:t xml:space="preserve">  The financial cost of implementing this Act, which is put at 12,705,000,000 Italian lire from 2002, shall be met by releasing funds entered in the three-year budget 2001-03 in the chapter concerning the basic current-liability estimates from the </w:t>
      </w:r>
      <w:r w:rsidR="00E6191D">
        <w:t>‘</w:t>
      </w:r>
      <w:r>
        <w:t>special fund</w:t>
      </w:r>
      <w:r w:rsidR="00E6191D">
        <w:t>’</w:t>
      </w:r>
      <w:r>
        <w:t xml:space="preserve"> in the year 2001 forecast of the Ministry of the Treasury, Economy and Financial Planning. Treasury deposits shall be set aside for that purpose.</w:t>
      </w:r>
    </w:p>
    <w:p w:rsidR="007F1809" w:rsidP="007F1809" w:rsidRDefault="007331FE">
      <w:pPr>
        <w:pStyle w:val="JuQuotChar1"/>
      </w:pPr>
      <w:r>
        <w:t>(</w:t>
      </w:r>
      <w:r w:rsidR="00A07472">
        <w:t>2</w:t>
      </w:r>
      <w:r>
        <w:t>)</w:t>
      </w:r>
      <w:r w:rsidRPr="004818F5" w:rsidR="00A07472">
        <w:t> </w:t>
      </w:r>
      <w:r w:rsidR="00A07472">
        <w:t> </w:t>
      </w:r>
      <w:r w:rsidRPr="004818F5" w:rsidR="00A07472">
        <w:t>The Ministry of the Treasury, Economy and Financial Planning is authorised to make the appropriate budgetary adjustments by decree.</w:t>
      </w:r>
      <w:r w:rsidR="00A07472">
        <w:t>”</w:t>
      </w:r>
    </w:p>
    <w:p w:rsidRPr="000A17C4" w:rsidR="007F1809" w:rsidP="00124007" w:rsidRDefault="003E412B">
      <w:pPr>
        <w:pStyle w:val="JuH1"/>
        <w:outlineLvl w:val="0"/>
        <w:rPr>
          <w:lang w:val="en-GB"/>
        </w:rPr>
      </w:pPr>
      <w:r w:rsidRPr="000A17C4">
        <w:rPr>
          <w:lang w:val="en-GB"/>
        </w:rPr>
        <w:t>2.  </w:t>
      </w:r>
      <w:r w:rsidRPr="000A17C4" w:rsidR="007F1809">
        <w:rPr>
          <w:lang w:val="en-GB"/>
        </w:rPr>
        <w:t>Extracts from Italian case-law</w:t>
      </w:r>
    </w:p>
    <w:p w:rsidRPr="008F3716" w:rsidR="007F1809" w:rsidP="000842EC" w:rsidRDefault="00143E15">
      <w:pPr>
        <w:pStyle w:val="JuHa"/>
        <w:rPr>
          <w:lang w:val="en-GB"/>
        </w:rPr>
      </w:pPr>
      <w:r>
        <w:rPr>
          <w:lang w:val="en-GB"/>
        </w:rPr>
        <w:t>(</w:t>
      </w:r>
      <w:r w:rsidRPr="008F3716" w:rsidR="008F3716">
        <w:rPr>
          <w:lang w:val="en-GB"/>
        </w:rPr>
        <w:t>a)</w:t>
      </w:r>
      <w:r w:rsidRPr="00272636" w:rsidR="008F3716">
        <w:rPr>
          <w:lang w:val="en-GB"/>
        </w:rPr>
        <w:t>  </w:t>
      </w:r>
      <w:r w:rsidRPr="008F3716" w:rsidR="007F1809">
        <w:rPr>
          <w:lang w:val="en-GB"/>
        </w:rPr>
        <w:t>The departure from precedent of 2004</w:t>
      </w:r>
    </w:p>
    <w:p w:rsidRPr="007F1809" w:rsidR="007F1809" w:rsidP="007F1809" w:rsidRDefault="007F1809">
      <w:pPr>
        <w:pStyle w:val="JuParaChar1Char"/>
        <w:rPr>
          <w:rStyle w:val="JuQuotChar"/>
          <w:lang w:val="en-GB"/>
        </w:rPr>
      </w:pPr>
      <w:r>
        <w:fldChar w:fldCharType="begin"/>
      </w:r>
      <w:r>
        <w:instrText xml:space="preserve"> SEQ level0 \*arabic </w:instrText>
      </w:r>
      <w:r>
        <w:fldChar w:fldCharType="separate"/>
      </w:r>
      <w:r w:rsidR="008B3B68">
        <w:rPr>
          <w:noProof/>
        </w:rPr>
        <w:t>63</w:t>
      </w:r>
      <w:r>
        <w:fldChar w:fldCharType="end"/>
      </w:r>
      <w:r>
        <w:t>.  </w:t>
      </w:r>
      <w:r w:rsidRPr="00A64350">
        <w:t>On appeal from decisions delivered by</w:t>
      </w:r>
      <w:r>
        <w:t xml:space="preserve"> the courts of appeal in “Pinto” </w:t>
      </w:r>
      <w:r w:rsidRPr="00A64350">
        <w:t>proceedings, the Court of Cassation, sitting as a full court</w:t>
      </w:r>
      <w:r w:rsidR="003C3A9D">
        <w:t xml:space="preserve"> (</w:t>
      </w:r>
      <w:r w:rsidRPr="003C3A9D" w:rsidR="003C3A9D">
        <w:rPr>
          <w:i/>
        </w:rPr>
        <w:t>Sezioni Unite</w:t>
      </w:r>
      <w:r w:rsidR="003C3A9D">
        <w:t>)</w:t>
      </w:r>
      <w:r w:rsidRPr="00A64350">
        <w:t xml:space="preserve">, gave four </w:t>
      </w:r>
      <w:r w:rsidRPr="00836DCE">
        <w:t>judgments</w:t>
      </w:r>
      <w:r w:rsidRPr="00A64350">
        <w:t xml:space="preserve"> (nos. 1338, 1339, 1340 and 1341) of 27 November 2003, the texts of which were deposited with the registry on 26 January 2004, </w:t>
      </w:r>
      <w:r w:rsidRPr="0002768C">
        <w:t xml:space="preserve">quashing the </w:t>
      </w:r>
      <w:r>
        <w:t>appeal</w:t>
      </w:r>
      <w:r w:rsidRPr="0002768C">
        <w:t xml:space="preserve"> court</w:t>
      </w:r>
      <w:r w:rsidR="00E6191D">
        <w:t>’</w:t>
      </w:r>
      <w:r w:rsidRPr="0002768C">
        <w:t xml:space="preserve">s </w:t>
      </w:r>
      <w:r>
        <w:t>decision</w:t>
      </w:r>
      <w:r w:rsidRPr="0002768C">
        <w:t xml:space="preserve"> and remitting the case for </w:t>
      </w:r>
      <w:r>
        <w:t xml:space="preserve">a rehearing. It held that “the case-law of the </w:t>
      </w:r>
      <w:smartTag w:uri="urn:schemas-microsoft-com:office:smarttags" w:element="Street">
        <w:smartTag w:uri="urn:schemas-microsoft-com:office:smarttags" w:element="address">
          <w:r w:rsidRPr="007F1809">
            <w:rPr>
              <w:rStyle w:val="JuQuotChar"/>
              <w:lang w:val="en-GB"/>
            </w:rPr>
            <w:t>Strasbourg Court</w:t>
          </w:r>
        </w:smartTag>
      </w:smartTag>
      <w:r w:rsidRPr="007F1809">
        <w:rPr>
          <w:rStyle w:val="JuQuotChar"/>
          <w:lang w:val="en-GB"/>
        </w:rPr>
        <w:t xml:space="preserve"> is binding on</w:t>
      </w:r>
      <w:r w:rsidR="00C50DE6">
        <w:rPr>
          <w:rStyle w:val="JuQuotChar"/>
          <w:lang w:val="en-GB"/>
        </w:rPr>
        <w:t xml:space="preserve"> the</w:t>
      </w:r>
      <w:r w:rsidRPr="007F1809">
        <w:rPr>
          <w:rStyle w:val="JuQuotChar"/>
          <w:lang w:val="en-GB"/>
        </w:rPr>
        <w:t xml:space="preserve"> Italian courts regarding the application of Law no. 89/2001”.</w:t>
      </w:r>
    </w:p>
    <w:p w:rsidR="007F1809" w:rsidP="00124007" w:rsidRDefault="007F1809">
      <w:pPr>
        <w:pStyle w:val="JuParaChar1Char"/>
        <w:outlineLvl w:val="0"/>
      </w:pPr>
      <w:r>
        <w:t>I</w:t>
      </w:r>
      <w:r w:rsidRPr="00844539">
        <w:t>n its judgment no</w:t>
      </w:r>
      <w:r>
        <w:t>.</w:t>
      </w:r>
      <w:r w:rsidRPr="00844539">
        <w:t xml:space="preserve"> 1340 </w:t>
      </w:r>
      <w:r>
        <w:t xml:space="preserve">it </w:t>
      </w:r>
      <w:r w:rsidRPr="00844539">
        <w:t>affirmed</w:t>
      </w:r>
      <w:r w:rsidRPr="006E0CF6">
        <w:t>,</w:t>
      </w:r>
      <w:r w:rsidRPr="00844539">
        <w:rPr>
          <w:i/>
        </w:rPr>
        <w:t xml:space="preserve"> inter alia</w:t>
      </w:r>
      <w:r w:rsidRPr="006E0CF6">
        <w:t>,</w:t>
      </w:r>
      <w:r w:rsidRPr="00844539">
        <w:t xml:space="preserve"> the princi</w:t>
      </w:r>
      <w:r w:rsidR="00127720">
        <w:t>ple that</w:t>
      </w:r>
    </w:p>
    <w:p w:rsidR="007F1809" w:rsidP="007F1809" w:rsidRDefault="007F1809">
      <w:pPr>
        <w:pStyle w:val="JuQuotChar1"/>
      </w:pPr>
      <w:r w:rsidRPr="00465F82">
        <w:t xml:space="preserve">“the </w:t>
      </w:r>
      <w:r>
        <w:t>court of appeal</w:t>
      </w:r>
      <w:r w:rsidR="00E6191D">
        <w:t>’</w:t>
      </w:r>
      <w:r>
        <w:t>s determination</w:t>
      </w:r>
      <w:r w:rsidRPr="00465F82">
        <w:t xml:space="preserve"> of</w:t>
      </w:r>
      <w:r>
        <w:t xml:space="preserve"> non-pecuniary damage in accordance with section 2 of Law no. 89/2001, although inherently based on equitable principles, must be </w:t>
      </w:r>
      <w:r w:rsidR="006E0CF6">
        <w:t>made</w:t>
      </w:r>
      <w:r>
        <w:t xml:space="preserve"> in a legally defined framework since reference has to be made to the amounts awarded, in similar cases, by the </w:t>
      </w:r>
      <w:smartTag w:uri="urn:schemas-microsoft-com:office:smarttags" w:element="Street">
        <w:smartTag w:uri="urn:schemas-microsoft-com:office:smarttags" w:element="address">
          <w:r>
            <w:t>Strasbourg Court</w:t>
          </w:r>
        </w:smartTag>
      </w:smartTag>
      <w:r>
        <w:t>. Some divergence is permissible, within reason”</w:t>
      </w:r>
      <w:r w:rsidR="00005917">
        <w:t>.</w:t>
      </w:r>
    </w:p>
    <w:p w:rsidR="00967E1F" w:rsidP="00127720" w:rsidRDefault="00127720">
      <w:pPr>
        <w:pStyle w:val="JuParaChar1Char"/>
        <w:rPr>
          <w:rStyle w:val="JuParaChar1Char1"/>
          <w:lang w:val="en-GB"/>
        </w:rPr>
      </w:pPr>
      <w:r>
        <w:fldChar w:fldCharType="begin"/>
      </w:r>
      <w:r>
        <w:instrText xml:space="preserve"> SEQ level0 \*arabic </w:instrText>
      </w:r>
      <w:r>
        <w:fldChar w:fldCharType="separate"/>
      </w:r>
      <w:r w:rsidR="008B3B68">
        <w:rPr>
          <w:noProof/>
        </w:rPr>
        <w:t>64</w:t>
      </w:r>
      <w:r>
        <w:fldChar w:fldCharType="end"/>
      </w:r>
      <w:r>
        <w:t>. </w:t>
      </w:r>
      <w:r w:rsidR="00AD16B3">
        <w:rPr>
          <w:iCs/>
        </w:rPr>
        <w:t> </w:t>
      </w:r>
      <w:r w:rsidRPr="00DA15E2" w:rsidR="007F1809">
        <w:rPr>
          <w:rStyle w:val="JuParaChar1Char1"/>
          <w:lang w:val="en-GB"/>
        </w:rPr>
        <w:t>Extracts from the plenary Court of Cassation</w:t>
      </w:r>
      <w:r w:rsidR="00E6191D">
        <w:rPr>
          <w:rStyle w:val="JuParaChar1Char1"/>
          <w:lang w:val="en-GB"/>
        </w:rPr>
        <w:t>’</w:t>
      </w:r>
      <w:r w:rsidRPr="00DA15E2" w:rsidR="007F1809">
        <w:rPr>
          <w:rStyle w:val="JuParaChar1Char1"/>
          <w:lang w:val="en-GB"/>
        </w:rPr>
        <w:t xml:space="preserve">s judgment </w:t>
      </w:r>
      <w:r w:rsidRPr="00DA15E2" w:rsidR="00181414">
        <w:rPr>
          <w:rStyle w:val="JuParaChar1Char1"/>
          <w:lang w:val="en-GB"/>
        </w:rPr>
        <w:t>no.</w:t>
      </w:r>
      <w:r w:rsidR="00F051D4">
        <w:rPr>
          <w:rStyle w:val="JuParaChar1Char1"/>
          <w:lang w:val="en-GB"/>
        </w:rPr>
        <w:t xml:space="preserve"> </w:t>
      </w:r>
      <w:r w:rsidRPr="00DA15E2" w:rsidR="00181414">
        <w:rPr>
          <w:rStyle w:val="JuParaChar1Char1"/>
          <w:lang w:val="en-GB"/>
        </w:rPr>
        <w:t>1339 deposited with the registry on</w:t>
      </w:r>
      <w:r w:rsidRPr="00DA15E2" w:rsidR="007F1809">
        <w:rPr>
          <w:rStyle w:val="JuParaChar1Char1"/>
          <w:lang w:val="en-GB"/>
        </w:rPr>
        <w:t xml:space="preserve"> 26 January 2004</w:t>
      </w:r>
      <w:r w:rsidR="006E0CF6">
        <w:rPr>
          <w:rStyle w:val="JuParaChar1Char1"/>
          <w:lang w:val="en-GB"/>
        </w:rPr>
        <w:t xml:space="preserve"> read as follows:</w:t>
      </w:r>
    </w:p>
    <w:p w:rsidRPr="00A855E0" w:rsidR="003C3A9D" w:rsidP="003C3A9D" w:rsidRDefault="006E0CF6">
      <w:pPr>
        <w:pStyle w:val="JuQuot"/>
        <w:rPr>
          <w:iCs/>
        </w:rPr>
      </w:pPr>
      <w:r>
        <w:rPr>
          <w:iCs/>
        </w:rPr>
        <w:t>“</w:t>
      </w:r>
      <w:r w:rsidR="00B767E4">
        <w:rPr>
          <w:iCs/>
        </w:rPr>
        <w:t>2.  </w:t>
      </w:r>
      <w:r w:rsidRPr="00A855E0" w:rsidR="003C3A9D">
        <w:rPr>
          <w:iCs/>
        </w:rPr>
        <w:t xml:space="preserve">The present application poses the </w:t>
      </w:r>
      <w:r w:rsidR="003C3A9D">
        <w:rPr>
          <w:iCs/>
        </w:rPr>
        <w:t xml:space="preserve">fundamental </w:t>
      </w:r>
      <w:r w:rsidRPr="00A855E0" w:rsidR="003C3A9D">
        <w:rPr>
          <w:iCs/>
        </w:rPr>
        <w:t xml:space="preserve">question of what legal effect must be given – in implementing </w:t>
      </w:r>
      <w:r w:rsidR="003C3A9D">
        <w:rPr>
          <w:iCs/>
        </w:rPr>
        <w:t>Law n</w:t>
      </w:r>
      <w:r w:rsidRPr="00A855E0" w:rsidR="003C3A9D">
        <w:rPr>
          <w:iCs/>
        </w:rPr>
        <w:t>o. 89</w:t>
      </w:r>
      <w:r w:rsidRPr="002957B5" w:rsidR="002957B5">
        <w:rPr>
          <w:iCs/>
        </w:rPr>
        <w:t xml:space="preserve"> </w:t>
      </w:r>
      <w:r w:rsidR="002957B5">
        <w:rPr>
          <w:iCs/>
        </w:rPr>
        <w:t>of 24 March 2001</w:t>
      </w:r>
      <w:r w:rsidRPr="00A855E0" w:rsidR="003C3A9D">
        <w:rPr>
          <w:iCs/>
        </w:rPr>
        <w:t xml:space="preserve">, and in particular in determining the non-pecuniary damage arising out of the breach of the reasonable length of proceedings requirement – to the </w:t>
      </w:r>
      <w:r w:rsidR="003C3A9D">
        <w:rPr>
          <w:iCs/>
        </w:rPr>
        <w:t>judgments</w:t>
      </w:r>
      <w:r w:rsidRPr="00A855E0" w:rsidR="003C3A9D">
        <w:rPr>
          <w:iCs/>
        </w:rPr>
        <w:t xml:space="preserve"> of the European Court of Human Rights, whether considered generally as interpretative guidelines which the said Court has </w:t>
      </w:r>
      <w:r w:rsidR="003C3A9D">
        <w:rPr>
          <w:iCs/>
        </w:rPr>
        <w:t>laid down</w:t>
      </w:r>
      <w:r w:rsidRPr="00A855E0" w:rsidR="003C3A9D">
        <w:rPr>
          <w:iCs/>
        </w:rPr>
        <w:t xml:space="preserve"> with regard to the consequences of the said violation, or with reference to </w:t>
      </w:r>
      <w:r w:rsidR="003C3A9D">
        <w:rPr>
          <w:iCs/>
        </w:rPr>
        <w:t>a</w:t>
      </w:r>
      <w:r w:rsidRPr="00A855E0" w:rsidR="003C3A9D">
        <w:rPr>
          <w:iCs/>
        </w:rPr>
        <w:t xml:space="preserve"> specific case in which the European Court has already had occasion to give a judgment on the delay in reaching a decision.</w:t>
      </w:r>
      <w:r w:rsidR="003C3A9D">
        <w:rPr>
          <w:iCs/>
        </w:rPr>
        <w:t xml:space="preserve"> ...</w:t>
      </w:r>
    </w:p>
    <w:p w:rsidR="003C3A9D" w:rsidP="003C3A9D" w:rsidRDefault="003C3A9D">
      <w:pPr>
        <w:pStyle w:val="JuQuot"/>
        <w:rPr>
          <w:iCs/>
        </w:rPr>
      </w:pPr>
      <w:r>
        <w:rPr>
          <w:iCs/>
        </w:rPr>
        <w:t>As stipulated in s</w:t>
      </w:r>
      <w:r w:rsidRPr="00A855E0">
        <w:rPr>
          <w:iCs/>
        </w:rPr>
        <w:t>ection 2</w:t>
      </w:r>
      <w:r w:rsidR="00D95BDE">
        <w:rPr>
          <w:iCs/>
        </w:rPr>
        <w:t>(</w:t>
      </w:r>
      <w:r w:rsidRPr="00A855E0">
        <w:rPr>
          <w:iCs/>
        </w:rPr>
        <w:t>1</w:t>
      </w:r>
      <w:r w:rsidR="00D95BDE">
        <w:rPr>
          <w:iCs/>
        </w:rPr>
        <w:t>)</w:t>
      </w:r>
      <w:r w:rsidRPr="00A855E0">
        <w:rPr>
          <w:iCs/>
        </w:rPr>
        <w:t xml:space="preserve"> of the said </w:t>
      </w:r>
      <w:r>
        <w:rPr>
          <w:iCs/>
        </w:rPr>
        <w:t>Law</w:t>
      </w:r>
      <w:r w:rsidRPr="00A855E0">
        <w:rPr>
          <w:iCs/>
        </w:rPr>
        <w:t xml:space="preserve">, the legal fact which gives rise to the right to the just satisfaction that it provides for is constituted by the </w:t>
      </w:r>
      <w:r w:rsidR="00E6191D">
        <w:rPr>
          <w:iCs/>
        </w:rPr>
        <w:t>‘</w:t>
      </w:r>
      <w:r w:rsidRPr="00A855E0">
        <w:rPr>
          <w:iCs/>
        </w:rPr>
        <w:t xml:space="preserve">violation of the Convention for the Protection of Human Rights and Fundamental Freedoms, ratified </w:t>
      </w:r>
      <w:r w:rsidR="00D95BDE">
        <w:rPr>
          <w:iCs/>
        </w:rPr>
        <w:t>by</w:t>
      </w:r>
      <w:r w:rsidRPr="00A855E0">
        <w:rPr>
          <w:iCs/>
        </w:rPr>
        <w:t xml:space="preserve"> </w:t>
      </w:r>
      <w:r>
        <w:rPr>
          <w:iCs/>
        </w:rPr>
        <w:t>Law</w:t>
      </w:r>
      <w:r w:rsidRPr="00A855E0">
        <w:rPr>
          <w:iCs/>
        </w:rPr>
        <w:t xml:space="preserve"> </w:t>
      </w:r>
      <w:r>
        <w:rPr>
          <w:iCs/>
        </w:rPr>
        <w:t>no</w:t>
      </w:r>
      <w:r w:rsidRPr="00A855E0">
        <w:rPr>
          <w:iCs/>
        </w:rPr>
        <w:t>. 848</w:t>
      </w:r>
      <w:r w:rsidRPr="00D95BDE" w:rsidR="00D95BDE">
        <w:rPr>
          <w:iCs/>
        </w:rPr>
        <w:t xml:space="preserve"> </w:t>
      </w:r>
      <w:r w:rsidRPr="00A855E0" w:rsidR="00D95BDE">
        <w:rPr>
          <w:iCs/>
        </w:rPr>
        <w:t>of 4 August 1955</w:t>
      </w:r>
      <w:r w:rsidRPr="00A855E0">
        <w:rPr>
          <w:iCs/>
        </w:rPr>
        <w:t xml:space="preserve">, </w:t>
      </w:r>
      <w:r w:rsidR="00D95BDE">
        <w:rPr>
          <w:iCs/>
        </w:rPr>
        <w:t>on account of a</w:t>
      </w:r>
      <w:r w:rsidRPr="00A855E0">
        <w:rPr>
          <w:iCs/>
        </w:rPr>
        <w:t xml:space="preserve"> failure to </w:t>
      </w:r>
      <w:r>
        <w:rPr>
          <w:iCs/>
        </w:rPr>
        <w:t>comply with</w:t>
      </w:r>
      <w:r w:rsidRPr="00A855E0">
        <w:rPr>
          <w:iCs/>
        </w:rPr>
        <w:t xml:space="preserve"> the </w:t>
      </w:r>
      <w:r w:rsidR="00D95BDE">
        <w:rPr>
          <w:iCs/>
        </w:rPr>
        <w:t>“</w:t>
      </w:r>
      <w:r w:rsidRPr="00A855E0">
        <w:rPr>
          <w:iCs/>
        </w:rPr>
        <w:t xml:space="preserve">reasonable </w:t>
      </w:r>
      <w:r>
        <w:rPr>
          <w:iCs/>
        </w:rPr>
        <w:t>time</w:t>
      </w:r>
      <w:r w:rsidR="00D95BDE">
        <w:rPr>
          <w:iCs/>
        </w:rPr>
        <w:t>”</w:t>
      </w:r>
      <w:r>
        <w:rPr>
          <w:iCs/>
        </w:rPr>
        <w:t xml:space="preserve"> </w:t>
      </w:r>
      <w:r w:rsidR="00D95BDE">
        <w:rPr>
          <w:iCs/>
        </w:rPr>
        <w:t xml:space="preserve">requirement </w:t>
      </w:r>
      <w:r>
        <w:rPr>
          <w:iCs/>
        </w:rPr>
        <w:t>in Article 6</w:t>
      </w:r>
      <w:r w:rsidR="00D95BDE">
        <w:rPr>
          <w:iCs/>
        </w:rPr>
        <w:t xml:space="preserve"> §</w:t>
      </w:r>
      <w:r w:rsidR="005A2A87">
        <w:rPr>
          <w:iCs/>
        </w:rPr>
        <w:t xml:space="preserve"> </w:t>
      </w:r>
      <w:r w:rsidRPr="00A855E0">
        <w:rPr>
          <w:iCs/>
        </w:rPr>
        <w:t>1 of the Convention</w:t>
      </w:r>
      <w:r w:rsidR="00E6191D">
        <w:rPr>
          <w:iCs/>
        </w:rPr>
        <w:t>’</w:t>
      </w:r>
      <w:r w:rsidR="00B87C6D">
        <w:rPr>
          <w:iCs/>
        </w:rPr>
        <w:t>.</w:t>
      </w:r>
      <w:r w:rsidRPr="00A855E0">
        <w:rPr>
          <w:iCs/>
        </w:rPr>
        <w:t xml:space="preserve"> In other words, </w:t>
      </w:r>
      <w:r>
        <w:rPr>
          <w:iCs/>
        </w:rPr>
        <w:t>Law no</w:t>
      </w:r>
      <w:r w:rsidRPr="00A855E0">
        <w:rPr>
          <w:iCs/>
        </w:rPr>
        <w:t xml:space="preserve">. 89/2001 identifies the fact constituting the right to compensation </w:t>
      </w:r>
      <w:r>
        <w:rPr>
          <w:iCs/>
        </w:rPr>
        <w:t xml:space="preserve">by reference </w:t>
      </w:r>
      <w:r w:rsidRPr="00A855E0">
        <w:rPr>
          <w:iCs/>
        </w:rPr>
        <w:t xml:space="preserve">to a specific provision of the European Convention on Human Rights. This Convention instituted a Court (the European Court of Human Rights, with its seat in </w:t>
      </w:r>
      <w:smartTag w:uri="urn:schemas-microsoft-com:office:smarttags" w:element="place">
        <w:smartTag w:uri="urn:schemas-microsoft-com:office:smarttags" w:element="City">
          <w:r w:rsidRPr="00A855E0">
            <w:rPr>
              <w:iCs/>
            </w:rPr>
            <w:t>Strasbourg</w:t>
          </w:r>
        </w:smartTag>
      </w:smartTag>
      <w:r w:rsidRPr="00A855E0">
        <w:rPr>
          <w:iCs/>
        </w:rPr>
        <w:t xml:space="preserve">) to ensure compliance with the provisions contained therein (Article 19). Accordingly, the competence of the said </w:t>
      </w:r>
      <w:r w:rsidR="009218A6">
        <w:rPr>
          <w:iCs/>
        </w:rPr>
        <w:t>C</w:t>
      </w:r>
      <w:r w:rsidRPr="00A855E0">
        <w:rPr>
          <w:iCs/>
        </w:rPr>
        <w:t>ourt to determine, and therefore to interpret, the significance of the said provisions must be re</w:t>
      </w:r>
      <w:r>
        <w:rPr>
          <w:iCs/>
        </w:rPr>
        <w:t>cognised.</w:t>
      </w:r>
    </w:p>
    <w:p w:rsidRPr="00A855E0" w:rsidR="003C3A9D" w:rsidP="003C3A9D" w:rsidRDefault="003C3A9D">
      <w:pPr>
        <w:pStyle w:val="JuQuot"/>
        <w:rPr>
          <w:iCs/>
        </w:rPr>
      </w:pPr>
      <w:r w:rsidRPr="00A855E0">
        <w:rPr>
          <w:iCs/>
        </w:rPr>
        <w:t xml:space="preserve">As the fact constituting the right </w:t>
      </w:r>
      <w:r>
        <w:rPr>
          <w:iCs/>
        </w:rPr>
        <w:t>conferred</w:t>
      </w:r>
      <w:r w:rsidRPr="00A855E0">
        <w:rPr>
          <w:iCs/>
        </w:rPr>
        <w:t xml:space="preserve"> by </w:t>
      </w:r>
      <w:r>
        <w:rPr>
          <w:iCs/>
        </w:rPr>
        <w:t>Law n</w:t>
      </w:r>
      <w:r w:rsidRPr="00A855E0">
        <w:rPr>
          <w:iCs/>
        </w:rPr>
        <w:t xml:space="preserve">o. 89/2001 consists of a violation of the </w:t>
      </w:r>
      <w:r w:rsidR="00F051D4">
        <w:rPr>
          <w:iCs/>
        </w:rPr>
        <w:t>Convention</w:t>
      </w:r>
      <w:r w:rsidRPr="00A855E0">
        <w:rPr>
          <w:iCs/>
        </w:rPr>
        <w:t xml:space="preserve">, it is for the </w:t>
      </w:r>
      <w:r w:rsidR="00F051D4">
        <w:rPr>
          <w:iCs/>
        </w:rPr>
        <w:t>Strasbour</w:t>
      </w:r>
      <w:r w:rsidR="009218A6">
        <w:rPr>
          <w:iCs/>
        </w:rPr>
        <w:t>g</w:t>
      </w:r>
      <w:r w:rsidR="00F051D4">
        <w:rPr>
          <w:iCs/>
        </w:rPr>
        <w:t xml:space="preserve"> </w:t>
      </w:r>
      <w:r w:rsidRPr="00A855E0">
        <w:rPr>
          <w:iCs/>
        </w:rPr>
        <w:t xml:space="preserve">Court to determine all the elements of such a legal fact, which </w:t>
      </w:r>
      <w:r>
        <w:rPr>
          <w:iCs/>
        </w:rPr>
        <w:t>thus</w:t>
      </w:r>
      <w:r w:rsidRPr="00A855E0">
        <w:rPr>
          <w:iCs/>
        </w:rPr>
        <w:t xml:space="preserve"> ends by being </w:t>
      </w:r>
      <w:r w:rsidR="00E6191D">
        <w:rPr>
          <w:iCs/>
        </w:rPr>
        <w:t>‘</w:t>
      </w:r>
      <w:r>
        <w:rPr>
          <w:iCs/>
        </w:rPr>
        <w:t>brought into conformity</w:t>
      </w:r>
      <w:r w:rsidR="00E6191D">
        <w:rPr>
          <w:iCs/>
        </w:rPr>
        <w:t>’</w:t>
      </w:r>
      <w:r w:rsidRPr="00A855E0">
        <w:rPr>
          <w:iCs/>
        </w:rPr>
        <w:t xml:space="preserve"> by the Court, whose case-law </w:t>
      </w:r>
      <w:r>
        <w:rPr>
          <w:iCs/>
        </w:rPr>
        <w:t>is binding on</w:t>
      </w:r>
      <w:r w:rsidRPr="00A855E0">
        <w:rPr>
          <w:iCs/>
        </w:rPr>
        <w:t xml:space="preserve"> the Italian courts in so far as the application of </w:t>
      </w:r>
      <w:r>
        <w:rPr>
          <w:iCs/>
        </w:rPr>
        <w:t>Law n</w:t>
      </w:r>
      <w:r w:rsidRPr="00A855E0">
        <w:rPr>
          <w:iCs/>
        </w:rPr>
        <w:t>o.</w:t>
      </w:r>
      <w:r w:rsidR="005347B8">
        <w:rPr>
          <w:iCs/>
        </w:rPr>
        <w:t xml:space="preserve"> </w:t>
      </w:r>
      <w:r w:rsidRPr="00A855E0">
        <w:rPr>
          <w:iCs/>
        </w:rPr>
        <w:t>89/2001 is concerned.</w:t>
      </w:r>
    </w:p>
    <w:p w:rsidRPr="00A855E0" w:rsidR="003C3A9D" w:rsidP="003C3A9D" w:rsidRDefault="003C3A9D">
      <w:pPr>
        <w:pStyle w:val="JuQuot"/>
        <w:rPr>
          <w:iCs/>
        </w:rPr>
      </w:pPr>
      <w:r w:rsidRPr="00A855E0">
        <w:rPr>
          <w:iCs/>
        </w:rPr>
        <w:t xml:space="preserve">It is not necessary therefore to pose the general problem of the relationships between the Convention and the internal judicial system, which </w:t>
      </w:r>
      <w:r>
        <w:rPr>
          <w:iCs/>
        </w:rPr>
        <w:t xml:space="preserve">the Advocate-General </w:t>
      </w:r>
      <w:r w:rsidR="00F051D4">
        <w:rPr>
          <w:iCs/>
        </w:rPr>
        <w:t>[</w:t>
      </w:r>
      <w:r w:rsidRPr="00ED4135">
        <w:rPr>
          <w:i/>
          <w:iCs/>
        </w:rPr>
        <w:t>Procuratore Generale</w:t>
      </w:r>
      <w:r w:rsidR="00F051D4">
        <w:rPr>
          <w:iCs/>
        </w:rPr>
        <w:t>]</w:t>
      </w:r>
      <w:r w:rsidRPr="00A855E0">
        <w:rPr>
          <w:iCs/>
        </w:rPr>
        <w:t xml:space="preserve"> has amply discussed in court. Whatever opinion one may have about </w:t>
      </w:r>
      <w:r>
        <w:rPr>
          <w:iCs/>
        </w:rPr>
        <w:t>that controversial issue</w:t>
      </w:r>
      <w:r w:rsidRPr="00A855E0">
        <w:rPr>
          <w:iCs/>
        </w:rPr>
        <w:t xml:space="preserve"> and therefore about the place of the Convention in the context of the sources of domestic law, it is certain that the direct implementation in the Italian judicial system of a provision of the Convention, established by </w:t>
      </w:r>
      <w:r>
        <w:rPr>
          <w:iCs/>
        </w:rPr>
        <w:t>Law no.</w:t>
      </w:r>
      <w:r w:rsidR="00F051D4">
        <w:rPr>
          <w:iCs/>
        </w:rPr>
        <w:t> </w:t>
      </w:r>
      <w:r>
        <w:rPr>
          <w:iCs/>
        </w:rPr>
        <w:t>89/2001 (that is,</w:t>
      </w:r>
      <w:r w:rsidRPr="00A855E0">
        <w:rPr>
          <w:iCs/>
        </w:rPr>
        <w:t xml:space="preserve"> by Article 6</w:t>
      </w:r>
      <w:r>
        <w:rPr>
          <w:iCs/>
        </w:rPr>
        <w:t xml:space="preserve"> § </w:t>
      </w:r>
      <w:r w:rsidRPr="00A855E0">
        <w:rPr>
          <w:iCs/>
        </w:rPr>
        <w:t>1 in the part relat</w:t>
      </w:r>
      <w:r w:rsidR="00E52428">
        <w:rPr>
          <w:iCs/>
        </w:rPr>
        <w:t xml:space="preserve">ing to </w:t>
      </w:r>
      <w:r w:rsidR="00E6191D">
        <w:rPr>
          <w:iCs/>
        </w:rPr>
        <w:t>‘</w:t>
      </w:r>
      <w:r w:rsidRPr="00A855E0">
        <w:rPr>
          <w:iCs/>
        </w:rPr>
        <w:t>reasonable time</w:t>
      </w:r>
      <w:r w:rsidR="00E6191D">
        <w:rPr>
          <w:iCs/>
        </w:rPr>
        <w:t>’</w:t>
      </w:r>
      <w:r w:rsidRPr="00A855E0">
        <w:rPr>
          <w:iCs/>
        </w:rPr>
        <w:t xml:space="preserve">), </w:t>
      </w:r>
      <w:r>
        <w:rPr>
          <w:iCs/>
        </w:rPr>
        <w:t>can</w:t>
      </w:r>
      <w:r w:rsidRPr="00A855E0">
        <w:rPr>
          <w:iCs/>
        </w:rPr>
        <w:t xml:space="preserve">not diverge from the interpretation which the European Court gives </w:t>
      </w:r>
      <w:r w:rsidR="006E0CF6">
        <w:rPr>
          <w:iCs/>
        </w:rPr>
        <w:t>to</w:t>
      </w:r>
      <w:r w:rsidRPr="00A855E0">
        <w:rPr>
          <w:iCs/>
        </w:rPr>
        <w:t xml:space="preserve"> the same provision.</w:t>
      </w:r>
    </w:p>
    <w:p w:rsidR="00967E1F" w:rsidP="003C3A9D" w:rsidRDefault="003C3A9D">
      <w:pPr>
        <w:pStyle w:val="JuQuot"/>
        <w:rPr>
          <w:iCs/>
        </w:rPr>
      </w:pPr>
      <w:r w:rsidRPr="00A855E0">
        <w:rPr>
          <w:iCs/>
        </w:rPr>
        <w:t xml:space="preserve">The opposite argument, </w:t>
      </w:r>
      <w:r>
        <w:rPr>
          <w:iCs/>
        </w:rPr>
        <w:t>which would permit</w:t>
      </w:r>
      <w:r w:rsidRPr="00A855E0">
        <w:rPr>
          <w:iCs/>
        </w:rPr>
        <w:t xml:space="preserve"> a substantial divergence between the application accorded to </w:t>
      </w:r>
      <w:r>
        <w:rPr>
          <w:iCs/>
        </w:rPr>
        <w:t>Law n</w:t>
      </w:r>
      <w:r w:rsidRPr="00A855E0">
        <w:rPr>
          <w:iCs/>
        </w:rPr>
        <w:t xml:space="preserve">o. 89/2001 in the national system and the interpretation given by the Strasbourg Court to the right to </w:t>
      </w:r>
      <w:r w:rsidR="009218A6">
        <w:rPr>
          <w:iCs/>
        </w:rPr>
        <w:t xml:space="preserve">the </w:t>
      </w:r>
      <w:r w:rsidRPr="00A855E0">
        <w:rPr>
          <w:iCs/>
        </w:rPr>
        <w:t>reasonable length of proceedings</w:t>
      </w:r>
      <w:r>
        <w:rPr>
          <w:iCs/>
        </w:rPr>
        <w:t>,</w:t>
      </w:r>
      <w:r w:rsidRPr="00A855E0">
        <w:rPr>
          <w:iCs/>
        </w:rPr>
        <w:t xml:space="preserve"> would deprive the said </w:t>
      </w:r>
      <w:r>
        <w:rPr>
          <w:iCs/>
        </w:rPr>
        <w:t>Law n</w:t>
      </w:r>
      <w:r w:rsidRPr="00A855E0">
        <w:rPr>
          <w:iCs/>
        </w:rPr>
        <w:t>o. 89/2001 of any justificat</w:t>
      </w:r>
      <w:r>
        <w:rPr>
          <w:iCs/>
        </w:rPr>
        <w:t>ion and cause the Italian S</w:t>
      </w:r>
      <w:r w:rsidRPr="00A855E0">
        <w:rPr>
          <w:iCs/>
        </w:rPr>
        <w:t>tate</w:t>
      </w:r>
      <w:r>
        <w:rPr>
          <w:iCs/>
        </w:rPr>
        <w:t xml:space="preserve"> to violate</w:t>
      </w:r>
      <w:r w:rsidRPr="00A855E0">
        <w:rPr>
          <w:iCs/>
        </w:rPr>
        <w:t xml:space="preserve"> Article 1 of the Convention</w:t>
      </w:r>
      <w:r>
        <w:rPr>
          <w:iCs/>
        </w:rPr>
        <w:t xml:space="preserve">, according to which </w:t>
      </w:r>
      <w:r w:rsidR="00E6191D">
        <w:rPr>
          <w:iCs/>
        </w:rPr>
        <w:t>‘</w:t>
      </w:r>
      <w:r>
        <w:rPr>
          <w:iCs/>
        </w:rPr>
        <w:t>The High C</w:t>
      </w:r>
      <w:r w:rsidRPr="00A855E0">
        <w:rPr>
          <w:iCs/>
        </w:rPr>
        <w:t>ontracting Parties shall secure to everyone within their jurisdiction the rights a</w:t>
      </w:r>
      <w:r>
        <w:rPr>
          <w:iCs/>
        </w:rPr>
        <w:t>nd freedoms defined in Section I of this Convention</w:t>
      </w:r>
      <w:r w:rsidR="00E6191D">
        <w:rPr>
          <w:iCs/>
        </w:rPr>
        <w:t>’</w:t>
      </w:r>
      <w:r w:rsidRPr="00A855E0">
        <w:rPr>
          <w:iCs/>
        </w:rPr>
        <w:t xml:space="preserve"> (includ</w:t>
      </w:r>
      <w:r>
        <w:rPr>
          <w:iCs/>
        </w:rPr>
        <w:t>ing</w:t>
      </w:r>
      <w:r w:rsidRPr="00A855E0">
        <w:rPr>
          <w:iCs/>
        </w:rPr>
        <w:t xml:space="preserve"> the said Article 6, which provides for the right to have a case decided within a reasonable time).</w:t>
      </w:r>
    </w:p>
    <w:p w:rsidRPr="00A855E0" w:rsidR="007F1809" w:rsidP="007F1809" w:rsidRDefault="003C3A9D">
      <w:pPr>
        <w:pStyle w:val="JuQuotChar1"/>
        <w:rPr>
          <w:iCs/>
        </w:rPr>
      </w:pPr>
      <w:r w:rsidRPr="00A855E0">
        <w:rPr>
          <w:iCs/>
        </w:rPr>
        <w:t xml:space="preserve">The reason behind the </w:t>
      </w:r>
      <w:r>
        <w:rPr>
          <w:iCs/>
        </w:rPr>
        <w:t>enactment</w:t>
      </w:r>
      <w:r w:rsidRPr="00A855E0">
        <w:rPr>
          <w:iCs/>
        </w:rPr>
        <w:t xml:space="preserve"> of </w:t>
      </w:r>
      <w:r>
        <w:rPr>
          <w:iCs/>
        </w:rPr>
        <w:t>Law no.</w:t>
      </w:r>
      <w:r w:rsidRPr="00A855E0">
        <w:rPr>
          <w:iCs/>
        </w:rPr>
        <w:t xml:space="preserve"> 89/2001 was the need to provide a domestic judicial remedy against violations in respect of the duration of proceedings, so as to give effect to the subsidiary character of intervention on the part of the </w:t>
      </w:r>
      <w:r w:rsidR="00094BBF">
        <w:rPr>
          <w:iCs/>
        </w:rPr>
        <w:t xml:space="preserve">Strasbourg </w:t>
      </w:r>
      <w:r w:rsidRPr="00A855E0">
        <w:rPr>
          <w:iCs/>
        </w:rPr>
        <w:t>Court, expressly</w:t>
      </w:r>
      <w:r>
        <w:rPr>
          <w:iCs/>
        </w:rPr>
        <w:t xml:space="preserve"> provided for</w:t>
      </w:r>
      <w:r w:rsidRPr="00A855E0">
        <w:rPr>
          <w:iCs/>
        </w:rPr>
        <w:t xml:space="preserve"> by the Convention (Article 35: </w:t>
      </w:r>
      <w:r w:rsidR="00E6191D">
        <w:rPr>
          <w:iCs/>
        </w:rPr>
        <w:t>‘</w:t>
      </w:r>
      <w:r w:rsidR="0092247A">
        <w:rPr>
          <w:iCs/>
        </w:rPr>
        <w:t>T</w:t>
      </w:r>
      <w:r w:rsidRPr="00A855E0">
        <w:rPr>
          <w:iCs/>
        </w:rPr>
        <w:t>he Court may only deal with the matter after all domestic remedies have been exhausted</w:t>
      </w:r>
      <w:r w:rsidR="00F051D4">
        <w:rPr>
          <w:iCs/>
        </w:rPr>
        <w:t xml:space="preserve"> ...</w:t>
      </w:r>
      <w:r w:rsidR="00E6191D">
        <w:rPr>
          <w:iCs/>
        </w:rPr>
        <w:t>’</w:t>
      </w:r>
      <w:r w:rsidRPr="00A855E0">
        <w:rPr>
          <w:iCs/>
        </w:rPr>
        <w:t xml:space="preserve">). The European system for the protection of human rights is founded on the said principle of subsidiarity. From it derives the duty of the States which have ratified the Convention to guarantee to individuals the protection of the rights recognised by the Convention, above all in their own internal order and </w:t>
      </w:r>
      <w:r w:rsidRPr="005A2A87">
        <w:rPr>
          <w:i/>
          <w:iCs/>
        </w:rPr>
        <w:t>vis-à-vis</w:t>
      </w:r>
      <w:r w:rsidRPr="00A855E0">
        <w:rPr>
          <w:iCs/>
        </w:rPr>
        <w:t xml:space="preserve"> the organs of the national judicial syste</w:t>
      </w:r>
      <w:r w:rsidR="00E52428">
        <w:rPr>
          <w:iCs/>
        </w:rPr>
        <w:t xml:space="preserve">m. And this protection must be </w:t>
      </w:r>
      <w:r w:rsidR="00E6191D">
        <w:rPr>
          <w:iCs/>
        </w:rPr>
        <w:t>‘</w:t>
      </w:r>
      <w:r w:rsidR="00E52428">
        <w:rPr>
          <w:iCs/>
        </w:rPr>
        <w:t>effective</w:t>
      </w:r>
      <w:r w:rsidR="00E6191D">
        <w:rPr>
          <w:iCs/>
        </w:rPr>
        <w:t>’</w:t>
      </w:r>
      <w:r w:rsidRPr="00A855E0">
        <w:rPr>
          <w:iCs/>
        </w:rPr>
        <w:t xml:space="preserve"> (Article 13 of the </w:t>
      </w:r>
      <w:r w:rsidR="00F051D4">
        <w:rPr>
          <w:iCs/>
        </w:rPr>
        <w:t>Convention</w:t>
      </w:r>
      <w:r w:rsidRPr="00A855E0">
        <w:rPr>
          <w:iCs/>
        </w:rPr>
        <w:t xml:space="preserve">), that is, of a kind to remedy the claim without the need for recourse to the </w:t>
      </w:r>
      <w:smartTag w:uri="urn:schemas-microsoft-com:office:smarttags" w:element="Street">
        <w:smartTag w:uri="urn:schemas-microsoft-com:office:smarttags" w:element="address">
          <w:r w:rsidRPr="00A855E0">
            <w:rPr>
              <w:iCs/>
            </w:rPr>
            <w:t xml:space="preserve">Strasbourg </w:t>
          </w:r>
          <w:r>
            <w:rPr>
              <w:iCs/>
            </w:rPr>
            <w:t>C</w:t>
          </w:r>
          <w:r w:rsidRPr="00A855E0">
            <w:rPr>
              <w:iCs/>
            </w:rPr>
            <w:t>ourt</w:t>
          </w:r>
        </w:smartTag>
      </w:smartTag>
      <w:r w:rsidRPr="00A855E0" w:rsidR="007F1809">
        <w:rPr>
          <w:iCs/>
        </w:rPr>
        <w:t>.</w:t>
      </w:r>
    </w:p>
    <w:p w:rsidRPr="003C3A9D" w:rsidR="007F1809" w:rsidP="003C3A9D" w:rsidRDefault="003C3A9D">
      <w:pPr>
        <w:pStyle w:val="JuQuot"/>
        <w:rPr>
          <w:iCs/>
        </w:rPr>
      </w:pPr>
      <w:r w:rsidRPr="00A855E0">
        <w:t xml:space="preserve">The domestic remedy introduced by </w:t>
      </w:r>
      <w:r>
        <w:t>Law no.</w:t>
      </w:r>
      <w:r w:rsidRPr="00A855E0">
        <w:t xml:space="preserve"> 89/2001 did not previously exist in the Italian system, with the consequence that app</w:t>
      </w:r>
      <w:r w:rsidR="006A3807">
        <w:t>lications</w:t>
      </w:r>
      <w:r w:rsidRPr="00A855E0">
        <w:t xml:space="preserve"> against </w:t>
      </w:r>
      <w:smartTag w:uri="urn:schemas-microsoft-com:office:smarttags" w:element="place">
        <w:smartTag w:uri="urn:schemas-microsoft-com:office:smarttags" w:element="country-region">
          <w:r w:rsidRPr="00A855E0">
            <w:t>Italy</w:t>
          </w:r>
        </w:smartTag>
      </w:smartTag>
      <w:r w:rsidRPr="00A855E0">
        <w:t xml:space="preserve"> </w:t>
      </w:r>
      <w:r>
        <w:t>in respect of</w:t>
      </w:r>
      <w:r w:rsidRPr="00A855E0">
        <w:t xml:space="preserve"> </w:t>
      </w:r>
      <w:r>
        <w:t xml:space="preserve">a </w:t>
      </w:r>
      <w:r w:rsidRPr="00A855E0">
        <w:t>violation of Article 6 of the C</w:t>
      </w:r>
      <w:r w:rsidR="00E52428">
        <w:t xml:space="preserve">onvention had </w:t>
      </w:r>
      <w:r w:rsidR="00E6191D">
        <w:t>‘</w:t>
      </w:r>
      <w:r w:rsidR="00E52428">
        <w:t>clogged</w:t>
      </w:r>
      <w:r w:rsidR="00E6191D">
        <w:t>’</w:t>
      </w:r>
      <w:r w:rsidRPr="00A855E0">
        <w:t xml:space="preserve"> (the term used by rapporteur Follieri in the sitting of the Senate of 28 September 2000) the </w:t>
      </w:r>
      <w:smartTag w:uri="urn:schemas-microsoft-com:office:smarttags" w:element="Street">
        <w:smartTag w:uri="urn:schemas-microsoft-com:office:smarttags" w:element="address">
          <w:r w:rsidRPr="00A855E0">
            <w:t>European Court</w:t>
          </w:r>
        </w:smartTag>
      </w:smartTag>
      <w:r w:rsidRPr="00A855E0">
        <w:t xml:space="preserve">. The </w:t>
      </w:r>
      <w:smartTag w:uri="urn:schemas-microsoft-com:office:smarttags" w:element="Street">
        <w:smartTag w:uri="urn:schemas-microsoft-com:office:smarttags" w:element="address">
          <w:r w:rsidRPr="00A855E0">
            <w:t xml:space="preserve">Strasbourg </w:t>
          </w:r>
          <w:r>
            <w:t>C</w:t>
          </w:r>
          <w:r w:rsidRPr="00A855E0">
            <w:t>ourt</w:t>
          </w:r>
        </w:smartTag>
      </w:smartTag>
      <w:r w:rsidRPr="00A855E0">
        <w:t xml:space="preserve"> observed, prior to </w:t>
      </w:r>
      <w:r>
        <w:t>Law no.</w:t>
      </w:r>
      <w:r w:rsidRPr="00A855E0">
        <w:t xml:space="preserve"> 89/2001, that the said failures on the part of </w:t>
      </w:r>
      <w:smartTag w:uri="urn:schemas-microsoft-com:office:smarttags" w:element="place">
        <w:smartTag w:uri="urn:schemas-microsoft-com:office:smarttags" w:element="country-region">
          <w:r w:rsidRPr="00A855E0">
            <w:t>Italy</w:t>
          </w:r>
        </w:smartTag>
      </w:smartTag>
      <w:r w:rsidR="00E52428">
        <w:t xml:space="preserve"> </w:t>
      </w:r>
      <w:r w:rsidRPr="00A855E0" w:rsidR="006A3807">
        <w:t>to comply</w:t>
      </w:r>
      <w:r w:rsidR="006A3807">
        <w:t xml:space="preserve"> </w:t>
      </w:r>
      <w:r w:rsidR="00E6191D">
        <w:t>‘</w:t>
      </w:r>
      <w:r w:rsidRPr="00A855E0">
        <w:t>reflect a continuing situation that has not yet been remedied and in respect of which litigants have</w:t>
      </w:r>
      <w:r>
        <w:t xml:space="preserve"> no </w:t>
      </w:r>
      <w:r w:rsidRPr="00A855E0">
        <w:t>domestic remedy. This accumulation of breaches accordingly constitutes a practice that is i</w:t>
      </w:r>
      <w:r w:rsidR="00E52428">
        <w:t>ncompatible with the Convention</w:t>
      </w:r>
      <w:r w:rsidR="00E6191D">
        <w:t>’</w:t>
      </w:r>
      <w:r w:rsidRPr="00A855E0">
        <w:t xml:space="preserve"> (</w:t>
      </w:r>
      <w:r>
        <w:t>see the f</w:t>
      </w:r>
      <w:r w:rsidRPr="00A855E0">
        <w:t xml:space="preserve">our judgments of the Court </w:t>
      </w:r>
      <w:r>
        <w:t>delivered on</w:t>
      </w:r>
      <w:r w:rsidRPr="00A855E0">
        <w:t xml:space="preserve"> 28 July </w:t>
      </w:r>
      <w:smartTag w:uri="urn:schemas-microsoft-com:office:smarttags" w:element="metricconverter">
        <w:smartTagPr>
          <w:attr w:name="ProductID" w:val="1999 in"/>
        </w:smartTagPr>
        <w:r w:rsidRPr="00A855E0">
          <w:t xml:space="preserve">1999 </w:t>
        </w:r>
        <w:r>
          <w:t>in</w:t>
        </w:r>
      </w:smartTag>
      <w:r>
        <w:t xml:space="preserve"> </w:t>
      </w:r>
      <w:r w:rsidRPr="003A18B7">
        <w:rPr>
          <w:i/>
        </w:rPr>
        <w:t>Bottazzi</w:t>
      </w:r>
      <w:r w:rsidRPr="006E0CF6">
        <w:t>,</w:t>
      </w:r>
      <w:r w:rsidRPr="003A18B7">
        <w:rPr>
          <w:i/>
        </w:rPr>
        <w:t xml:space="preserve"> Di Mauro</w:t>
      </w:r>
      <w:r w:rsidRPr="006E0CF6">
        <w:t>,</w:t>
      </w:r>
      <w:r w:rsidRPr="003A18B7">
        <w:rPr>
          <w:i/>
        </w:rPr>
        <w:t xml:space="preserve"> Ferrari</w:t>
      </w:r>
      <w:r w:rsidRPr="00A855E0">
        <w:t xml:space="preserve"> and </w:t>
      </w:r>
      <w:r w:rsidRPr="003A18B7">
        <w:rPr>
          <w:i/>
        </w:rPr>
        <w:t>A.P</w:t>
      </w:r>
      <w:r>
        <w:t>.)</w:t>
      </w:r>
      <w:r w:rsidRPr="00A855E0" w:rsidR="007F1809">
        <w:t>.</w:t>
      </w:r>
    </w:p>
    <w:p w:rsidRPr="00A855E0" w:rsidR="007F1809" w:rsidP="007F1809" w:rsidRDefault="003C3A9D">
      <w:pPr>
        <w:pStyle w:val="JuQuotChar1"/>
        <w:rPr>
          <w:iCs/>
        </w:rPr>
      </w:pPr>
      <w:r>
        <w:rPr>
          <w:iCs/>
        </w:rPr>
        <w:t>Law no.</w:t>
      </w:r>
      <w:r w:rsidRPr="00A855E0">
        <w:rPr>
          <w:iCs/>
        </w:rPr>
        <w:t xml:space="preserve"> 89/2001 constitutes the domestic remedy </w:t>
      </w:r>
      <w:r>
        <w:rPr>
          <w:iCs/>
        </w:rPr>
        <w:t>to which</w:t>
      </w:r>
      <w:r w:rsidRPr="00A855E0">
        <w:rPr>
          <w:iCs/>
        </w:rPr>
        <w:t xml:space="preserve"> </w:t>
      </w:r>
      <w:r>
        <w:rPr>
          <w:iCs/>
        </w:rPr>
        <w:t>a</w:t>
      </w:r>
      <w:r w:rsidR="00E52428">
        <w:rPr>
          <w:iCs/>
        </w:rPr>
        <w:t xml:space="preserve"> </w:t>
      </w:r>
      <w:r w:rsidR="00E6191D">
        <w:rPr>
          <w:iCs/>
        </w:rPr>
        <w:t>‘</w:t>
      </w:r>
      <w:r w:rsidR="00E52428">
        <w:rPr>
          <w:iCs/>
        </w:rPr>
        <w:t>victim of a violation</w:t>
      </w:r>
      <w:r w:rsidR="00E6191D">
        <w:rPr>
          <w:iCs/>
        </w:rPr>
        <w:t>’</w:t>
      </w:r>
      <w:r w:rsidRPr="00A855E0">
        <w:rPr>
          <w:iCs/>
        </w:rPr>
        <w:t xml:space="preserve"> (</w:t>
      </w:r>
      <w:r>
        <w:rPr>
          <w:iCs/>
        </w:rPr>
        <w:t>as</w:t>
      </w:r>
      <w:r w:rsidRPr="00A855E0">
        <w:rPr>
          <w:iCs/>
        </w:rPr>
        <w:t xml:space="preserve"> defined by Article 34 of the Convention) of Article 6 (failure to </w:t>
      </w:r>
      <w:r>
        <w:rPr>
          <w:iCs/>
        </w:rPr>
        <w:t>comply with the</w:t>
      </w:r>
      <w:r w:rsidRPr="00A855E0">
        <w:rPr>
          <w:iCs/>
        </w:rPr>
        <w:t xml:space="preserve"> reasonable</w:t>
      </w:r>
      <w:r w:rsidR="0052412A">
        <w:rPr>
          <w:iCs/>
        </w:rPr>
        <w:t>-</w:t>
      </w:r>
      <w:r w:rsidRPr="00A855E0">
        <w:rPr>
          <w:iCs/>
        </w:rPr>
        <w:t>time</w:t>
      </w:r>
      <w:r>
        <w:rPr>
          <w:iCs/>
        </w:rPr>
        <w:t xml:space="preserve"> requirement</w:t>
      </w:r>
      <w:r w:rsidRPr="00A855E0">
        <w:rPr>
          <w:iCs/>
        </w:rPr>
        <w:t xml:space="preserve">) must have recourse before applying to the European Court to claim the </w:t>
      </w:r>
      <w:r w:rsidR="00E6191D">
        <w:rPr>
          <w:iCs/>
        </w:rPr>
        <w:t>‘</w:t>
      </w:r>
      <w:r w:rsidRPr="00A855E0">
        <w:rPr>
          <w:iCs/>
        </w:rPr>
        <w:t>just satisfaction</w:t>
      </w:r>
      <w:r w:rsidR="00E6191D">
        <w:rPr>
          <w:iCs/>
        </w:rPr>
        <w:t>’</w:t>
      </w:r>
      <w:r w:rsidRPr="00A855E0">
        <w:rPr>
          <w:iCs/>
        </w:rPr>
        <w:t xml:space="preserve"> provided for in Article 41 of the Convention, which, when the violation exists, is only </w:t>
      </w:r>
      <w:r>
        <w:rPr>
          <w:iCs/>
        </w:rPr>
        <w:t>awarded</w:t>
      </w:r>
      <w:r w:rsidR="00E52428">
        <w:rPr>
          <w:iCs/>
        </w:rPr>
        <w:t xml:space="preserve"> by the Court </w:t>
      </w:r>
      <w:r w:rsidR="00E6191D">
        <w:rPr>
          <w:iCs/>
        </w:rPr>
        <w:t>‘</w:t>
      </w:r>
      <w:r w:rsidRPr="00A855E0">
        <w:rPr>
          <w:iCs/>
        </w:rPr>
        <w:t>if the internal law of the High Contracting Party concerned allows onl</w:t>
      </w:r>
      <w:r w:rsidR="00E52428">
        <w:rPr>
          <w:iCs/>
        </w:rPr>
        <w:t>y partial reparation to be made</w:t>
      </w:r>
      <w:r w:rsidR="00E6191D">
        <w:rPr>
          <w:iCs/>
        </w:rPr>
        <w:t>’</w:t>
      </w:r>
      <w:r w:rsidRPr="00A855E0">
        <w:rPr>
          <w:iCs/>
        </w:rPr>
        <w:t xml:space="preserve">. </w:t>
      </w:r>
      <w:r>
        <w:rPr>
          <w:iCs/>
        </w:rPr>
        <w:t>Law no.</w:t>
      </w:r>
      <w:r w:rsidRPr="00A855E0">
        <w:rPr>
          <w:iCs/>
        </w:rPr>
        <w:t xml:space="preserve"> 89/2001 has therefore allowed the European Court to declare inadmissible applications </w:t>
      </w:r>
      <w:r>
        <w:rPr>
          <w:iCs/>
        </w:rPr>
        <w:t>lodged with</w:t>
      </w:r>
      <w:r w:rsidRPr="00A855E0">
        <w:rPr>
          <w:iCs/>
        </w:rPr>
        <w:t xml:space="preserve"> it</w:t>
      </w:r>
      <w:r>
        <w:rPr>
          <w:iCs/>
        </w:rPr>
        <w:t xml:space="preserve"> </w:t>
      </w:r>
      <w:r w:rsidRPr="00A855E0">
        <w:rPr>
          <w:iCs/>
        </w:rPr>
        <w:t>(</w:t>
      </w:r>
      <w:r>
        <w:rPr>
          <w:iCs/>
        </w:rPr>
        <w:t>including</w:t>
      </w:r>
      <w:r w:rsidRPr="00A855E0">
        <w:rPr>
          <w:iCs/>
        </w:rPr>
        <w:t xml:space="preserve"> </w:t>
      </w:r>
      <w:r>
        <w:rPr>
          <w:iCs/>
        </w:rPr>
        <w:t>before the Act was passed)</w:t>
      </w:r>
      <w:r w:rsidRPr="00A855E0">
        <w:rPr>
          <w:iCs/>
        </w:rPr>
        <w:t xml:space="preserve"> and aimed at obtaining </w:t>
      </w:r>
      <w:r w:rsidR="005B1083">
        <w:rPr>
          <w:iCs/>
        </w:rPr>
        <w:t xml:space="preserve">the </w:t>
      </w:r>
      <w:r w:rsidRPr="00A855E0">
        <w:rPr>
          <w:iCs/>
        </w:rPr>
        <w:t>just satisfaction provided for in Article 41 of the Convention for the excessive length of proceedings (</w:t>
      </w:r>
      <w:r w:rsidR="00F051D4">
        <w:rPr>
          <w:iCs/>
        </w:rPr>
        <w:t xml:space="preserve">see </w:t>
      </w:r>
      <w:r w:rsidRPr="00E577AF">
        <w:rPr>
          <w:i/>
          <w:iCs/>
        </w:rPr>
        <w:t>Brusco v. Italy</w:t>
      </w:r>
      <w:r>
        <w:rPr>
          <w:iCs/>
        </w:rPr>
        <w:t>,</w:t>
      </w:r>
      <w:r w:rsidRPr="00A855E0">
        <w:rPr>
          <w:iCs/>
        </w:rPr>
        <w:t xml:space="preserve"> decision</w:t>
      </w:r>
      <w:r>
        <w:rPr>
          <w:iCs/>
        </w:rPr>
        <w:t xml:space="preserve"> of 6 September 2001)</w:t>
      </w:r>
      <w:r w:rsidRPr="00A855E0" w:rsidR="007F1809">
        <w:rPr>
          <w:iCs/>
        </w:rPr>
        <w:t>.</w:t>
      </w:r>
    </w:p>
    <w:p w:rsidRPr="00A855E0" w:rsidR="003C3A9D" w:rsidP="003C3A9D" w:rsidRDefault="003C3A9D">
      <w:pPr>
        <w:pStyle w:val="JuQuot"/>
        <w:rPr>
          <w:iCs/>
        </w:rPr>
      </w:pPr>
      <w:r w:rsidRPr="00A855E0">
        <w:rPr>
          <w:iCs/>
        </w:rPr>
        <w:t xml:space="preserve">This mechanism for implementation of the Convention and observance of the principle of subsidiarity in respect of interventions of the European Court of Strasbourg does not operate, however, in cases in which the Court holds that the consequences of the established violation of the Convention have not been redressed by domestic law or that this has been done only </w:t>
      </w:r>
      <w:r w:rsidR="00E6191D">
        <w:rPr>
          <w:iCs/>
        </w:rPr>
        <w:t>‘</w:t>
      </w:r>
      <w:r w:rsidRPr="00A855E0">
        <w:rPr>
          <w:iCs/>
        </w:rPr>
        <w:t>partially</w:t>
      </w:r>
      <w:r w:rsidR="00E6191D">
        <w:rPr>
          <w:iCs/>
        </w:rPr>
        <w:t>’</w:t>
      </w:r>
      <w:r w:rsidRPr="00A855E0">
        <w:rPr>
          <w:iCs/>
        </w:rPr>
        <w:t xml:space="preserve">, because in such an event the said Article 41 provides for the intervention of the European Court to protect the </w:t>
      </w:r>
      <w:r w:rsidR="00E6191D">
        <w:rPr>
          <w:iCs/>
        </w:rPr>
        <w:t>‘</w:t>
      </w:r>
      <w:r w:rsidRPr="00A855E0">
        <w:rPr>
          <w:iCs/>
        </w:rPr>
        <w:t>victim of the violation</w:t>
      </w:r>
      <w:r w:rsidR="00E6191D">
        <w:rPr>
          <w:iCs/>
        </w:rPr>
        <w:t>’</w:t>
      </w:r>
      <w:r w:rsidRPr="00A855E0">
        <w:rPr>
          <w:iCs/>
        </w:rPr>
        <w:t xml:space="preserve">. In such cases an individual application to the </w:t>
      </w:r>
      <w:smartTag w:uri="urn:schemas-microsoft-com:office:smarttags" w:element="Street">
        <w:smartTag w:uri="urn:schemas-microsoft-com:office:smarttags" w:element="address">
          <w:r w:rsidRPr="00A855E0">
            <w:rPr>
              <w:iCs/>
            </w:rPr>
            <w:t>Strasbourg</w:t>
          </w:r>
          <w:r>
            <w:rPr>
              <w:iCs/>
            </w:rPr>
            <w:t xml:space="preserve"> C</w:t>
          </w:r>
          <w:r w:rsidRPr="00A855E0">
            <w:rPr>
              <w:iCs/>
            </w:rPr>
            <w:t>ourt</w:t>
          </w:r>
        </w:smartTag>
      </w:smartTag>
      <w:r w:rsidRPr="00A855E0">
        <w:rPr>
          <w:iCs/>
        </w:rPr>
        <w:t xml:space="preserve"> on the basis of Article 34 of the Convention is admissible (</w:t>
      </w:r>
      <w:r w:rsidR="00F051D4">
        <w:rPr>
          <w:iCs/>
        </w:rPr>
        <w:t xml:space="preserve">see </w:t>
      </w:r>
      <w:r>
        <w:rPr>
          <w:i/>
          <w:iCs/>
        </w:rPr>
        <w:t>Scordino</w:t>
      </w:r>
      <w:r w:rsidRPr="00A855E0">
        <w:rPr>
          <w:iCs/>
        </w:rPr>
        <w:t xml:space="preserve"> </w:t>
      </w:r>
      <w:r w:rsidRPr="00FE7576">
        <w:rPr>
          <w:i/>
          <w:iCs/>
        </w:rPr>
        <w:t>v. Italy</w:t>
      </w:r>
      <w:r w:rsidRPr="00B767E4">
        <w:rPr>
          <w:iCs/>
        </w:rPr>
        <w:t xml:space="preserve">, </w:t>
      </w:r>
      <w:r>
        <w:rPr>
          <w:iCs/>
        </w:rPr>
        <w:t xml:space="preserve">decision of </w:t>
      </w:r>
      <w:smartTag w:uri="urn:schemas-microsoft-com:office:smarttags" w:element="date">
        <w:smartTagPr>
          <w:attr w:name="Month" w:val="3"/>
          <w:attr w:name="Day" w:val="27"/>
          <w:attr w:name="Year" w:val="2003"/>
        </w:smartTagPr>
        <w:r>
          <w:rPr>
            <w:iCs/>
          </w:rPr>
          <w:t>27 March 2003</w:t>
        </w:r>
      </w:smartTag>
      <w:r w:rsidRPr="00A855E0">
        <w:rPr>
          <w:iCs/>
        </w:rPr>
        <w:t xml:space="preserve">) and the Court acts directly to protect the rights of </w:t>
      </w:r>
      <w:r>
        <w:rPr>
          <w:iCs/>
        </w:rPr>
        <w:t xml:space="preserve">the </w:t>
      </w:r>
      <w:r w:rsidRPr="00A855E0">
        <w:rPr>
          <w:iCs/>
        </w:rPr>
        <w:t xml:space="preserve">victim whom it considers not to have been </w:t>
      </w:r>
      <w:r>
        <w:rPr>
          <w:iCs/>
        </w:rPr>
        <w:t>adequately</w:t>
      </w:r>
      <w:r w:rsidRPr="00A855E0">
        <w:rPr>
          <w:iCs/>
        </w:rPr>
        <w:t xml:space="preserve"> protected by domestic law.</w:t>
      </w:r>
    </w:p>
    <w:p w:rsidRPr="003C3A9D" w:rsidR="007F1809" w:rsidP="003C3A9D" w:rsidRDefault="003C3A9D">
      <w:pPr>
        <w:pStyle w:val="JuQuot"/>
        <w:rPr>
          <w:iCs/>
        </w:rPr>
      </w:pPr>
      <w:r w:rsidRPr="00A855E0">
        <w:t xml:space="preserve">The judge of the </w:t>
      </w:r>
      <w:r w:rsidRPr="00B86D84">
        <w:t>adequacy or inadequacy</w:t>
      </w:r>
      <w:r w:rsidRPr="00A855E0">
        <w:t xml:space="preserve"> of the protection that the victim has had from domestic law is, obviously, the European Court, whose duty it is to apply Article 41 of the Convention to ascertain whether, in the presence of a violation of a provision of the Convention, the internal law has been able to redress </w:t>
      </w:r>
      <w:r w:rsidR="00914B52">
        <w:t xml:space="preserve">fully </w:t>
      </w:r>
      <w:r w:rsidRPr="00A855E0">
        <w:t>th</w:t>
      </w:r>
      <w:r w:rsidR="00925484">
        <w:t>e consequences of this violation.</w:t>
      </w:r>
    </w:p>
    <w:p w:rsidRPr="00A855E0" w:rsidR="003C3A9D" w:rsidP="003C3A9D" w:rsidRDefault="003C3A9D">
      <w:pPr>
        <w:pStyle w:val="JuQuot"/>
        <w:rPr>
          <w:iCs/>
        </w:rPr>
      </w:pPr>
      <w:r w:rsidRPr="00A855E0">
        <w:rPr>
          <w:iCs/>
        </w:rPr>
        <w:t xml:space="preserve">The argument whereby, in applying </w:t>
      </w:r>
      <w:r>
        <w:rPr>
          <w:iCs/>
        </w:rPr>
        <w:t>Law no.</w:t>
      </w:r>
      <w:r w:rsidRPr="00A855E0">
        <w:rPr>
          <w:iCs/>
        </w:rPr>
        <w:t xml:space="preserve"> 89/2001, the Italian court</w:t>
      </w:r>
      <w:r w:rsidR="00F051D4">
        <w:rPr>
          <w:iCs/>
        </w:rPr>
        <w:t>s</w:t>
      </w:r>
      <w:r w:rsidRPr="00A855E0">
        <w:rPr>
          <w:iCs/>
        </w:rPr>
        <w:t xml:space="preserve"> may follow a</w:t>
      </w:r>
      <w:r>
        <w:rPr>
          <w:iCs/>
        </w:rPr>
        <w:t xml:space="preserve"> differe</w:t>
      </w:r>
      <w:r w:rsidRPr="00A855E0">
        <w:rPr>
          <w:iCs/>
        </w:rPr>
        <w:t>n</w:t>
      </w:r>
      <w:r>
        <w:rPr>
          <w:iCs/>
        </w:rPr>
        <w:t>t</w:t>
      </w:r>
      <w:r w:rsidRPr="00A855E0">
        <w:rPr>
          <w:iCs/>
        </w:rPr>
        <w:t xml:space="preserve"> interpretation </w:t>
      </w:r>
      <w:r>
        <w:rPr>
          <w:iCs/>
        </w:rPr>
        <w:t xml:space="preserve">from </w:t>
      </w:r>
      <w:r w:rsidRPr="00A855E0">
        <w:rPr>
          <w:iCs/>
        </w:rPr>
        <w:t xml:space="preserve">that which the European Court has given </w:t>
      </w:r>
      <w:r>
        <w:rPr>
          <w:iCs/>
        </w:rPr>
        <w:t>to</w:t>
      </w:r>
      <w:r w:rsidRPr="00A855E0">
        <w:rPr>
          <w:iCs/>
        </w:rPr>
        <w:t xml:space="preserve"> the provisions of Article 6 of the </w:t>
      </w:r>
      <w:r>
        <w:rPr>
          <w:iCs/>
        </w:rPr>
        <w:t>Convention (</w:t>
      </w:r>
      <w:r w:rsidRPr="00A855E0">
        <w:rPr>
          <w:iCs/>
        </w:rPr>
        <w:t>violation of which is the fact giving entitlement to the right to compensation attri</w:t>
      </w:r>
      <w:r>
        <w:rPr>
          <w:iCs/>
        </w:rPr>
        <w:t>buted by the said national law)</w:t>
      </w:r>
      <w:r w:rsidRPr="00A855E0">
        <w:rPr>
          <w:iCs/>
        </w:rPr>
        <w:t xml:space="preserve"> </w:t>
      </w:r>
      <w:r>
        <w:rPr>
          <w:iCs/>
        </w:rPr>
        <w:t>implies</w:t>
      </w:r>
      <w:r w:rsidRPr="00A855E0">
        <w:rPr>
          <w:iCs/>
        </w:rPr>
        <w:t xml:space="preserve"> that the victim of the violation, if he or she receives reparation at national level considered </w:t>
      </w:r>
      <w:r>
        <w:rPr>
          <w:iCs/>
        </w:rPr>
        <w:t>inadequate</w:t>
      </w:r>
      <w:r w:rsidRPr="00A855E0">
        <w:rPr>
          <w:iCs/>
        </w:rPr>
        <w:t xml:space="preserve"> by the European Court, </w:t>
      </w:r>
      <w:r>
        <w:rPr>
          <w:iCs/>
        </w:rPr>
        <w:t>must</w:t>
      </w:r>
      <w:r w:rsidRPr="00A855E0">
        <w:rPr>
          <w:iCs/>
        </w:rPr>
        <w:t xml:space="preserve"> obtain the just satisfaction provided for in Article 41 of the Convention from the latter Court. This would </w:t>
      </w:r>
      <w:r>
        <w:rPr>
          <w:iCs/>
        </w:rPr>
        <w:t>defeat the purpose of t</w:t>
      </w:r>
      <w:r w:rsidRPr="00A855E0">
        <w:rPr>
          <w:iCs/>
        </w:rPr>
        <w:t xml:space="preserve">he remedy provided for in Italian law by </w:t>
      </w:r>
      <w:r>
        <w:rPr>
          <w:iCs/>
        </w:rPr>
        <w:t>Law no.</w:t>
      </w:r>
      <w:r w:rsidRPr="00A855E0">
        <w:rPr>
          <w:iCs/>
        </w:rPr>
        <w:t xml:space="preserve"> 89/2001 and entail a violation of the principle of the subsidiarity of the intervention of the </w:t>
      </w:r>
      <w:smartTag w:uri="urn:schemas-microsoft-com:office:smarttags" w:element="Street">
        <w:smartTag w:uri="urn:schemas-microsoft-com:office:smarttags" w:element="address">
          <w:r w:rsidRPr="00A855E0">
            <w:rPr>
              <w:iCs/>
            </w:rPr>
            <w:t>Strasbourg</w:t>
          </w:r>
          <w:r>
            <w:rPr>
              <w:iCs/>
            </w:rPr>
            <w:t xml:space="preserve"> C</w:t>
          </w:r>
          <w:r w:rsidRPr="00A855E0">
            <w:rPr>
              <w:iCs/>
            </w:rPr>
            <w:t>ourt</w:t>
          </w:r>
        </w:smartTag>
      </w:smartTag>
      <w:r w:rsidRPr="00A855E0">
        <w:rPr>
          <w:iCs/>
        </w:rPr>
        <w:t>.</w:t>
      </w:r>
    </w:p>
    <w:p w:rsidRPr="00A855E0" w:rsidR="003C3A9D" w:rsidP="003C3A9D" w:rsidRDefault="003C3A9D">
      <w:pPr>
        <w:pStyle w:val="JuQuot"/>
        <w:rPr>
          <w:iCs/>
        </w:rPr>
      </w:pPr>
      <w:r w:rsidRPr="00A855E0">
        <w:rPr>
          <w:iCs/>
        </w:rPr>
        <w:t xml:space="preserve">It </w:t>
      </w:r>
      <w:r>
        <w:rPr>
          <w:iCs/>
        </w:rPr>
        <w:t>is</w:t>
      </w:r>
      <w:r w:rsidRPr="00A855E0">
        <w:rPr>
          <w:iCs/>
        </w:rPr>
        <w:t xml:space="preserve"> therefore </w:t>
      </w:r>
      <w:r>
        <w:rPr>
          <w:iCs/>
        </w:rPr>
        <w:t xml:space="preserve">necessary to concur </w:t>
      </w:r>
      <w:r w:rsidRPr="00A855E0">
        <w:rPr>
          <w:iCs/>
        </w:rPr>
        <w:t xml:space="preserve">with the European Court of Human Rights, which, in the </w:t>
      </w:r>
      <w:r>
        <w:rPr>
          <w:iCs/>
        </w:rPr>
        <w:t xml:space="preserve">above-mentioned </w:t>
      </w:r>
      <w:r w:rsidRPr="00A855E0">
        <w:rPr>
          <w:iCs/>
        </w:rPr>
        <w:t xml:space="preserve">decision on the </w:t>
      </w:r>
      <w:r w:rsidRPr="00FE7576">
        <w:rPr>
          <w:i/>
          <w:iCs/>
        </w:rPr>
        <w:t>Scordino</w:t>
      </w:r>
      <w:r w:rsidRPr="00A855E0">
        <w:rPr>
          <w:iCs/>
        </w:rPr>
        <w:t xml:space="preserve"> application (</w:t>
      </w:r>
      <w:r>
        <w:rPr>
          <w:iCs/>
        </w:rPr>
        <w:t>concerning</w:t>
      </w:r>
      <w:r w:rsidRPr="00A855E0">
        <w:rPr>
          <w:iCs/>
        </w:rPr>
        <w:t xml:space="preserve"> the </w:t>
      </w:r>
      <w:r>
        <w:rPr>
          <w:iCs/>
        </w:rPr>
        <w:t>inadequacy</w:t>
      </w:r>
      <w:r w:rsidRPr="00A855E0">
        <w:rPr>
          <w:iCs/>
        </w:rPr>
        <w:t xml:space="preserve"> of the protection afforded by the Italian courts in implementing </w:t>
      </w:r>
      <w:r>
        <w:rPr>
          <w:iCs/>
        </w:rPr>
        <w:t>Law no.</w:t>
      </w:r>
      <w:r w:rsidR="00F051D4">
        <w:rPr>
          <w:iCs/>
        </w:rPr>
        <w:t> </w:t>
      </w:r>
      <w:r w:rsidRPr="00A855E0">
        <w:rPr>
          <w:iCs/>
        </w:rPr>
        <w:t xml:space="preserve">89/2001), affirmed that </w:t>
      </w:r>
      <w:r w:rsidR="00E6191D">
        <w:rPr>
          <w:iCs/>
        </w:rPr>
        <w:t>‘</w:t>
      </w:r>
      <w:r w:rsidRPr="00A855E0">
        <w:rPr>
          <w:iCs/>
        </w:rPr>
        <w:t xml:space="preserve">it follows from the principle of subsidiarity </w:t>
      </w:r>
      <w:r>
        <w:rPr>
          <w:iCs/>
        </w:rPr>
        <w:t>...</w:t>
      </w:r>
      <w:r w:rsidRPr="00A855E0">
        <w:rPr>
          <w:iCs/>
        </w:rPr>
        <w:t xml:space="preserve"> that the national courts must, where possible, interpret and apply domestic law in accordance with the Convention</w:t>
      </w:r>
      <w:r w:rsidR="00E6191D">
        <w:rPr>
          <w:iCs/>
        </w:rPr>
        <w:t>’</w:t>
      </w:r>
      <w:r w:rsidRPr="00A855E0">
        <w:rPr>
          <w:iCs/>
        </w:rPr>
        <w:t>.</w:t>
      </w:r>
    </w:p>
    <w:p w:rsidR="003C3A9D" w:rsidP="003C3A9D" w:rsidRDefault="003C3A9D">
      <w:pPr>
        <w:pStyle w:val="JuQuot"/>
        <w:rPr>
          <w:iCs/>
        </w:rPr>
      </w:pPr>
      <w:r>
        <w:rPr>
          <w:iCs/>
        </w:rPr>
        <w:t>...</w:t>
      </w:r>
      <w:r w:rsidRPr="00A855E0">
        <w:rPr>
          <w:iCs/>
        </w:rPr>
        <w:t xml:space="preserve"> The preparatory </w:t>
      </w:r>
      <w:r>
        <w:rPr>
          <w:iCs/>
        </w:rPr>
        <w:t>documents</w:t>
      </w:r>
      <w:r w:rsidRPr="00A855E0">
        <w:rPr>
          <w:iCs/>
        </w:rPr>
        <w:t xml:space="preserve"> </w:t>
      </w:r>
      <w:r>
        <w:rPr>
          <w:iCs/>
        </w:rPr>
        <w:t>of</w:t>
      </w:r>
      <w:r w:rsidRPr="00A855E0">
        <w:rPr>
          <w:iCs/>
        </w:rPr>
        <w:t xml:space="preserve"> </w:t>
      </w:r>
      <w:r>
        <w:rPr>
          <w:iCs/>
        </w:rPr>
        <w:t>Law no.</w:t>
      </w:r>
      <w:r w:rsidRPr="00A855E0">
        <w:rPr>
          <w:iCs/>
        </w:rPr>
        <w:t xml:space="preserve"> 89/2001 are even more explicit. In the report concerning the bill of Senator Pinto (proceedings of the Senate </w:t>
      </w:r>
      <w:r>
        <w:rPr>
          <w:iCs/>
        </w:rPr>
        <w:t>n</w:t>
      </w:r>
      <w:r w:rsidRPr="00A855E0">
        <w:rPr>
          <w:iCs/>
        </w:rPr>
        <w:t>o. 3</w:t>
      </w:r>
      <w:r>
        <w:rPr>
          <w:iCs/>
        </w:rPr>
        <w:t>813 of 16 </w:t>
      </w:r>
      <w:r w:rsidRPr="00A855E0">
        <w:rPr>
          <w:iCs/>
        </w:rPr>
        <w:t xml:space="preserve">February 1999) it is affirmed that the compensatory mechanism proposed in the legislative initiative (and then adopted by the Act) secures for the applicant </w:t>
      </w:r>
      <w:r w:rsidR="00E6191D">
        <w:rPr>
          <w:iCs/>
        </w:rPr>
        <w:t>‘</w:t>
      </w:r>
      <w:r w:rsidRPr="00A855E0">
        <w:rPr>
          <w:iCs/>
        </w:rPr>
        <w:t>a protection analogous to that which he or she would receive in the international court</w:t>
      </w:r>
      <w:r w:rsidR="00E6191D">
        <w:rPr>
          <w:iCs/>
        </w:rPr>
        <w:t>’</w:t>
      </w:r>
      <w:r w:rsidRPr="00A855E0">
        <w:rPr>
          <w:iCs/>
        </w:rPr>
        <w:t>, as the direct reference to Article 6 of the Convention makes it possible to transfer to domestic le</w:t>
      </w:r>
      <w:r w:rsidR="00E52428">
        <w:rPr>
          <w:iCs/>
        </w:rPr>
        <w:t xml:space="preserve">vel </w:t>
      </w:r>
      <w:r w:rsidR="00E6191D">
        <w:rPr>
          <w:iCs/>
        </w:rPr>
        <w:t>‘</w:t>
      </w:r>
      <w:r w:rsidRPr="00A855E0">
        <w:rPr>
          <w:iCs/>
        </w:rPr>
        <w:t>the limits of applicability of the same provision existing at international level, limits which depend essentially on the State and on the development of the case-law of the Strasbourg authorities, especially that of the European Court of Human Rights, whose decisions must therefore guide</w:t>
      </w:r>
      <w:r>
        <w:rPr>
          <w:iCs/>
        </w:rPr>
        <w:t xml:space="preserve"> </w:t>
      </w:r>
      <w:r w:rsidR="00967E1F">
        <w:rPr>
          <w:iCs/>
        </w:rPr>
        <w:t>...</w:t>
      </w:r>
      <w:r w:rsidRPr="00A855E0">
        <w:rPr>
          <w:iCs/>
        </w:rPr>
        <w:t xml:space="preserve"> the domestic court in</w:t>
      </w:r>
      <w:r w:rsidR="00E52428">
        <w:rPr>
          <w:iCs/>
        </w:rPr>
        <w:t xml:space="preserve"> the definition of these limits</w:t>
      </w:r>
      <w:r w:rsidR="00E6191D">
        <w:rPr>
          <w:iCs/>
        </w:rPr>
        <w:t>’</w:t>
      </w:r>
      <w:r w:rsidRPr="00A855E0">
        <w:rPr>
          <w:iCs/>
        </w:rPr>
        <w:t>.</w:t>
      </w:r>
    </w:p>
    <w:p w:rsidRPr="00A855E0" w:rsidR="006E0CF6" w:rsidP="003C3A9D" w:rsidRDefault="009A1217">
      <w:pPr>
        <w:pStyle w:val="JuQuot"/>
        <w:rPr>
          <w:iCs/>
        </w:rPr>
      </w:pPr>
      <w:r>
        <w:rPr>
          <w:iCs/>
        </w:rPr>
        <w:t>...</w:t>
      </w:r>
    </w:p>
    <w:p w:rsidRPr="00A855E0" w:rsidR="003C3A9D" w:rsidP="003C3A9D" w:rsidRDefault="003C3A9D">
      <w:pPr>
        <w:pStyle w:val="JuQuot"/>
        <w:rPr>
          <w:iCs/>
        </w:rPr>
      </w:pPr>
      <w:r>
        <w:rPr>
          <w:iCs/>
        </w:rPr>
        <w:t>6.  </w:t>
      </w:r>
      <w:r w:rsidRPr="00A855E0">
        <w:rPr>
          <w:iCs/>
        </w:rPr>
        <w:t xml:space="preserve">The considerations expounded in </w:t>
      </w:r>
      <w:r>
        <w:rPr>
          <w:iCs/>
        </w:rPr>
        <w:t xml:space="preserve">sections </w:t>
      </w:r>
      <w:r w:rsidRPr="00A855E0">
        <w:rPr>
          <w:iCs/>
        </w:rPr>
        <w:t>3</w:t>
      </w:r>
      <w:r w:rsidR="009218A6">
        <w:rPr>
          <w:iCs/>
        </w:rPr>
        <w:t xml:space="preserve"> to </w:t>
      </w:r>
      <w:r w:rsidRPr="00A855E0">
        <w:rPr>
          <w:iCs/>
        </w:rPr>
        <w:t>5</w:t>
      </w:r>
      <w:r>
        <w:rPr>
          <w:iCs/>
        </w:rPr>
        <w:t xml:space="preserve"> of the document</w:t>
      </w:r>
      <w:r w:rsidRPr="00A855E0">
        <w:rPr>
          <w:iCs/>
        </w:rPr>
        <w:t xml:space="preserve"> refer in general to the importance of the interpretative guidance of the </w:t>
      </w:r>
      <w:smartTag w:uri="urn:schemas-microsoft-com:office:smarttags" w:element="Street">
        <w:smartTag w:uri="urn:schemas-microsoft-com:office:smarttags" w:element="address">
          <w:r w:rsidRPr="00A855E0">
            <w:rPr>
              <w:iCs/>
            </w:rPr>
            <w:t>European Court</w:t>
          </w:r>
        </w:smartTag>
      </w:smartTag>
      <w:r w:rsidRPr="00A855E0">
        <w:rPr>
          <w:iCs/>
        </w:rPr>
        <w:t xml:space="preserve"> on the implementation of </w:t>
      </w:r>
      <w:r>
        <w:rPr>
          <w:iCs/>
        </w:rPr>
        <w:t>Law no.</w:t>
      </w:r>
      <w:r w:rsidRPr="00A855E0">
        <w:rPr>
          <w:iCs/>
        </w:rPr>
        <w:t xml:space="preserve"> 89/2001 with regard to repa</w:t>
      </w:r>
      <w:r>
        <w:rPr>
          <w:iCs/>
        </w:rPr>
        <w:t>ration for non-pecuniary damage.</w:t>
      </w:r>
    </w:p>
    <w:p w:rsidRPr="00A855E0" w:rsidR="00272636" w:rsidP="003C3A9D" w:rsidRDefault="003C3A9D">
      <w:pPr>
        <w:pStyle w:val="JuQuotChar1"/>
        <w:rPr>
          <w:iCs/>
        </w:rPr>
      </w:pPr>
      <w:r w:rsidRPr="00A855E0">
        <w:rPr>
          <w:iCs/>
        </w:rPr>
        <w:t xml:space="preserve">In this particular instance, however, any possibility for the national court to exclude non-pecuniary damage (despite having </w:t>
      </w:r>
      <w:r>
        <w:rPr>
          <w:iCs/>
        </w:rPr>
        <w:t>found</w:t>
      </w:r>
      <w:r w:rsidRPr="00A855E0">
        <w:rPr>
          <w:iCs/>
        </w:rPr>
        <w:t xml:space="preserve"> a violation of Article</w:t>
      </w:r>
      <w:r w:rsidR="00143E15">
        <w:rPr>
          <w:iCs/>
        </w:rPr>
        <w:t xml:space="preserve"> </w:t>
      </w:r>
      <w:r w:rsidRPr="00A855E0">
        <w:rPr>
          <w:iCs/>
        </w:rPr>
        <w:t xml:space="preserve">6 of the Convention) must be considered as non-existent because </w:t>
      </w:r>
      <w:r>
        <w:rPr>
          <w:iCs/>
        </w:rPr>
        <w:t>such</w:t>
      </w:r>
      <w:r w:rsidRPr="00A855E0">
        <w:rPr>
          <w:iCs/>
        </w:rPr>
        <w:t xml:space="preserve"> is </w:t>
      </w:r>
      <w:r>
        <w:rPr>
          <w:iCs/>
        </w:rPr>
        <w:t>precluded</w:t>
      </w:r>
      <w:r w:rsidRPr="00A855E0">
        <w:rPr>
          <w:iCs/>
        </w:rPr>
        <w:t xml:space="preserve"> by the previous decision of the European Court which, with reference to the same proceedings, had already ascertained that the unjustified delay in reaching a decision had had consequences involving non-pecuniary damage for the applicant, which the Court itself redressed for a limited period. From such a decision of the </w:t>
      </w:r>
      <w:smartTag w:uri="urn:schemas-microsoft-com:office:smarttags" w:element="Street">
        <w:smartTag w:uri="urn:schemas-microsoft-com:office:smarttags" w:element="address">
          <w:r w:rsidRPr="00A855E0">
            <w:rPr>
              <w:iCs/>
            </w:rPr>
            <w:t>European Court</w:t>
          </w:r>
        </w:smartTag>
      </w:smartTag>
      <w:r w:rsidRPr="00A855E0">
        <w:rPr>
          <w:iCs/>
        </w:rPr>
        <w:t xml:space="preserve"> it follows that, once the national court has ascertained that the violation has continued in the period following that considered in the said decision, the applicant has continued to suffer non-pecuniary damage, which must be compensated for in application of </w:t>
      </w:r>
      <w:r>
        <w:rPr>
          <w:iCs/>
        </w:rPr>
        <w:t>Law no.</w:t>
      </w:r>
      <w:r w:rsidRPr="00A855E0">
        <w:rPr>
          <w:iCs/>
        </w:rPr>
        <w:t xml:space="preserve"> 89/2001.</w:t>
      </w:r>
    </w:p>
    <w:p w:rsidRPr="00A855E0" w:rsidR="003C3A9D" w:rsidP="003C3A9D" w:rsidRDefault="003C3A9D">
      <w:pPr>
        <w:pStyle w:val="JuQuot"/>
        <w:rPr>
          <w:iCs/>
        </w:rPr>
      </w:pPr>
      <w:r w:rsidRPr="00A855E0">
        <w:rPr>
          <w:iCs/>
        </w:rPr>
        <w:t>It cannot therefore be maintained – as the Rome Court of Appeal has done – that compensation is not due because of the small amounts at stake in the proceedings in question. Such reason</w:t>
      </w:r>
      <w:r w:rsidR="00914B52">
        <w:rPr>
          <w:iCs/>
        </w:rPr>
        <w:t>ing</w:t>
      </w:r>
      <w:r w:rsidRPr="00A855E0">
        <w:rPr>
          <w:iCs/>
        </w:rPr>
        <w:t xml:space="preserve">, apart from being rendered immaterial by the fact that the European Court has already ruled that non-pecuniary damage had been sustained because of </w:t>
      </w:r>
      <w:r w:rsidR="00914B52">
        <w:rPr>
          <w:iCs/>
        </w:rPr>
        <w:t xml:space="preserve">a </w:t>
      </w:r>
      <w:r w:rsidRPr="00A855E0">
        <w:rPr>
          <w:iCs/>
        </w:rPr>
        <w:t>delay in the same action, is in any case incorrect, because the amount of what is at stake in an action in which non-</w:t>
      </w:r>
      <w:r>
        <w:rPr>
          <w:iCs/>
        </w:rPr>
        <w:t>compliance with r</w:t>
      </w:r>
      <w:r w:rsidRPr="00A855E0">
        <w:rPr>
          <w:iCs/>
        </w:rPr>
        <w:t>easonable time</w:t>
      </w:r>
      <w:r>
        <w:rPr>
          <w:iCs/>
        </w:rPr>
        <w:t>-</w:t>
      </w:r>
      <w:r w:rsidRPr="00A855E0">
        <w:rPr>
          <w:iCs/>
        </w:rPr>
        <w:t xml:space="preserve">limits has been ascertained can never have the effect of excluding non-pecuniary damage, given that the anxiety and </w:t>
      </w:r>
      <w:r>
        <w:rPr>
          <w:iCs/>
        </w:rPr>
        <w:t>distress</w:t>
      </w:r>
      <w:r w:rsidRPr="00A855E0">
        <w:rPr>
          <w:iCs/>
        </w:rPr>
        <w:t xml:space="preserve"> resulting from the length of the </w:t>
      </w:r>
      <w:r>
        <w:rPr>
          <w:iCs/>
        </w:rPr>
        <w:t>proceedings</w:t>
      </w:r>
      <w:r w:rsidRPr="00A855E0">
        <w:rPr>
          <w:iCs/>
        </w:rPr>
        <w:t xml:space="preserve"> normally also occur in cases in which the amounts at stake are small; hence this aspect may have the effect of reducing the amount of compensation but not of totally excluding it.</w:t>
      </w:r>
    </w:p>
    <w:p w:rsidRPr="006E07DC" w:rsidR="007F1809" w:rsidP="003C3A9D" w:rsidRDefault="00B767E4">
      <w:pPr>
        <w:pStyle w:val="JuQuot"/>
      </w:pPr>
      <w:r>
        <w:t>7</w:t>
      </w:r>
      <w:r w:rsidR="006E0CF6">
        <w:t>.</w:t>
      </w:r>
      <w:r>
        <w:t>  </w:t>
      </w:r>
      <w:r w:rsidRPr="00A855E0" w:rsidR="003C3A9D">
        <w:t xml:space="preserve">In conclusion the decision appealed against </w:t>
      </w:r>
      <w:r w:rsidR="003C3A9D">
        <w:t>must be</w:t>
      </w:r>
      <w:r w:rsidRPr="00A855E0" w:rsidR="003C3A9D">
        <w:t xml:space="preserve"> quashed and the case </w:t>
      </w:r>
      <w:r w:rsidR="003C3A9D">
        <w:t xml:space="preserve">remitted </w:t>
      </w:r>
      <w:r w:rsidRPr="00A855E0" w:rsidR="003C3A9D">
        <w:t>to the Rome Court of Appeal, which</w:t>
      </w:r>
      <w:r w:rsidR="003C3A9D">
        <w:t>,</w:t>
      </w:r>
      <w:r w:rsidRPr="00A855E0" w:rsidR="003C3A9D">
        <w:t xml:space="preserve"> in a different composition, will order payment to the applicant of </w:t>
      </w:r>
      <w:r w:rsidR="008F5DFD">
        <w:t>compensation for</w:t>
      </w:r>
      <w:r w:rsidRPr="00A855E0" w:rsidR="003C3A9D">
        <w:t xml:space="preserve"> non-pecuniary damage</w:t>
      </w:r>
      <w:r w:rsidR="003C3A9D">
        <w:t xml:space="preserve"> payable as a result of</w:t>
      </w:r>
      <w:r w:rsidRPr="00A855E0" w:rsidR="003C3A9D">
        <w:t xml:space="preserve"> the violation of the reasonable</w:t>
      </w:r>
      <w:r w:rsidR="003C3A9D">
        <w:t>-</w:t>
      </w:r>
      <w:r w:rsidRPr="00A855E0" w:rsidR="003C3A9D">
        <w:t xml:space="preserve">time </w:t>
      </w:r>
      <w:r w:rsidR="003C3A9D">
        <w:t>requirement</w:t>
      </w:r>
      <w:r w:rsidRPr="00A855E0" w:rsidR="003C3A9D">
        <w:t xml:space="preserve"> for the period following 16</w:t>
      </w:r>
      <w:r w:rsidR="008F5DFD">
        <w:t> </w:t>
      </w:r>
      <w:r w:rsidRPr="00A855E0" w:rsidR="003C3A9D">
        <w:t>April 1996</w:t>
      </w:r>
      <w:r w:rsidR="003C3A9D">
        <w:t xml:space="preserve"> alone</w:t>
      </w:r>
      <w:r w:rsidRPr="00A855E0" w:rsidR="003C3A9D">
        <w:t>, taking as a reference point payment</w:t>
      </w:r>
      <w:r w:rsidR="003C3A9D">
        <w:t>s</w:t>
      </w:r>
      <w:r w:rsidRPr="00A855E0" w:rsidR="003C3A9D">
        <w:t xml:space="preserve"> of the same kind of damage</w:t>
      </w:r>
      <w:r w:rsidR="003C3A9D">
        <w:t>s</w:t>
      </w:r>
      <w:r w:rsidRPr="00A855E0" w:rsidR="003C3A9D">
        <w:t xml:space="preserve"> by the European Court of Human Rights, </w:t>
      </w:r>
      <w:r w:rsidR="003C3A9D">
        <w:t>from</w:t>
      </w:r>
      <w:r w:rsidRPr="00A855E0" w:rsidR="003C3A9D">
        <w:t xml:space="preserve"> which it may </w:t>
      </w:r>
      <w:r w:rsidR="003C3A9D">
        <w:t>diverge</w:t>
      </w:r>
      <w:r w:rsidRPr="00A855E0" w:rsidR="003C3A9D">
        <w:t>, but only to a reasonable extent (Court</w:t>
      </w:r>
      <w:r w:rsidRPr="009218A6" w:rsidR="009218A6">
        <w:t xml:space="preserve"> </w:t>
      </w:r>
      <w:r w:rsidR="009218A6">
        <w:t>HR</w:t>
      </w:r>
      <w:r w:rsidRPr="00A855E0" w:rsidR="003C3A9D">
        <w:t xml:space="preserve">, 27 March 2003, </w:t>
      </w:r>
      <w:r w:rsidRPr="006618D2" w:rsidR="003C3A9D">
        <w:rPr>
          <w:i/>
        </w:rPr>
        <w:t>Scordino v. Italy</w:t>
      </w:r>
      <w:r w:rsidR="003C3A9D">
        <w:t>)</w:t>
      </w:r>
      <w:r w:rsidR="00AD16B3">
        <w:t>.</w:t>
      </w:r>
      <w:r w:rsidR="003C3A9D">
        <w:t>”</w:t>
      </w:r>
    </w:p>
    <w:p w:rsidRPr="00DD5335" w:rsidR="007F1809" w:rsidP="00124007" w:rsidRDefault="00143E15">
      <w:pPr>
        <w:pStyle w:val="JuHa"/>
        <w:outlineLvl w:val="0"/>
        <w:rPr>
          <w:lang w:val="en-GB"/>
        </w:rPr>
      </w:pPr>
      <w:r>
        <w:rPr>
          <w:lang w:val="en-GB"/>
        </w:rPr>
        <w:t>(</w:t>
      </w:r>
      <w:r w:rsidRPr="00DD5335" w:rsidR="00DD5335">
        <w:rPr>
          <w:lang w:val="en-GB"/>
        </w:rPr>
        <w:t>b</w:t>
      </w:r>
      <w:r>
        <w:rPr>
          <w:lang w:val="en-GB"/>
        </w:rPr>
        <w:t>)</w:t>
      </w:r>
      <w:r w:rsidRPr="00DD5335" w:rsidR="009E6C16">
        <w:rPr>
          <w:lang w:val="en-GB"/>
        </w:rPr>
        <w:t>  Case-law on the transfer of the</w:t>
      </w:r>
      <w:r w:rsidRPr="00DD5335" w:rsidR="007F1809">
        <w:rPr>
          <w:lang w:val="en-GB"/>
        </w:rPr>
        <w:t xml:space="preserve"> right to compensation</w:t>
      </w:r>
    </w:p>
    <w:p w:rsidRPr="00285346" w:rsidR="007F1809" w:rsidP="008C0F9B" w:rsidRDefault="00143E15">
      <w:pPr>
        <w:pStyle w:val="JuHi"/>
        <w:rPr>
          <w:lang w:val="en-GB"/>
        </w:rPr>
      </w:pPr>
      <w:r>
        <w:rPr>
          <w:lang w:val="en-GB"/>
        </w:rPr>
        <w:t>(</w:t>
      </w:r>
      <w:r w:rsidRPr="00285346" w:rsidR="00DD5335">
        <w:rPr>
          <w:lang w:val="en-GB"/>
        </w:rPr>
        <w:t>i</w:t>
      </w:r>
      <w:r w:rsidRPr="00285346" w:rsidR="007F1809">
        <w:rPr>
          <w:lang w:val="en-GB"/>
        </w:rPr>
        <w:t xml:space="preserve">)  Judgment </w:t>
      </w:r>
      <w:r w:rsidRPr="00285346" w:rsidR="002B2DB4">
        <w:rPr>
          <w:lang w:val="en-GB"/>
        </w:rPr>
        <w:t xml:space="preserve">no. 17650/02 </w:t>
      </w:r>
      <w:r w:rsidRPr="00285346" w:rsidR="007F1809">
        <w:rPr>
          <w:lang w:val="en-GB"/>
        </w:rPr>
        <w:t>of the Court of Cassation</w:t>
      </w:r>
      <w:r w:rsidR="002B2DB4">
        <w:rPr>
          <w:lang w:val="en-GB"/>
        </w:rPr>
        <w:t>,</w:t>
      </w:r>
      <w:r w:rsidRPr="00285346" w:rsidR="007F1809">
        <w:rPr>
          <w:lang w:val="en-GB"/>
        </w:rPr>
        <w:t xml:space="preserve"> deposited with the registry on 15</w:t>
      </w:r>
      <w:r w:rsidR="001861AD">
        <w:rPr>
          <w:lang w:val="en-GB"/>
        </w:rPr>
        <w:t xml:space="preserve"> </w:t>
      </w:r>
      <w:r w:rsidRPr="00285346" w:rsidR="007F1809">
        <w:rPr>
          <w:lang w:val="en-GB"/>
        </w:rPr>
        <w:t>October 2002</w:t>
      </w:r>
    </w:p>
    <w:p w:rsidRPr="00096409" w:rsidR="00096409" w:rsidP="00096409" w:rsidRDefault="00C00660">
      <w:pPr>
        <w:pStyle w:val="JuParaChar1Char"/>
      </w:pPr>
      <w:r>
        <w:fldChar w:fldCharType="begin"/>
      </w:r>
      <w:r>
        <w:instrText xml:space="preserve"> SEQ level0 \*arabic </w:instrText>
      </w:r>
      <w:r>
        <w:fldChar w:fldCharType="separate"/>
      </w:r>
      <w:r w:rsidR="008B3B68">
        <w:rPr>
          <w:noProof/>
        </w:rPr>
        <w:t>65</w:t>
      </w:r>
      <w:r>
        <w:fldChar w:fldCharType="end"/>
      </w:r>
      <w:r>
        <w:t>.  </w:t>
      </w:r>
      <w:r w:rsidR="00096409">
        <w:t xml:space="preserve">The Court of Cassation </w:t>
      </w:r>
      <w:r w:rsidR="00181414">
        <w:t>held</w:t>
      </w:r>
      <w:r w:rsidR="00096409">
        <w:t xml:space="preserve"> as follows:</w:t>
      </w:r>
    </w:p>
    <w:p w:rsidRPr="00E409A4" w:rsidR="007F1809" w:rsidP="003E412B" w:rsidRDefault="007F1809">
      <w:pPr>
        <w:pStyle w:val="JuQuotChar1"/>
        <w:keepNext/>
        <w:keepLines/>
      </w:pPr>
      <w:r>
        <w:t>“</w:t>
      </w:r>
      <w:r w:rsidRPr="00E409A4">
        <w:t xml:space="preserve">...Where the victim of </w:t>
      </w:r>
      <w:r>
        <w:t>unreasonably</w:t>
      </w:r>
      <w:r w:rsidRPr="00E409A4">
        <w:t xml:space="preserve"> length</w:t>
      </w:r>
      <w:r>
        <w:t>y</w:t>
      </w:r>
      <w:r w:rsidRPr="00E409A4">
        <w:t xml:space="preserve"> proceedings dies prior to the e</w:t>
      </w:r>
      <w:r w:rsidR="00D74B17">
        <w:t>ntry into force of Law no. 89/</w:t>
      </w:r>
      <w:r w:rsidRPr="00E409A4">
        <w:t>2001 [</w:t>
      </w:r>
      <w:r w:rsidR="00E52428">
        <w:t xml:space="preserve">the </w:t>
      </w:r>
      <w:r w:rsidR="00E6191D">
        <w:t>‘</w:t>
      </w:r>
      <w:r w:rsidRPr="00E409A4">
        <w:t>Pinto Act</w:t>
      </w:r>
      <w:r w:rsidR="00E6191D">
        <w:t>’</w:t>
      </w:r>
      <w:r>
        <w:t>] this shall preclude</w:t>
      </w:r>
      <w:r w:rsidRPr="00E409A4">
        <w:t xml:space="preserve"> a right [to just satisfaction] </w:t>
      </w:r>
      <w:r>
        <w:t>from arising and passing to the heirs</w:t>
      </w:r>
      <w:r w:rsidRPr="00E409A4">
        <w:t xml:space="preserve">, </w:t>
      </w:r>
      <w:r>
        <w:t>in accordance with the general rule that a person who has died cannot become entitled to a right conferred by an Act that is passed after their death</w:t>
      </w:r>
      <w:r w:rsidR="006E0CF6">
        <w:t xml:space="preserve"> </w:t>
      </w:r>
      <w:r>
        <w:t>...”</w:t>
      </w:r>
    </w:p>
    <w:p w:rsidR="00967E1F" w:rsidP="008C0F9B" w:rsidRDefault="00143E15">
      <w:pPr>
        <w:pStyle w:val="JuHi"/>
        <w:rPr>
          <w:lang w:val="en-GB"/>
        </w:rPr>
      </w:pPr>
      <w:r>
        <w:rPr>
          <w:lang w:val="en-GB"/>
        </w:rPr>
        <w:t>(</w:t>
      </w:r>
      <w:r w:rsidRPr="00285346" w:rsidR="00DD5335">
        <w:rPr>
          <w:lang w:val="en-GB"/>
        </w:rPr>
        <w:t>ii</w:t>
      </w:r>
      <w:r w:rsidRPr="00285346" w:rsidR="007F1809">
        <w:rPr>
          <w:lang w:val="en-GB"/>
        </w:rPr>
        <w:t xml:space="preserve">)  Judgment </w:t>
      </w:r>
      <w:r w:rsidRPr="00285346" w:rsidR="002B2DB4">
        <w:rPr>
          <w:lang w:val="en-GB"/>
        </w:rPr>
        <w:t>no. 5264/03</w:t>
      </w:r>
      <w:r w:rsidR="002B2DB4">
        <w:rPr>
          <w:lang w:val="en-GB"/>
        </w:rPr>
        <w:t xml:space="preserve"> </w:t>
      </w:r>
      <w:r w:rsidRPr="00285346" w:rsidR="007F1809">
        <w:rPr>
          <w:lang w:val="en-GB"/>
        </w:rPr>
        <w:t>of the Court of Cassation</w:t>
      </w:r>
      <w:r w:rsidR="002B2DB4">
        <w:rPr>
          <w:lang w:val="en-GB"/>
        </w:rPr>
        <w:t>,</w:t>
      </w:r>
      <w:r w:rsidRPr="00285346" w:rsidR="007F1809">
        <w:rPr>
          <w:lang w:val="en-GB"/>
        </w:rPr>
        <w:t xml:space="preserve"> deposited with the registry on </w:t>
      </w:r>
      <w:smartTag w:uri="urn:schemas-microsoft-com:office:smarttags" w:element="date">
        <w:smartTagPr>
          <w:attr w:name="Month" w:val="4"/>
          <w:attr w:name="Day" w:val="4"/>
          <w:attr w:name="Year" w:val="2003"/>
        </w:smartTagPr>
        <w:r w:rsidR="007F1809" w:rsidRPr="00285346">
          <w:rPr>
            <w:lang w:val="en-GB"/>
          </w:rPr>
          <w:t>4 April 2003</w:t>
        </w:r>
      </w:smartTag>
    </w:p>
    <w:p w:rsidR="00967E1F" w:rsidP="009E6C16" w:rsidRDefault="007F1809">
      <w:pPr>
        <w:pStyle w:val="JuPara"/>
        <w:rPr>
          <w:lang w:val="en-GB"/>
        </w:rPr>
      </w:pPr>
      <w:r>
        <w:fldChar w:fldCharType="begin"/>
      </w:r>
      <w:r w:rsidRPr="00DA15E2">
        <w:rPr>
          <w:lang w:val="en-GB"/>
        </w:rPr>
        <w:instrText xml:space="preserve"> SEQ level0 \*arabic </w:instrText>
      </w:r>
      <w:r>
        <w:fldChar w:fldCharType="separate"/>
      </w:r>
      <w:r w:rsidR="008B3B68">
        <w:rPr>
          <w:noProof/>
          <w:lang w:val="en-GB"/>
        </w:rPr>
        <w:t>66</w:t>
      </w:r>
      <w:r>
        <w:fldChar w:fldCharType="end"/>
      </w:r>
      <w:r w:rsidRPr="00DA15E2">
        <w:rPr>
          <w:lang w:val="en-GB"/>
        </w:rPr>
        <w:t xml:space="preserve">.  The Court of Cassation judges noted that the right to compensation for a violation of the right to a hearing within a reasonable time derived from the Pinto Act. The mechanism </w:t>
      </w:r>
      <w:r w:rsidR="00914B52">
        <w:rPr>
          <w:lang w:val="en-GB"/>
        </w:rPr>
        <w:t>put</w:t>
      </w:r>
      <w:r w:rsidRPr="00DA15E2">
        <w:rPr>
          <w:lang w:val="en-GB"/>
        </w:rPr>
        <w:t xml:space="preserve"> in place by the European standard did not give applicants a cause of action before the domestic courts. Accordingly, </w:t>
      </w:r>
      <w:r w:rsidR="00B56031">
        <w:rPr>
          <w:lang w:val="en-GB"/>
        </w:rPr>
        <w:t xml:space="preserve">the right to </w:t>
      </w:r>
      <w:r w:rsidRPr="00DA15E2">
        <w:rPr>
          <w:lang w:val="en-GB"/>
        </w:rPr>
        <w:t xml:space="preserve">“just satisfaction” could neither be acquired nor transferred by a person who had already died by the time the Pinto Act came into force. The fact that the deceased had, while alive, lodged an application with the </w:t>
      </w:r>
      <w:smartTag w:uri="urn:schemas-microsoft-com:office:smarttags" w:element="Street">
        <w:smartTag w:uri="urn:schemas-microsoft-com:office:smarttags" w:element="address">
          <w:r w:rsidRPr="00DA15E2">
            <w:rPr>
              <w:lang w:val="en-GB"/>
            </w:rPr>
            <w:t>Strasbourg Court</w:t>
          </w:r>
        </w:smartTag>
      </w:smartTag>
      <w:r w:rsidRPr="00DA15E2">
        <w:rPr>
          <w:lang w:val="en-GB"/>
        </w:rPr>
        <w:t xml:space="preserve"> was not decisive. Section 6 of the Pinto Act did not constitute, as the applicants had maintained, a procedural standard </w:t>
      </w:r>
      <w:r w:rsidRPr="00DA15E2" w:rsidR="00004E42">
        <w:rPr>
          <w:lang w:val="en-GB"/>
        </w:rPr>
        <w:t>bringing about a</w:t>
      </w:r>
      <w:r w:rsidR="00C50DE6">
        <w:rPr>
          <w:lang w:val="en-GB"/>
        </w:rPr>
        <w:t xml:space="preserve"> transfer of powers</w:t>
      </w:r>
      <w:r w:rsidRPr="00DA15E2" w:rsidR="00004E42">
        <w:rPr>
          <w:i/>
          <w:lang w:val="en-GB"/>
        </w:rPr>
        <w:t xml:space="preserve"> </w:t>
      </w:r>
      <w:r w:rsidRPr="00DA15E2" w:rsidR="00004E42">
        <w:rPr>
          <w:lang w:val="en-GB"/>
        </w:rPr>
        <w:t xml:space="preserve">from the </w:t>
      </w:r>
      <w:smartTag w:uri="urn:schemas-microsoft-com:office:smarttags" w:element="Street">
        <w:smartTag w:uri="urn:schemas-microsoft-com:office:smarttags" w:element="address">
          <w:r w:rsidR="00004E42" w:rsidRPr="00DA15E2">
            <w:rPr>
              <w:lang w:val="en-GB"/>
            </w:rPr>
            <w:t>European Court</w:t>
          </w:r>
        </w:smartTag>
      </w:smartTag>
      <w:r w:rsidRPr="00DA15E2" w:rsidR="00004E42">
        <w:rPr>
          <w:lang w:val="en-GB"/>
        </w:rPr>
        <w:t xml:space="preserve"> to the domestic courts</w:t>
      </w:r>
      <w:r w:rsidRPr="00DA15E2">
        <w:rPr>
          <w:lang w:val="en-GB"/>
        </w:rPr>
        <w:t>.</w:t>
      </w:r>
    </w:p>
    <w:p w:rsidR="00967E1F" w:rsidP="008C0F9B" w:rsidRDefault="00143E15">
      <w:pPr>
        <w:pStyle w:val="JuHi"/>
        <w:rPr>
          <w:lang w:val="en-GB"/>
        </w:rPr>
      </w:pPr>
      <w:r>
        <w:rPr>
          <w:lang w:val="en-GB"/>
        </w:rPr>
        <w:t>(</w:t>
      </w:r>
      <w:r w:rsidRPr="00285346" w:rsidR="000F1321">
        <w:rPr>
          <w:lang w:val="en-GB"/>
        </w:rPr>
        <w:t>iii</w:t>
      </w:r>
      <w:r w:rsidRPr="00285346" w:rsidR="007F1809">
        <w:rPr>
          <w:lang w:val="en-GB"/>
        </w:rPr>
        <w:t xml:space="preserve">)  Order </w:t>
      </w:r>
      <w:r w:rsidRPr="00285346" w:rsidR="002B2DB4">
        <w:rPr>
          <w:lang w:val="en-GB"/>
        </w:rPr>
        <w:t xml:space="preserve">no. 11950/04 </w:t>
      </w:r>
      <w:r w:rsidRPr="00285346" w:rsidR="007F1809">
        <w:rPr>
          <w:lang w:val="en-GB"/>
        </w:rPr>
        <w:t>of the Court of Cassation</w:t>
      </w:r>
      <w:r w:rsidR="002B2DB4">
        <w:rPr>
          <w:lang w:val="en-GB"/>
        </w:rPr>
        <w:t>,</w:t>
      </w:r>
      <w:r w:rsidRPr="00285346" w:rsidR="007F1809">
        <w:rPr>
          <w:lang w:val="en-GB"/>
        </w:rPr>
        <w:t xml:space="preserve"> deposited with the registry on 26</w:t>
      </w:r>
      <w:r w:rsidR="001861AD">
        <w:rPr>
          <w:lang w:val="en-GB"/>
        </w:rPr>
        <w:t xml:space="preserve"> </w:t>
      </w:r>
      <w:r w:rsidRPr="00285346" w:rsidR="007F1809">
        <w:rPr>
          <w:lang w:val="en-GB"/>
        </w:rPr>
        <w:t>June 2004</w:t>
      </w:r>
    </w:p>
    <w:p w:rsidR="007F1809" w:rsidP="009E6C16" w:rsidRDefault="007F1809">
      <w:pPr>
        <w:pStyle w:val="JuPara"/>
        <w:rPr>
          <w:lang w:val="en-GB"/>
        </w:rPr>
      </w:pPr>
      <w:r>
        <w:fldChar w:fldCharType="begin"/>
      </w:r>
      <w:r w:rsidRPr="00272636">
        <w:rPr>
          <w:lang w:val="en-GB"/>
        </w:rPr>
        <w:instrText xml:space="preserve"> SEQ level0 \*arabic </w:instrText>
      </w:r>
      <w:r>
        <w:fldChar w:fldCharType="separate"/>
      </w:r>
      <w:r w:rsidR="008B3B68">
        <w:rPr>
          <w:noProof/>
          <w:lang w:val="en-GB"/>
        </w:rPr>
        <w:t>67</w:t>
      </w:r>
      <w:r>
        <w:fldChar w:fldCharType="end"/>
      </w:r>
      <w:r w:rsidRPr="00272636">
        <w:rPr>
          <w:lang w:val="en-GB"/>
        </w:rPr>
        <w:t>.  In this case, which concerned the possibility or otherwise of transferring to heirs the right to compensation deriving from a breach of Article 6 § 1 on account of the length of the proceedings, the First Division of the Court of Cassation referred the case to the full court indicating that there was a conflict between the case-law authorities, that is, between the restrictive approach taken by the Court of Cassation in the earlier judgments regarding heirs and the Pinto Act and the four judgments delivered by the Court of Cassation, sitting as a full court, on 26 January 2004 to the extent that a less strict interpretation would lead to the conclusion that this right to compensation has existed since Italy ratifi</w:t>
      </w:r>
      <w:r w:rsidRPr="00272636" w:rsidR="00272636">
        <w:rPr>
          <w:lang w:val="en-GB"/>
        </w:rPr>
        <w:t>ed the European Convention on 4 </w:t>
      </w:r>
      <w:r w:rsidRPr="00272636">
        <w:rPr>
          <w:lang w:val="en-GB"/>
        </w:rPr>
        <w:t>August 1955.</w:t>
      </w:r>
    </w:p>
    <w:p w:rsidRPr="00285346" w:rsidR="002B236F" w:rsidP="008C0F9B" w:rsidRDefault="00143E15">
      <w:pPr>
        <w:pStyle w:val="JuHi"/>
        <w:rPr>
          <w:sz w:val="24"/>
          <w:lang w:val="en-GB"/>
        </w:rPr>
      </w:pPr>
      <w:r>
        <w:rPr>
          <w:lang w:val="en-GB"/>
        </w:rPr>
        <w:t>(i</w:t>
      </w:r>
      <w:r w:rsidRPr="00285346" w:rsidR="0059514D">
        <w:rPr>
          <w:lang w:val="en-GB"/>
        </w:rPr>
        <w:t>v</w:t>
      </w:r>
      <w:r w:rsidR="00967E1F">
        <w:rPr>
          <w:lang w:val="en-GB"/>
        </w:rPr>
        <w:t>)  </w:t>
      </w:r>
      <w:r w:rsidRPr="00285346" w:rsidR="002B236F">
        <w:rPr>
          <w:lang w:val="en-GB"/>
        </w:rPr>
        <w:t>Extracts from judgment no.</w:t>
      </w:r>
      <w:r w:rsidR="001861AD">
        <w:rPr>
          <w:lang w:val="en-GB"/>
        </w:rPr>
        <w:t xml:space="preserve"> </w:t>
      </w:r>
      <w:r w:rsidRPr="00285346" w:rsidR="002B236F">
        <w:rPr>
          <w:lang w:val="en-GB"/>
        </w:rPr>
        <w:t>28507/05 of the plenary Court</w:t>
      </w:r>
      <w:r w:rsidRPr="00285346" w:rsidR="002B236F">
        <w:rPr>
          <w:sz w:val="24"/>
          <w:lang w:val="en-GB"/>
        </w:rPr>
        <w:t xml:space="preserve"> </w:t>
      </w:r>
      <w:r w:rsidRPr="00285346" w:rsidR="002B236F">
        <w:rPr>
          <w:lang w:val="en-GB"/>
        </w:rPr>
        <w:t>of Cassation</w:t>
      </w:r>
      <w:r w:rsidR="002B2DB4">
        <w:rPr>
          <w:lang w:val="en-GB"/>
        </w:rPr>
        <w:t>,</w:t>
      </w:r>
      <w:r w:rsidRPr="00285346" w:rsidR="002B236F">
        <w:rPr>
          <w:sz w:val="24"/>
          <w:lang w:val="en-GB"/>
        </w:rPr>
        <w:t xml:space="preserve"> </w:t>
      </w:r>
      <w:r w:rsidRPr="00285346" w:rsidR="002B236F">
        <w:rPr>
          <w:lang w:val="en-GB"/>
        </w:rPr>
        <w:t>deposited with the registry on</w:t>
      </w:r>
      <w:r w:rsidRPr="00285346" w:rsidR="002B236F">
        <w:rPr>
          <w:sz w:val="24"/>
          <w:lang w:val="en-GB"/>
        </w:rPr>
        <w:t xml:space="preserve"> </w:t>
      </w:r>
      <w:r w:rsidRPr="004872CA" w:rsidR="002B236F">
        <w:rPr>
          <w:lang w:val="en-GB"/>
        </w:rPr>
        <w:t>23</w:t>
      </w:r>
      <w:r w:rsidRPr="00285346" w:rsidR="002B236F">
        <w:rPr>
          <w:sz w:val="24"/>
          <w:lang w:val="en-GB"/>
        </w:rPr>
        <w:t xml:space="preserve"> </w:t>
      </w:r>
      <w:r w:rsidRPr="00285346" w:rsidR="002B236F">
        <w:rPr>
          <w:lang w:val="en-GB"/>
        </w:rPr>
        <w:t>December</w:t>
      </w:r>
      <w:r w:rsidRPr="00285346" w:rsidR="002B236F">
        <w:rPr>
          <w:sz w:val="24"/>
          <w:lang w:val="en-GB"/>
        </w:rPr>
        <w:t xml:space="preserve"> </w:t>
      </w:r>
      <w:r w:rsidRPr="004872CA" w:rsidR="002B236F">
        <w:rPr>
          <w:lang w:val="en-GB"/>
        </w:rPr>
        <w:t>2005</w:t>
      </w:r>
    </w:p>
    <w:p w:rsidRPr="00567473" w:rsidR="004778CC" w:rsidP="00297C2F" w:rsidRDefault="0059514D">
      <w:pPr>
        <w:pStyle w:val="JuPara"/>
        <w:rPr>
          <w:lang w:val="en-GB"/>
        </w:rPr>
      </w:pPr>
      <w:r>
        <w:fldChar w:fldCharType="begin"/>
      </w:r>
      <w:r w:rsidRPr="00567473">
        <w:rPr>
          <w:lang w:val="en-GB"/>
        </w:rPr>
        <w:instrText xml:space="preserve"> SEQ level0 \*arabic </w:instrText>
      </w:r>
      <w:r>
        <w:fldChar w:fldCharType="separate"/>
      </w:r>
      <w:r w:rsidR="008B3B68">
        <w:rPr>
          <w:noProof/>
          <w:lang w:val="en-GB"/>
        </w:rPr>
        <w:t>68</w:t>
      </w:r>
      <w:r>
        <w:fldChar w:fldCharType="end"/>
      </w:r>
      <w:r w:rsidRPr="00567473">
        <w:rPr>
          <w:lang w:val="en-GB"/>
        </w:rPr>
        <w:t>.  </w:t>
      </w:r>
      <w:r w:rsidRPr="00567473" w:rsidR="004778CC">
        <w:rPr>
          <w:lang w:val="en-GB"/>
        </w:rPr>
        <w:t>In the case giving rise to the order mentioned above referring the case to the full court (see paragraph</w:t>
      </w:r>
      <w:r w:rsidRPr="00567473" w:rsidR="00914B52">
        <w:rPr>
          <w:lang w:val="en-GB"/>
        </w:rPr>
        <w:t xml:space="preserve"> 67</w:t>
      </w:r>
      <w:r w:rsidRPr="00567473" w:rsidR="004778CC">
        <w:rPr>
          <w:lang w:val="en-GB"/>
        </w:rPr>
        <w:t>), the Court of Cassation, sitting as a full court, established the following principles, thus preventing any further conflicting decisions being given by the courts:</w:t>
      </w:r>
    </w:p>
    <w:p w:rsidRPr="004778CC" w:rsidR="00B4482B" w:rsidP="00E4735F" w:rsidRDefault="00E4735F">
      <w:pPr>
        <w:pStyle w:val="JuQuot"/>
      </w:pPr>
      <w:r>
        <w:t>“</w:t>
      </w:r>
      <w:r w:rsidR="00B767E4">
        <w:t>(i)  </w:t>
      </w:r>
      <w:r w:rsidRPr="004778CC" w:rsidR="004778CC">
        <w:t>Law no.</w:t>
      </w:r>
      <w:r w:rsidR="001861AD">
        <w:t xml:space="preserve"> </w:t>
      </w:r>
      <w:r w:rsidRPr="004778CC" w:rsidR="004778CC">
        <w:t xml:space="preserve">848 of 4 August 1955, which ratified the Convention and made it enforceable, introduced into </w:t>
      </w:r>
      <w:r w:rsidR="00A44D49">
        <w:t xml:space="preserve">the </w:t>
      </w:r>
      <w:r w:rsidRPr="004778CC" w:rsidR="004778CC">
        <w:t xml:space="preserve">domestic legal order the fundamental rights, belonging to the category of rights conferred on the individual by public law, provided for in </w:t>
      </w:r>
      <w:r w:rsidR="00A44D49">
        <w:t>S</w:t>
      </w:r>
      <w:r w:rsidRPr="004778CC" w:rsidR="004778CC">
        <w:t xml:space="preserve">ection </w:t>
      </w:r>
      <w:r w:rsidR="00A44D49">
        <w:t xml:space="preserve">I </w:t>
      </w:r>
      <w:r w:rsidRPr="004778CC" w:rsidR="004778CC">
        <w:t xml:space="preserve">of the Convention and which correspond to a large extent </w:t>
      </w:r>
      <w:r w:rsidR="00A44D49">
        <w:t>to</w:t>
      </w:r>
      <w:r w:rsidRPr="004778CC" w:rsidR="004778CC">
        <w:t xml:space="preserve"> those set forth in Article 2 of the Constitution. In that respect the Convention provisions are confirmatory and illustrative. ...</w:t>
      </w:r>
    </w:p>
    <w:p w:rsidRPr="004778CC" w:rsidR="00B4482B" w:rsidP="00E4735F" w:rsidRDefault="00B767E4">
      <w:pPr>
        <w:pStyle w:val="JuQuot"/>
      </w:pPr>
      <w:r>
        <w:t>(ii)  </w:t>
      </w:r>
      <w:r w:rsidRPr="004778CC" w:rsidR="004778CC">
        <w:t>It is necessary to reiterate the principle that the act giving rise to the right to reparation conferred by domestic law corresponds to a breach of the provision in Article 6 of the Convention, which is immediately applicable in domestic law.</w:t>
      </w:r>
    </w:p>
    <w:p w:rsidRPr="004778CC" w:rsidR="00B4482B" w:rsidP="00E4735F" w:rsidRDefault="004778CC">
      <w:pPr>
        <w:pStyle w:val="JuQuot"/>
      </w:pPr>
      <w:r w:rsidRPr="004778CC">
        <w:t>The distinction between the right to a hearing within a reasonable time, introduced by the European Convention on Human Rights (or even pre-existing as a constitutionally protected value), and the right to equitable reparation, which was allegedly introduced only by the Pinto Act, cannot be allowed in so far as the protection provided by the domestic courts does not depart from that previously offered by the Strasbourg Court, the domestic courts being bound to comply with the case-law of the European Court. ...</w:t>
      </w:r>
    </w:p>
    <w:p w:rsidRPr="00950FAA" w:rsidR="002B236F" w:rsidP="00E4735F" w:rsidRDefault="00B767E4">
      <w:pPr>
        <w:pStyle w:val="JuQuot"/>
      </w:pPr>
      <w:r>
        <w:t>(iii)  </w:t>
      </w:r>
      <w:r w:rsidRPr="00950FAA" w:rsidR="004778CC">
        <w:t>Accordingly, the right to equitable reparation for loss sustained as a result of the unreasonable length of proceedings prior to the entry into fo</w:t>
      </w:r>
      <w:r w:rsidR="005347B8">
        <w:t>rce of Law no. </w:t>
      </w:r>
      <w:r w:rsidRPr="00950FAA" w:rsidR="004778CC">
        <w:t>89/2001 must be acknowledged by the domestic courts even in favour of the heirs of a party who introduced the proceedings before that date, subject only to the condition that the claim has not already been lodged with the Strasbourg Court and the Court has not ruled on admissibility. ...</w:t>
      </w:r>
      <w:r w:rsidR="00E4735F">
        <w:t>”</w:t>
      </w:r>
    </w:p>
    <w:p w:rsidRPr="00BE0920" w:rsidR="007F1809" w:rsidP="00FE1514" w:rsidRDefault="00FE1514">
      <w:pPr>
        <w:pStyle w:val="JuHa"/>
        <w:rPr>
          <w:lang w:val="en-GB"/>
        </w:rPr>
      </w:pPr>
      <w:r w:rsidRPr="00BE0920">
        <w:rPr>
          <w:lang w:val="en-GB"/>
        </w:rPr>
        <w:t>(c)</w:t>
      </w:r>
      <w:r w:rsidRPr="00BE0920" w:rsidR="007F1809">
        <w:rPr>
          <w:lang w:val="en-GB"/>
        </w:rPr>
        <w:t xml:space="preserve">  Judgment </w:t>
      </w:r>
      <w:r w:rsidRPr="00BE0920" w:rsidR="00BD220B">
        <w:rPr>
          <w:lang w:val="en-GB"/>
        </w:rPr>
        <w:t xml:space="preserve">no. 18239/04 </w:t>
      </w:r>
      <w:r w:rsidRPr="00BE0920" w:rsidR="007F1809">
        <w:rPr>
          <w:lang w:val="en-GB"/>
        </w:rPr>
        <w:t>of the Court of Cassation</w:t>
      </w:r>
      <w:r w:rsidRPr="00BE0920" w:rsidR="00465FC6">
        <w:rPr>
          <w:lang w:val="en-GB"/>
        </w:rPr>
        <w:t>,</w:t>
      </w:r>
      <w:r w:rsidRPr="00BE0920" w:rsidR="007F1809">
        <w:rPr>
          <w:lang w:val="en-GB"/>
        </w:rPr>
        <w:t xml:space="preserve"> deposited with the registry on 10 September 2004</w:t>
      </w:r>
      <w:r w:rsidRPr="00BE0920" w:rsidR="00465FC6">
        <w:rPr>
          <w:lang w:val="en-GB"/>
        </w:rPr>
        <w:t>,</w:t>
      </w:r>
      <w:r w:rsidRPr="00BE0920" w:rsidR="007F1809">
        <w:rPr>
          <w:lang w:val="en-GB"/>
        </w:rPr>
        <w:t xml:space="preserve"> concerning the right to compensation of legal entities</w:t>
      </w:r>
    </w:p>
    <w:p w:rsidRPr="00DA15E2" w:rsidR="007F1809" w:rsidP="009E6C16" w:rsidRDefault="007F1809">
      <w:pPr>
        <w:pStyle w:val="JuPara"/>
        <w:rPr>
          <w:lang w:val="en-GB" w:eastAsia="en-US"/>
        </w:rPr>
      </w:pPr>
      <w:r>
        <w:fldChar w:fldCharType="begin"/>
      </w:r>
      <w:r w:rsidRPr="00DA15E2">
        <w:rPr>
          <w:lang w:val="en-GB"/>
        </w:rPr>
        <w:instrText xml:space="preserve"> SEQ level0 \*arabic </w:instrText>
      </w:r>
      <w:r>
        <w:fldChar w:fldCharType="separate"/>
      </w:r>
      <w:r w:rsidR="008B3B68">
        <w:rPr>
          <w:noProof/>
          <w:lang w:val="en-GB"/>
        </w:rPr>
        <w:t>69</w:t>
      </w:r>
      <w:r>
        <w:fldChar w:fldCharType="end"/>
      </w:r>
      <w:r w:rsidRPr="00DA15E2">
        <w:rPr>
          <w:lang w:val="en-GB"/>
        </w:rPr>
        <w:t xml:space="preserve">.  This judgment of the Court of Cassation concerned an appeal by the Ministry of Justice challenging </w:t>
      </w:r>
      <w:r w:rsidR="00F56B8D">
        <w:rPr>
          <w:lang w:val="en-GB"/>
        </w:rPr>
        <w:t>a</w:t>
      </w:r>
      <w:r w:rsidRPr="00DA15E2">
        <w:rPr>
          <w:lang w:val="en-GB"/>
        </w:rPr>
        <w:t xml:space="preserve"> </w:t>
      </w:r>
      <w:r w:rsidR="00F56B8D">
        <w:rPr>
          <w:lang w:val="en-GB"/>
        </w:rPr>
        <w:t>c</w:t>
      </w:r>
      <w:r w:rsidRPr="00DA15E2">
        <w:rPr>
          <w:lang w:val="en-GB"/>
        </w:rPr>
        <w:t xml:space="preserve">ourt of </w:t>
      </w:r>
      <w:r w:rsidR="00F56B8D">
        <w:rPr>
          <w:lang w:val="en-GB"/>
        </w:rPr>
        <w:t>a</w:t>
      </w:r>
      <w:r w:rsidRPr="00DA15E2">
        <w:rPr>
          <w:lang w:val="en-GB"/>
        </w:rPr>
        <w:t>ppeal</w:t>
      </w:r>
      <w:r w:rsidR="00E6191D">
        <w:rPr>
          <w:lang w:val="en-GB"/>
        </w:rPr>
        <w:t>’</w:t>
      </w:r>
      <w:r w:rsidRPr="00DA15E2">
        <w:rPr>
          <w:lang w:val="en-GB"/>
        </w:rPr>
        <w:t xml:space="preserve">s award of </w:t>
      </w:r>
      <w:r w:rsidR="00F56B8D">
        <w:rPr>
          <w:lang w:val="en-GB"/>
        </w:rPr>
        <w:t xml:space="preserve">compensation for </w:t>
      </w:r>
      <w:r w:rsidRPr="00DA15E2">
        <w:rPr>
          <w:lang w:val="en-GB"/>
        </w:rPr>
        <w:t xml:space="preserve">non-pecuniary damage to a juristic person. The Court of Cassation referred to the decision reached in </w:t>
      </w:r>
      <w:r w:rsidRPr="00DA15E2">
        <w:rPr>
          <w:i/>
          <w:lang w:val="en-GB" w:eastAsia="en-US"/>
        </w:rPr>
        <w:t>Comingersoll</w:t>
      </w:r>
      <w:r w:rsidR="004872CA">
        <w:rPr>
          <w:i/>
          <w:lang w:val="en-GB" w:eastAsia="en-US"/>
        </w:rPr>
        <w:t xml:space="preserve"> S.A.</w:t>
      </w:r>
      <w:r w:rsidRPr="00DA15E2">
        <w:rPr>
          <w:i/>
          <w:lang w:val="en-GB" w:eastAsia="en-US"/>
        </w:rPr>
        <w:t xml:space="preserve"> v. Portugal</w:t>
      </w:r>
      <w:r w:rsidRPr="00DA15E2">
        <w:rPr>
          <w:lang w:val="en-GB" w:eastAsia="en-US"/>
        </w:rPr>
        <w:t xml:space="preserve"> </w:t>
      </w:r>
      <w:r w:rsidR="00C73B7B">
        <w:rPr>
          <w:lang w:val="en-GB" w:eastAsia="en-US"/>
        </w:rPr>
        <w:t>(</w:t>
      </w:r>
      <w:r w:rsidRPr="00DA15E2">
        <w:rPr>
          <w:lang w:val="en-GB" w:eastAsia="en-US"/>
        </w:rPr>
        <w:t>[GC], no.</w:t>
      </w:r>
      <w:r w:rsidR="007E6554">
        <w:rPr>
          <w:lang w:val="en-GB" w:eastAsia="en-US"/>
        </w:rPr>
        <w:t> </w:t>
      </w:r>
      <w:r w:rsidRPr="00DA15E2">
        <w:rPr>
          <w:lang w:val="en-GB" w:eastAsia="en-US"/>
        </w:rPr>
        <w:t xml:space="preserve">35382/97, </w:t>
      </w:r>
      <w:r w:rsidRPr="00DA15E2" w:rsidR="00E53175">
        <w:rPr>
          <w:lang w:val="en-GB" w:eastAsia="en-US"/>
        </w:rPr>
        <w:t>ECHR</w:t>
      </w:r>
      <w:r w:rsidR="00A3566A">
        <w:rPr>
          <w:lang w:val="en-GB" w:eastAsia="en-US"/>
        </w:rPr>
        <w:t xml:space="preserve"> 2000-</w:t>
      </w:r>
      <w:r w:rsidRPr="00DA15E2">
        <w:rPr>
          <w:lang w:val="en-GB" w:eastAsia="en-US"/>
        </w:rPr>
        <w:t>IV</w:t>
      </w:r>
      <w:r w:rsidR="00AD16B3">
        <w:rPr>
          <w:lang w:val="en-GB" w:eastAsia="en-US"/>
        </w:rPr>
        <w:t>)</w:t>
      </w:r>
      <w:r w:rsidRPr="00DA15E2">
        <w:rPr>
          <w:lang w:val="en-GB" w:eastAsia="en-US"/>
        </w:rPr>
        <w:t xml:space="preserve"> and, after referring to the four judgments of the full court delivered on 26 January 2004, found that its own case-law was not in line with the European Court. </w:t>
      </w:r>
      <w:r w:rsidRPr="00DA15E2">
        <w:rPr>
          <w:lang w:val="en-GB"/>
        </w:rPr>
        <w:t xml:space="preserve">It held that there was no legal barrier to awarding just satisfaction to “juristic” persons according to the criteria of the </w:t>
      </w:r>
      <w:smartTag w:uri="urn:schemas-microsoft-com:office:smarttags" w:element="Street">
        <w:smartTag w:uri="urn:schemas-microsoft-com:office:smarttags" w:element="address">
          <w:r w:rsidRPr="00DA15E2">
            <w:rPr>
              <w:lang w:val="en-GB"/>
            </w:rPr>
            <w:t>Strasbourg Court</w:t>
          </w:r>
        </w:smartTag>
      </w:smartTag>
      <w:r w:rsidRPr="00DA15E2">
        <w:rPr>
          <w:lang w:val="en-GB"/>
        </w:rPr>
        <w:t xml:space="preserve">. Accordingly, since the </w:t>
      </w:r>
      <w:r w:rsidR="00F56B8D">
        <w:rPr>
          <w:lang w:val="en-GB"/>
        </w:rPr>
        <w:t>c</w:t>
      </w:r>
      <w:r w:rsidRPr="00DA15E2">
        <w:rPr>
          <w:lang w:val="en-GB"/>
        </w:rPr>
        <w:t xml:space="preserve">ourt of </w:t>
      </w:r>
      <w:r w:rsidR="00F56B8D">
        <w:rPr>
          <w:lang w:val="en-GB"/>
        </w:rPr>
        <w:t>a</w:t>
      </w:r>
      <w:r w:rsidRPr="00DA15E2">
        <w:rPr>
          <w:lang w:val="en-GB"/>
        </w:rPr>
        <w:t>ppeal had correctly decided the case</w:t>
      </w:r>
      <w:r w:rsidR="00710DEB">
        <w:rPr>
          <w:lang w:val="en-GB"/>
        </w:rPr>
        <w:t>,</w:t>
      </w:r>
      <w:r w:rsidRPr="00DA15E2">
        <w:rPr>
          <w:lang w:val="en-GB"/>
        </w:rPr>
        <w:t xml:space="preserve"> the appeal was dismissed.</w:t>
      </w:r>
    </w:p>
    <w:p w:rsidRPr="00BE0920" w:rsidR="007F1809" w:rsidP="00FE1514" w:rsidRDefault="00FE1514">
      <w:pPr>
        <w:pStyle w:val="JuHa"/>
        <w:rPr>
          <w:lang w:val="en-GB"/>
        </w:rPr>
      </w:pPr>
      <w:r w:rsidRPr="00BE0920">
        <w:rPr>
          <w:lang w:val="en-GB"/>
        </w:rPr>
        <w:t>(d)</w:t>
      </w:r>
      <w:r w:rsidRPr="00BE0920" w:rsidR="007F1809">
        <w:rPr>
          <w:lang w:val="en-GB"/>
        </w:rPr>
        <w:t>  Judgment</w:t>
      </w:r>
      <w:r w:rsidRPr="00BE0920" w:rsidR="00BD220B">
        <w:rPr>
          <w:lang w:val="en-GB"/>
        </w:rPr>
        <w:t xml:space="preserve"> no. 8568/05</w:t>
      </w:r>
      <w:r w:rsidRPr="00BE0920" w:rsidR="007F1809">
        <w:rPr>
          <w:lang w:val="en-GB"/>
        </w:rPr>
        <w:t xml:space="preserve"> of the Court of Cassation</w:t>
      </w:r>
      <w:r w:rsidRPr="00BE0920" w:rsidR="00465FC6">
        <w:rPr>
          <w:lang w:val="en-GB"/>
        </w:rPr>
        <w:t>,</w:t>
      </w:r>
      <w:r w:rsidRPr="00BE0920" w:rsidR="007F1809">
        <w:rPr>
          <w:lang w:val="en-GB"/>
        </w:rPr>
        <w:t xml:space="preserve"> deposited with the registry on 23 April 2005, concerning the presumption of non-pecuniary damage</w:t>
      </w:r>
    </w:p>
    <w:p w:rsidRPr="00096409" w:rsidR="00096409" w:rsidP="00096409" w:rsidRDefault="00096409">
      <w:pPr>
        <w:pStyle w:val="JuParaChar1Char"/>
      </w:pPr>
      <w:r>
        <w:fldChar w:fldCharType="begin"/>
      </w:r>
      <w:r>
        <w:instrText xml:space="preserve"> SEQ level0 \*arabic </w:instrText>
      </w:r>
      <w:r>
        <w:fldChar w:fldCharType="separate"/>
      </w:r>
      <w:r w:rsidR="008B3B68">
        <w:rPr>
          <w:noProof/>
        </w:rPr>
        <w:t>70</w:t>
      </w:r>
      <w:r>
        <w:fldChar w:fldCharType="end"/>
      </w:r>
      <w:r>
        <w:t>.  The Court of Cassation made the following observations:</w:t>
      </w:r>
    </w:p>
    <w:p w:rsidRPr="007D2410" w:rsidR="007F1809" w:rsidP="007F1809" w:rsidRDefault="007F1809">
      <w:pPr>
        <w:pStyle w:val="JuQuotChar1"/>
      </w:pPr>
      <w:r>
        <w:t>“</w:t>
      </w:r>
      <w:r w:rsidR="00B9248D">
        <w:t>...</w:t>
      </w:r>
      <w:r w:rsidRPr="007D2410">
        <w:t xml:space="preserve"> [</w:t>
      </w:r>
      <w:r>
        <w:t>Considering that</w:t>
      </w:r>
      <w:r w:rsidRPr="007D2410">
        <w:t>] non-pecuniary damage is the normal, albeit not automatic, consequence of a breach of the right to a hearing within a reasonable time</w:t>
      </w:r>
      <w:r>
        <w:t>,</w:t>
      </w:r>
      <w:r w:rsidRPr="007D2410">
        <w:t xml:space="preserve"> </w:t>
      </w:r>
      <w:r>
        <w:t>i</w:t>
      </w:r>
      <w:r w:rsidRPr="007D2410">
        <w:t>t</w:t>
      </w:r>
      <w:r>
        <w:t xml:space="preserve"> </w:t>
      </w:r>
      <w:r w:rsidRPr="007D2410">
        <w:t>will be deemed to exist</w:t>
      </w:r>
      <w:r>
        <w:t>,</w:t>
      </w:r>
      <w:r w:rsidRPr="007D2410">
        <w:t xml:space="preserve"> without it being necessa</w:t>
      </w:r>
      <w:r>
        <w:t xml:space="preserve">ry to specifically prove it </w:t>
      </w:r>
      <w:r w:rsidRPr="007D2410">
        <w:t>(direct</w:t>
      </w:r>
      <w:r>
        <w:t>ly</w:t>
      </w:r>
      <w:r w:rsidRPr="007D2410">
        <w:t xml:space="preserve"> o</w:t>
      </w:r>
      <w:r>
        <w:t>r</w:t>
      </w:r>
      <w:r w:rsidRPr="007D2410">
        <w:t xml:space="preserve"> </w:t>
      </w:r>
      <w:r>
        <w:t>by presumption),</w:t>
      </w:r>
      <w:r w:rsidRPr="007D2410">
        <w:t xml:space="preserve"> </w:t>
      </w:r>
      <w:r>
        <w:t>on the basis of the objective fact of the breach</w:t>
      </w:r>
      <w:r w:rsidRPr="007D2410">
        <w:t xml:space="preserve">, </w:t>
      </w:r>
      <w:r>
        <w:t xml:space="preserve">on </w:t>
      </w:r>
      <w:r w:rsidRPr="007D2410">
        <w:t>condition</w:t>
      </w:r>
      <w:r>
        <w:t xml:space="preserve"> that there are no special circumstances indicating the absence of any such damage in the actual case concerned </w:t>
      </w:r>
      <w:r w:rsidRPr="007D2410">
        <w:t>(Cass. A.P.</w:t>
      </w:r>
      <w:r w:rsidR="00A44D49">
        <w:t>,</w:t>
      </w:r>
      <w:r w:rsidRPr="007D2410">
        <w:t xml:space="preserve"> 26 </w:t>
      </w:r>
      <w:r>
        <w:t>January</w:t>
      </w:r>
      <w:r w:rsidRPr="007D2410">
        <w:t xml:space="preserve"> 2004</w:t>
      </w:r>
      <w:r w:rsidR="00A44D49">
        <w:t>,</w:t>
      </w:r>
      <w:r w:rsidR="00AD16B3">
        <w:t xml:space="preserve"> </w:t>
      </w:r>
      <w:r w:rsidRPr="007D2410">
        <w:t>n</w:t>
      </w:r>
      <w:r>
        <w:t>os. 1338 and</w:t>
      </w:r>
      <w:r w:rsidRPr="007D2410">
        <w:t xml:space="preserve"> 1339)</w:t>
      </w:r>
      <w:r w:rsidR="004872CA">
        <w:t>;</w:t>
      </w:r>
    </w:p>
    <w:p w:rsidR="0029356D" w:rsidP="007F1809" w:rsidRDefault="004872CA">
      <w:pPr>
        <w:pStyle w:val="JuQuotChar1"/>
      </w:pPr>
      <w:r>
        <w:t>–</w:t>
      </w:r>
      <w:r w:rsidR="0029356D">
        <w:t>  </w:t>
      </w:r>
      <w:r w:rsidR="00FE1514">
        <w:t>t</w:t>
      </w:r>
      <w:r w:rsidRPr="00640DBC" w:rsidR="007F1809">
        <w:t>he assessment on an equitable basis of compensation for non-pecuniary damage is subject – on account of the specific reference in section 2 of Law no. 89 of 24</w:t>
      </w:r>
      <w:r w:rsidR="00FE1514">
        <w:t> </w:t>
      </w:r>
      <w:r w:rsidRPr="00640DBC" w:rsidR="007F1809">
        <w:t>March 2001 to Article 6 of the European Convention on Hu</w:t>
      </w:r>
      <w:r w:rsidR="005347B8">
        <w:t xml:space="preserve">man Rights (ratified by Law no. </w:t>
      </w:r>
      <w:r w:rsidRPr="00640DBC" w:rsidR="007F1809">
        <w:t>848 of 4 August 1955) – to compliance with the Convention, in accordance with the judicial interpretation given by the Strasbourg Court (</w:t>
      </w:r>
      <w:r w:rsidR="007F1809">
        <w:t>non-compliance with which results in a violation of the law</w:t>
      </w:r>
      <w:r w:rsidRPr="00640DBC" w:rsidR="007F1809">
        <w:t xml:space="preserve">), and must therefore, as far as possible, </w:t>
      </w:r>
      <w:r w:rsidR="007F1809">
        <w:t>be commensurate, in substantive and not merely formal terms</w:t>
      </w:r>
      <w:r w:rsidRPr="00640DBC" w:rsidR="007F1809">
        <w:t>,</w:t>
      </w:r>
      <w:r w:rsidRPr="005C22FD" w:rsidR="007F1809">
        <w:t xml:space="preserve"> </w:t>
      </w:r>
      <w:r w:rsidR="007F1809">
        <w:t>with the amounts</w:t>
      </w:r>
      <w:r w:rsidRPr="00640DBC" w:rsidR="007F1809">
        <w:t xml:space="preserve"> </w:t>
      </w:r>
      <w:r w:rsidR="007F1809">
        <w:t>paid in similar</w:t>
      </w:r>
      <w:r w:rsidRPr="00640DBC" w:rsidR="007F1809">
        <w:t xml:space="preserve"> cas</w:t>
      </w:r>
      <w:r w:rsidR="007F1809">
        <w:t>es</w:t>
      </w:r>
      <w:r w:rsidRPr="00640DBC" w:rsidR="007F1809">
        <w:t xml:space="preserve"> </w:t>
      </w:r>
      <w:r w:rsidR="007F1809">
        <w:t>by the European Court, it being possible to adduce exceptional circumstances that suggest themselves in the particular case, on</w:t>
      </w:r>
      <w:r w:rsidRPr="00640DBC" w:rsidR="007F1809">
        <w:t xml:space="preserve"> condition </w:t>
      </w:r>
      <w:r w:rsidR="007F1809">
        <w:t>that they are reasoned, not</w:t>
      </w:r>
      <w:r w:rsidRPr="00640DBC" w:rsidR="007F1809">
        <w:t xml:space="preserve"> excessive</w:t>
      </w:r>
      <w:r w:rsidR="007F1809">
        <w:t xml:space="preserve"> and not unreasonable</w:t>
      </w:r>
      <w:r w:rsidRPr="00640DBC" w:rsidR="007F1809">
        <w:t xml:space="preserve"> (Cass. A.P.</w:t>
      </w:r>
      <w:r w:rsidR="00AD16B3">
        <w:t>,</w:t>
      </w:r>
      <w:r w:rsidRPr="00640DBC" w:rsidR="007F1809">
        <w:t xml:space="preserve"> 26 </w:t>
      </w:r>
      <w:r w:rsidR="007F1809">
        <w:t>January</w:t>
      </w:r>
      <w:r w:rsidRPr="00640DBC" w:rsidR="007F1809">
        <w:t xml:space="preserve"> 2004</w:t>
      </w:r>
      <w:r w:rsidR="00AD16B3">
        <w:t>,</w:t>
      </w:r>
      <w:r w:rsidRPr="00640DBC" w:rsidR="007F1809">
        <w:t xml:space="preserve"> n</w:t>
      </w:r>
      <w:r w:rsidR="007F1809">
        <w:t>o. 1340)</w:t>
      </w:r>
      <w:r w:rsidR="0029356D">
        <w:t>;</w:t>
      </w:r>
    </w:p>
    <w:p w:rsidRPr="00640DBC" w:rsidR="007F1809" w:rsidP="007F1809" w:rsidRDefault="00B9248D">
      <w:pPr>
        <w:pStyle w:val="JuQuotChar1"/>
      </w:pPr>
      <w:r>
        <w:t>...</w:t>
      </w:r>
    </w:p>
    <w:p w:rsidR="007F1809" w:rsidP="007F1809" w:rsidRDefault="004872CA">
      <w:pPr>
        <w:pStyle w:val="JuQuotChar1"/>
      </w:pPr>
      <w:r>
        <w:t>–</w:t>
      </w:r>
      <w:r w:rsidR="0029356D">
        <w:t>  </w:t>
      </w:r>
      <w:r w:rsidR="007F1809">
        <w:t>a discrepancy</w:t>
      </w:r>
      <w:r w:rsidRPr="006E07DC" w:rsidR="007F1809">
        <w:t xml:space="preserve"> in the method of calculation [between the Court</w:t>
      </w:r>
      <w:r w:rsidR="00E6191D">
        <w:t>’</w:t>
      </w:r>
      <w:r w:rsidRPr="006E07DC" w:rsidR="007F1809">
        <w:t xml:space="preserve">s case-law and section 2 of the Pinto Act] shall not affect </w:t>
      </w:r>
      <w:r w:rsidRPr="00531352" w:rsidR="007F1809">
        <w:t xml:space="preserve">the general vocation </w:t>
      </w:r>
      <w:r w:rsidR="009F55EE">
        <w:t>of Law no. 89/</w:t>
      </w:r>
      <w:r w:rsidRPr="006E07DC" w:rsidR="007F1809">
        <w:t xml:space="preserve">2001 to </w:t>
      </w:r>
      <w:r w:rsidR="007F1809">
        <w:t>meet</w:t>
      </w:r>
      <w:r w:rsidRPr="006E07DC" w:rsidR="007F1809">
        <w:t xml:space="preserve"> the objective of </w:t>
      </w:r>
      <w:r w:rsidR="007F1809">
        <w:t xml:space="preserve">awarding </w:t>
      </w:r>
      <w:r w:rsidRPr="006E07DC" w:rsidR="007F1809">
        <w:t>proper compensation for a breach of the right to a hearing within a reasonable time (</w:t>
      </w:r>
      <w:r w:rsidR="007F1809">
        <w:t>vocation</w:t>
      </w:r>
      <w:r w:rsidRPr="006E07DC" w:rsidR="007F1809">
        <w:t xml:space="preserve"> acknowledged by the European Cour</w:t>
      </w:r>
      <w:r w:rsidR="007F1809">
        <w:t xml:space="preserve">t in, </w:t>
      </w:r>
      <w:r w:rsidRPr="00531352" w:rsidR="007F1809">
        <w:rPr>
          <w:i/>
        </w:rPr>
        <w:t>inter alia</w:t>
      </w:r>
      <w:r w:rsidRPr="006E07DC" w:rsidR="007F1809">
        <w:t>,</w:t>
      </w:r>
      <w:r w:rsidR="007F1809">
        <w:t xml:space="preserve"> a de</w:t>
      </w:r>
      <w:r w:rsidRPr="006E07DC" w:rsidR="007F1809">
        <w:t xml:space="preserve">cision </w:t>
      </w:r>
      <w:r w:rsidR="007F1809">
        <w:t>of</w:t>
      </w:r>
      <w:r w:rsidRPr="006E07DC" w:rsidR="007F1809">
        <w:t xml:space="preserve"> 27 </w:t>
      </w:r>
      <w:r w:rsidR="007F1809">
        <w:t>March</w:t>
      </w:r>
      <w:r w:rsidRPr="006E07DC" w:rsidR="007F1809">
        <w:t xml:space="preserve"> </w:t>
      </w:r>
      <w:smartTag w:uri="urn:schemas-microsoft-com:office:smarttags" w:element="metricconverter">
        <w:smartTagPr>
          <w:attr w:name="ProductID" w:val="2003 in"/>
        </w:smartTagPr>
        <w:r w:rsidR="007F1809" w:rsidRPr="006E07DC">
          <w:t xml:space="preserve">2003 </w:t>
        </w:r>
        <w:r w:rsidR="007F1809">
          <w:t>in</w:t>
        </w:r>
      </w:smartTag>
      <w:r w:rsidR="007F1809">
        <w:t xml:space="preserve"> </w:t>
      </w:r>
      <w:r w:rsidRPr="006E07DC" w:rsidR="007F1809">
        <w:rPr>
          <w:i/>
        </w:rPr>
        <w:t>Scordino</w:t>
      </w:r>
      <w:r w:rsidRPr="006E07DC" w:rsidR="007F1809">
        <w:t xml:space="preserve"> </w:t>
      </w:r>
      <w:r w:rsidRPr="006E07DC" w:rsidR="007F1809">
        <w:rPr>
          <w:i/>
        </w:rPr>
        <w:t>v. Italy</w:t>
      </w:r>
      <w:r w:rsidRPr="005C22FD" w:rsidR="007F1809">
        <w:t xml:space="preserve"> </w:t>
      </w:r>
      <w:r w:rsidR="007F1809">
        <w:t>(application no.</w:t>
      </w:r>
      <w:r w:rsidR="0029356D">
        <w:t> </w:t>
      </w:r>
      <w:r w:rsidRPr="006E07DC" w:rsidR="007F1809">
        <w:t>36813/97)</w:t>
      </w:r>
      <w:r w:rsidR="007F1809">
        <w:t>)</w:t>
      </w:r>
      <w:r w:rsidRPr="006E07DC" w:rsidR="007F1809">
        <w:t xml:space="preserve">, </w:t>
      </w:r>
      <w:r w:rsidR="007F1809">
        <w:t>and accordingly shall not allow any doubt as to the</w:t>
      </w:r>
      <w:r w:rsidRPr="006E07DC" w:rsidR="007F1809">
        <w:t xml:space="preserve"> compatibilit</w:t>
      </w:r>
      <w:r w:rsidR="007F1809">
        <w:t>y of that domestic standard with the international commitments</w:t>
      </w:r>
      <w:r w:rsidRPr="006E07DC" w:rsidR="007F1809">
        <w:t xml:space="preserve"> </w:t>
      </w:r>
      <w:r w:rsidR="007F1809">
        <w:t>entered into by the Italian Republic when ratifying the European</w:t>
      </w:r>
      <w:r w:rsidRPr="006E07DC" w:rsidR="007F1809">
        <w:t xml:space="preserve"> Convention </w:t>
      </w:r>
      <w:r w:rsidR="007F1809">
        <w:t>and the formal recognition, also at</w:t>
      </w:r>
      <w:r w:rsidRPr="006E07DC" w:rsidR="007F1809">
        <w:t xml:space="preserve"> constitution</w:t>
      </w:r>
      <w:r w:rsidR="007F1809">
        <w:t>al level, of the principle of A</w:t>
      </w:r>
      <w:r w:rsidRPr="006E07DC" w:rsidR="007F1809">
        <w:t xml:space="preserve">rticle 6 § 1 </w:t>
      </w:r>
      <w:r w:rsidR="007F1809">
        <w:t>of that</w:t>
      </w:r>
      <w:r w:rsidR="009E03DC">
        <w:t xml:space="preserve"> Convention</w:t>
      </w:r>
      <w:r w:rsidR="0029356D">
        <w:t xml:space="preserve"> </w:t>
      </w:r>
      <w:r w:rsidR="00B9248D">
        <w:t>...</w:t>
      </w:r>
      <w:r w:rsidR="007F1809">
        <w:t>”</w:t>
      </w:r>
    </w:p>
    <w:p w:rsidR="007F1809" w:rsidP="00124007" w:rsidRDefault="007F1809">
      <w:pPr>
        <w:pStyle w:val="JuHIRoman"/>
        <w:outlineLvl w:val="0"/>
      </w:pPr>
      <w:r>
        <w:t>III. </w:t>
      </w:r>
      <w:r w:rsidR="00967E1F">
        <w:t> </w:t>
      </w:r>
      <w:r>
        <w:t>OTHER RELEVANT PROVISIONS</w:t>
      </w:r>
    </w:p>
    <w:p w:rsidR="007F1809" w:rsidP="001861AD" w:rsidRDefault="00B60EF7">
      <w:pPr>
        <w:pStyle w:val="JuHAChar"/>
        <w:ind w:left="629" w:hanging="397"/>
      </w:pPr>
      <w:r>
        <w:t>A.</w:t>
      </w:r>
      <w:r w:rsidR="00967E1F">
        <w:t>  </w:t>
      </w:r>
      <w:r w:rsidRPr="000842EC" w:rsidR="007F1809">
        <w:rPr>
          <w:rStyle w:val="JuHAChar10"/>
          <w:lang w:val="en-GB"/>
        </w:rPr>
        <w:t xml:space="preserve">Third annual report on the excessive length of judicial proceedings in </w:t>
      </w:r>
      <w:smartTag w:uri="urn:schemas-microsoft-com:office:smarttags" w:element="place">
        <w:smartTag w:uri="urn:schemas-microsoft-com:office:smarttags" w:element="country-region">
          <w:smartTag w:uri="urn:schemas-microsoft-com:office:smarttags" w:element="PersonName">
            <w:r w:rsidR="007F1809" w:rsidRPr="000842EC">
              <w:rPr>
                <w:rStyle w:val="JuHAChar10"/>
                <w:lang w:val="en-GB"/>
              </w:rPr>
              <w:t>Italy</w:t>
            </w:r>
          </w:smartTag>
        </w:smartTag>
      </w:smartTag>
      <w:r w:rsidRPr="000842EC" w:rsidR="007F1809">
        <w:rPr>
          <w:rStyle w:val="JuHAChar10"/>
          <w:lang w:val="en-GB"/>
        </w:rPr>
        <w:t xml:space="preserve"> for 2003 (administrative, civil and criminal </w:t>
      </w:r>
      <w:r w:rsidRPr="00967E1F" w:rsidR="007F1809">
        <w:rPr>
          <w:rStyle w:val="JuHAChar10"/>
          <w:bCs/>
          <w:lang w:val="en-GB"/>
        </w:rPr>
        <w:t>justice</w:t>
      </w:r>
      <w:r w:rsidRPr="00967E1F" w:rsidR="007F1809">
        <w:rPr>
          <w:bCs/>
        </w:rPr>
        <w:t>)</w:t>
      </w:r>
    </w:p>
    <w:p w:rsidRPr="00827AB5" w:rsidR="007F1809" w:rsidP="007F1809" w:rsidRDefault="007F1809">
      <w:pPr>
        <w:pStyle w:val="JuParaChar1Char"/>
        <w:ind w:left="232" w:firstLine="0"/>
      </w:pPr>
      <w:r>
        <w:fldChar w:fldCharType="begin"/>
      </w:r>
      <w:r>
        <w:instrText xml:space="preserve"> SEQ level0 \*arabic </w:instrText>
      </w:r>
      <w:r>
        <w:fldChar w:fldCharType="separate"/>
      </w:r>
      <w:r w:rsidR="008B3B68">
        <w:rPr>
          <w:noProof/>
        </w:rPr>
        <w:t>71</w:t>
      </w:r>
      <w:r>
        <w:fldChar w:fldCharType="end"/>
      </w:r>
      <w:r>
        <w:t>.  In the report CM/Inf/DH(2004)23</w:t>
      </w:r>
      <w:r w:rsidR="00836B25">
        <w:t>,</w:t>
      </w:r>
      <w:r>
        <w:t xml:space="preserve"> revised on 24 September 2004, the Ministers</w:t>
      </w:r>
      <w:r w:rsidR="00E6191D">
        <w:t>’</w:t>
      </w:r>
      <w:r w:rsidR="0065547A">
        <w:t xml:space="preserve"> </w:t>
      </w:r>
      <w:r w:rsidR="00123F0F">
        <w:t>D</w:t>
      </w:r>
      <w:r w:rsidR="0065547A">
        <w:t>eputies</w:t>
      </w:r>
      <w:r>
        <w:t xml:space="preserve"> made the following indications regarding an assessment of the Pinto remedy:</w:t>
      </w:r>
    </w:p>
    <w:p w:rsidR="009A1217" w:rsidP="007F1809" w:rsidRDefault="007F1809">
      <w:pPr>
        <w:pStyle w:val="JuQuotChar1"/>
      </w:pPr>
      <w:r>
        <w:t>“11.  </w:t>
      </w:r>
      <w:r w:rsidRPr="00931620">
        <w:t>As regards the domestic remedy introduced in 200</w:t>
      </w:r>
      <w:smartTag w:uri="urn:schemas-microsoft-com:office:smarttags" w:element="PersonName">
        <w:r w:rsidRPr="00931620">
          <w:t>1</w:t>
        </w:r>
      </w:smartTag>
      <w:r w:rsidRPr="00931620">
        <w:t xml:space="preserve"> by the </w:t>
      </w:r>
      <w:r w:rsidR="00E6191D">
        <w:t>‘</w:t>
      </w:r>
      <w:r w:rsidR="00A438AE">
        <w:t>Pinto Act</w:t>
      </w:r>
      <w:r w:rsidR="00E6191D">
        <w:t>’</w:t>
      </w:r>
      <w:r w:rsidRPr="00931620">
        <w:t>, a number of shortcomings remain, particularly in connection with the effectiveness of the remedy and its application in conformity with the Convention: in particular, the law does not provide yet for the acceleration of pending proceedings</w:t>
      </w:r>
      <w:r>
        <w:t>.</w:t>
      </w:r>
    </w:p>
    <w:p w:rsidR="007F1809" w:rsidP="007F1809" w:rsidRDefault="00B9248D">
      <w:pPr>
        <w:pStyle w:val="JuQuotChar1"/>
      </w:pPr>
      <w:r>
        <w:t>...</w:t>
      </w:r>
    </w:p>
    <w:p w:rsidR="004872CA" w:rsidP="007F1809" w:rsidRDefault="007F1809">
      <w:pPr>
        <w:pStyle w:val="JuQuotChar1"/>
      </w:pPr>
      <w:r>
        <w:t>109.  </w:t>
      </w:r>
      <w:r w:rsidRPr="00931620">
        <w:t>In the frame</w:t>
      </w:r>
      <w:r w:rsidR="004872CA">
        <w:t>work of its examination of the 1st</w:t>
      </w:r>
      <w:r w:rsidRPr="00931620">
        <w:t xml:space="preserve"> annual report, the Committee of Ministers expressed concern at the fact that this legislation did not foresee the speeding up of the proceedings and that its application posed a risk of aggravating the backlog of the appeal courts.</w:t>
      </w:r>
    </w:p>
    <w:p w:rsidR="007F1809" w:rsidP="007F1809" w:rsidRDefault="00B9248D">
      <w:pPr>
        <w:pStyle w:val="JuQuotChar1"/>
      </w:pPr>
      <w:r>
        <w:t>...</w:t>
      </w:r>
    </w:p>
    <w:p w:rsidR="0029356D" w:rsidP="007F1809" w:rsidRDefault="007F1809">
      <w:pPr>
        <w:pStyle w:val="JuQuotChar1"/>
      </w:pPr>
      <w:r>
        <w:t>112.  </w:t>
      </w:r>
      <w:r w:rsidRPr="00931620">
        <w:t>It should be pointed out that in the framework of its examination of the 2nd annual report, the Committee of Ministers had noted with concern that the Convention had no direct effect and had consequently invited the Italian authorities to intensify their efforts at national level as well as their contacts with the different bodies of the Council of Europe competent in this field.</w:t>
      </w:r>
    </w:p>
    <w:p w:rsidR="007F1809" w:rsidP="007F1809" w:rsidRDefault="0029356D">
      <w:pPr>
        <w:pStyle w:val="JuQuotChar1"/>
      </w:pPr>
      <w:r>
        <w:t>...</w:t>
      </w:r>
      <w:r w:rsidR="007F1809">
        <w:t>”</w:t>
      </w:r>
    </w:p>
    <w:p w:rsidRPr="0086567F" w:rsidR="007F1809" w:rsidP="00967E1F" w:rsidRDefault="00271C55">
      <w:pPr>
        <w:pStyle w:val="JuHAChar"/>
        <w:rPr>
          <w:bCs/>
        </w:rPr>
      </w:pPr>
      <w:r>
        <w:rPr>
          <w:bCs/>
        </w:rPr>
        <w:t>B.</w:t>
      </w:r>
      <w:r w:rsidR="00967E1F">
        <w:rPr>
          <w:bCs/>
        </w:rPr>
        <w:t>  </w:t>
      </w:r>
      <w:r w:rsidRPr="00F259A9">
        <w:rPr>
          <w:rStyle w:val="JuHAChar10"/>
          <w:lang w:val="en-GB"/>
        </w:rPr>
        <w:t>In</w:t>
      </w:r>
      <w:r w:rsidRPr="00F259A9" w:rsidR="0086567F">
        <w:rPr>
          <w:rStyle w:val="JuHAChar10"/>
          <w:lang w:val="en-GB"/>
        </w:rPr>
        <w:t>terim Resolution ResDH(2005)114 concerning the judgments of the European Court of Human Rights and decisions by the Committee of Ministers in 2</w:t>
      </w:r>
      <w:r w:rsidR="0029356D">
        <w:rPr>
          <w:rStyle w:val="JuHAChar10"/>
          <w:lang w:val="en-GB"/>
        </w:rPr>
        <w:t>,</w:t>
      </w:r>
      <w:r w:rsidRPr="00F259A9" w:rsidR="0086567F">
        <w:rPr>
          <w:rStyle w:val="JuHAChar10"/>
          <w:lang w:val="en-GB"/>
        </w:rPr>
        <w:t>183 cases against Italy relating to the excessive length of judicial proceedings</w:t>
      </w:r>
    </w:p>
    <w:p w:rsidR="00C20E2D" w:rsidP="001861AD" w:rsidRDefault="0086567F">
      <w:pPr>
        <w:pStyle w:val="JuPara"/>
        <w:ind w:left="240" w:firstLine="0"/>
        <w:rPr>
          <w:lang w:val="en-GB"/>
        </w:rPr>
      </w:pPr>
      <w:r>
        <w:fldChar w:fldCharType="begin"/>
      </w:r>
      <w:r w:rsidRPr="00B848F6">
        <w:rPr>
          <w:lang w:val="en-GB"/>
        </w:rPr>
        <w:instrText xml:space="preserve"> SEQ level0 \*arabic </w:instrText>
      </w:r>
      <w:r>
        <w:fldChar w:fldCharType="separate"/>
      </w:r>
      <w:r w:rsidR="008B3B68">
        <w:rPr>
          <w:noProof/>
          <w:lang w:val="en-GB"/>
        </w:rPr>
        <w:t>72</w:t>
      </w:r>
      <w:r>
        <w:fldChar w:fldCharType="end"/>
      </w:r>
      <w:r w:rsidRPr="00C20E2D">
        <w:rPr>
          <w:lang w:val="en-GB"/>
        </w:rPr>
        <w:t>.</w:t>
      </w:r>
      <w:r w:rsidR="001861AD">
        <w:rPr>
          <w:lang w:val="en-GB"/>
        </w:rPr>
        <w:t> </w:t>
      </w:r>
      <w:r w:rsidRPr="00C20E2D">
        <w:rPr>
          <w:lang w:val="en-GB"/>
        </w:rPr>
        <w:t> </w:t>
      </w:r>
      <w:r w:rsidRPr="00C20E2D" w:rsidR="00C20E2D">
        <w:rPr>
          <w:lang w:val="en-GB"/>
        </w:rPr>
        <w:t>In this interim resolution the Ministe</w:t>
      </w:r>
      <w:r w:rsidR="00C20E2D">
        <w:rPr>
          <w:lang w:val="en-GB"/>
        </w:rPr>
        <w:t>rs</w:t>
      </w:r>
      <w:r w:rsidR="00E6191D">
        <w:rPr>
          <w:lang w:val="en-GB"/>
        </w:rPr>
        <w:t>’</w:t>
      </w:r>
      <w:r w:rsidRPr="00C20E2D" w:rsidR="00C20E2D">
        <w:rPr>
          <w:lang w:val="en-GB"/>
        </w:rPr>
        <w:t xml:space="preserve"> </w:t>
      </w:r>
      <w:r w:rsidR="00123F0F">
        <w:rPr>
          <w:lang w:val="en-GB"/>
        </w:rPr>
        <w:t>D</w:t>
      </w:r>
      <w:r w:rsidR="002277E8">
        <w:rPr>
          <w:lang w:val="en-GB"/>
        </w:rPr>
        <w:t>eputies</w:t>
      </w:r>
      <w:r w:rsidR="00C20E2D">
        <w:rPr>
          <w:lang w:val="en-GB"/>
        </w:rPr>
        <w:t xml:space="preserve"> indicated as follows:</w:t>
      </w:r>
    </w:p>
    <w:p w:rsidR="00465FC6" w:rsidP="00465FC6" w:rsidRDefault="00465FC6">
      <w:pPr>
        <w:pStyle w:val="JuQuot"/>
      </w:pPr>
      <w:r>
        <w:t>“The Committee of Ministers</w:t>
      </w:r>
      <w:r w:rsidR="004872CA">
        <w:t xml:space="preserve"> </w:t>
      </w:r>
      <w:r w:rsidR="009A1217">
        <w:t>...</w:t>
      </w:r>
    </w:p>
    <w:p w:rsidR="00465FC6" w:rsidP="00465FC6" w:rsidRDefault="00465FC6">
      <w:pPr>
        <w:pStyle w:val="JuQuot"/>
      </w:pPr>
      <w:r>
        <w:t xml:space="preserve">Noting </w:t>
      </w:r>
      <w:r w:rsidR="00967E1F">
        <w:t>...</w:t>
      </w:r>
    </w:p>
    <w:p w:rsidR="009A1217" w:rsidP="00AA1550" w:rsidRDefault="00B9248D">
      <w:pPr>
        <w:pStyle w:val="JuQuotChar1"/>
      </w:pPr>
      <w:r>
        <w:t>...</w:t>
      </w:r>
    </w:p>
    <w:p w:rsidRPr="00AA1550" w:rsidR="00C20E2D" w:rsidP="00AA1550" w:rsidRDefault="00123F0F">
      <w:pPr>
        <w:pStyle w:val="JuQuotChar1"/>
      </w:pPr>
      <w:r>
        <w:t>–  </w:t>
      </w:r>
      <w:r w:rsidRPr="00AA1550" w:rsidR="00C20E2D">
        <w:t>the setting-up of a domestic remedy providing compensation in cases of excessive length of pro</w:t>
      </w:r>
      <w:r w:rsidR="004872CA">
        <w:t xml:space="preserve">ceedings, adopted in 2001 (the </w:t>
      </w:r>
      <w:r w:rsidR="00E6191D">
        <w:t>‘</w:t>
      </w:r>
      <w:r w:rsidR="004872CA">
        <w:t>Pinto</w:t>
      </w:r>
      <w:r w:rsidR="00E6191D">
        <w:t>’</w:t>
      </w:r>
      <w:r w:rsidRPr="00AA1550" w:rsidR="00C20E2D">
        <w:t xml:space="preserve"> law), as well as the recent development of the case-law of the Court of </w:t>
      </w:r>
      <w:r w:rsidR="00CF0001">
        <w:t>C</w:t>
      </w:r>
      <w:r w:rsidRPr="00AA1550" w:rsidR="00C20E2D">
        <w:t>assation, increasing the direct effect of the case-law of the European Court in the Italian legal system, while noting that this remedy still does not enable for acceleration of proceedings so as to grant effective redress to all victims;</w:t>
      </w:r>
    </w:p>
    <w:p w:rsidRPr="00AA1550" w:rsidR="00C20E2D" w:rsidP="00AA1550" w:rsidRDefault="00C20E2D">
      <w:pPr>
        <w:pStyle w:val="JuQuotChar1"/>
      </w:pPr>
      <w:r w:rsidRPr="00AA1550">
        <w:t xml:space="preserve">Stressing that the setting-up of domestic remedies does not dispense </w:t>
      </w:r>
      <w:r w:rsidR="00CF0001">
        <w:t>S</w:t>
      </w:r>
      <w:r w:rsidRPr="00AA1550">
        <w:t>tates from their general obligation to solve the structural problems underlying violations;</w:t>
      </w:r>
    </w:p>
    <w:p w:rsidR="004872CA" w:rsidP="00AA1550" w:rsidRDefault="00C20E2D">
      <w:pPr>
        <w:pStyle w:val="JuQuotChar1"/>
      </w:pPr>
      <w:r w:rsidRPr="00AA1550">
        <w:t xml:space="preserve">Finding that despite the efforts undertaken, numerous elements still indicate that the solution to the problem will not be found in the near future (as evidenced in particular by the statistical data, the new cases before both domestic courts and the European Court, the information contained in the annual reports submitted by the government to the Committee and in the reports of the Prosecutor General at the Court of </w:t>
      </w:r>
      <w:r w:rsidR="00A438AE">
        <w:t>C</w:t>
      </w:r>
      <w:r w:rsidRPr="00AA1550">
        <w:t>assation);</w:t>
      </w:r>
    </w:p>
    <w:p w:rsidRPr="00AA1550" w:rsidR="00C20E2D" w:rsidP="00AA1550" w:rsidRDefault="00B9248D">
      <w:pPr>
        <w:pStyle w:val="JuQuotChar1"/>
      </w:pPr>
      <w:r>
        <w:t>...</w:t>
      </w:r>
    </w:p>
    <w:p w:rsidR="004872CA" w:rsidP="00AA1550" w:rsidRDefault="00C20E2D">
      <w:pPr>
        <w:pStyle w:val="JuQuotChar1"/>
      </w:pPr>
      <w:r w:rsidRPr="00AA1550">
        <w:t>Stressing the importance the Convention attaches to the right to fair administration of justice in a democratic society and recalling that the problem of the excessive length of judicial proceedings, by reason of its persistence and extent, constitutes a real danger for the respect of the rule of law in Italy;</w:t>
      </w:r>
    </w:p>
    <w:p w:rsidR="00967E1F" w:rsidP="00AA1550" w:rsidRDefault="00B9248D">
      <w:pPr>
        <w:pStyle w:val="JuQuotChar1"/>
      </w:pPr>
      <w:r>
        <w:t>...</w:t>
      </w:r>
    </w:p>
    <w:p w:rsidR="009A1217" w:rsidP="00AA1550" w:rsidRDefault="00C20E2D">
      <w:pPr>
        <w:pStyle w:val="JuQuotChar1"/>
      </w:pPr>
      <w:r w:rsidRPr="00AA1550">
        <w:t>URGES the Italian authorities to enhance their political commitment and make it their effective priority to meet Italy</w:t>
      </w:r>
      <w:r w:rsidR="00E6191D">
        <w:t>’</w:t>
      </w:r>
      <w:r w:rsidRPr="00AA1550">
        <w:t>s obligation under the Convention and the Court</w:t>
      </w:r>
      <w:r w:rsidR="00E6191D">
        <w:t>’</w:t>
      </w:r>
      <w:r w:rsidRPr="00AA1550">
        <w:t>s judgments, to secure the right to a fair trial within a reasonable time to all persons under Italy</w:t>
      </w:r>
      <w:r w:rsidR="00E6191D">
        <w:t>’</w:t>
      </w:r>
      <w:r w:rsidRPr="00AA1550">
        <w:t>s jurisdiction</w:t>
      </w:r>
      <w:r w:rsidR="00A438AE">
        <w:t>;</w:t>
      </w:r>
    </w:p>
    <w:p w:rsidRPr="00C20E2D" w:rsidR="00C20E2D" w:rsidP="00AA1550" w:rsidRDefault="00B9248D">
      <w:pPr>
        <w:pStyle w:val="JuQuotChar1"/>
      </w:pPr>
      <w:r>
        <w:t>...</w:t>
      </w:r>
      <w:r w:rsidR="00BB5CDF">
        <w:t>”</w:t>
      </w:r>
    </w:p>
    <w:p w:rsidRPr="00F259A9" w:rsidR="007F1809" w:rsidP="00124007" w:rsidRDefault="00967E1F">
      <w:pPr>
        <w:pStyle w:val="JuHA0"/>
        <w:outlineLvl w:val="0"/>
        <w:rPr>
          <w:lang w:val="en-GB"/>
        </w:rPr>
      </w:pPr>
      <w:r>
        <w:rPr>
          <w:iCs/>
          <w:lang w:val="en-GB"/>
        </w:rPr>
        <w:t>C.  </w:t>
      </w:r>
      <w:r w:rsidRPr="00F259A9" w:rsidR="007F1809">
        <w:rPr>
          <w:lang w:val="en-GB"/>
        </w:rPr>
        <w:t xml:space="preserve">The European Commission for the </w:t>
      </w:r>
      <w:r w:rsidR="00CF0001">
        <w:rPr>
          <w:lang w:val="en-GB"/>
        </w:rPr>
        <w:t>E</w:t>
      </w:r>
      <w:r w:rsidRPr="00F259A9" w:rsidR="007F1809">
        <w:rPr>
          <w:lang w:val="en-GB"/>
        </w:rPr>
        <w:t xml:space="preserve">fficiency of </w:t>
      </w:r>
      <w:r w:rsidR="00CF0001">
        <w:rPr>
          <w:lang w:val="en-GB"/>
        </w:rPr>
        <w:t>J</w:t>
      </w:r>
      <w:r w:rsidRPr="00F259A9" w:rsidR="007F1809">
        <w:rPr>
          <w:lang w:val="en-GB"/>
        </w:rPr>
        <w:t>ustice (</w:t>
      </w:r>
      <w:smartTag w:uri="urn:schemas-microsoft-com:office:smarttags" w:element="PersonName">
        <w:r w:rsidR="007F1809" w:rsidRPr="00F259A9">
          <w:rPr>
            <w:lang w:val="en-GB"/>
          </w:rPr>
          <w:t>CEPEJ</w:t>
        </w:r>
      </w:smartTag>
      <w:r w:rsidRPr="00F259A9" w:rsidR="007F1809">
        <w:rPr>
          <w:lang w:val="en-GB"/>
        </w:rPr>
        <w:t>)</w:t>
      </w:r>
    </w:p>
    <w:p w:rsidR="007F1809" w:rsidP="007F1809" w:rsidRDefault="007F1809">
      <w:pPr>
        <w:pStyle w:val="JuParaChar1Char"/>
        <w:rPr>
          <w:b/>
          <w:iCs/>
        </w:rPr>
      </w:pPr>
      <w:r>
        <w:rPr>
          <w:iCs/>
        </w:rPr>
        <w:fldChar w:fldCharType="begin"/>
      </w:r>
      <w:r>
        <w:rPr>
          <w:iCs/>
        </w:rPr>
        <w:instrText xml:space="preserve"> SEQ level0 \*arabic </w:instrText>
      </w:r>
      <w:r>
        <w:rPr>
          <w:iCs/>
        </w:rPr>
        <w:fldChar w:fldCharType="separate"/>
      </w:r>
      <w:r w:rsidR="008B3B68">
        <w:rPr>
          <w:iCs/>
          <w:noProof/>
        </w:rPr>
        <w:t>73</w:t>
      </w:r>
      <w:r>
        <w:rPr>
          <w:iCs/>
        </w:rPr>
        <w:fldChar w:fldCharType="end"/>
      </w:r>
      <w:r>
        <w:rPr>
          <w:iCs/>
        </w:rPr>
        <w:t>.  </w:t>
      </w:r>
      <w:r w:rsidRPr="00B035A0">
        <w:rPr>
          <w:iCs/>
        </w:rPr>
        <w:t xml:space="preserve">The European Commission for the </w:t>
      </w:r>
      <w:r w:rsidR="00CF0001">
        <w:rPr>
          <w:iCs/>
        </w:rPr>
        <w:t>E</w:t>
      </w:r>
      <w:r w:rsidRPr="00B035A0">
        <w:rPr>
          <w:iCs/>
        </w:rPr>
        <w:t xml:space="preserve">fficiency of </w:t>
      </w:r>
      <w:r w:rsidR="00CF0001">
        <w:rPr>
          <w:iCs/>
        </w:rPr>
        <w:t>J</w:t>
      </w:r>
      <w:r w:rsidRPr="00B035A0">
        <w:rPr>
          <w:iCs/>
        </w:rPr>
        <w:t xml:space="preserve">ustice </w:t>
      </w:r>
      <w:r>
        <w:rPr>
          <w:iCs/>
        </w:rPr>
        <w:t xml:space="preserve">was set up at the Council of Europe by Resolution </w:t>
      </w:r>
      <w:r w:rsidR="007E6554">
        <w:rPr>
          <w:iCs/>
        </w:rPr>
        <w:t>Res(2002)12 with the aim of (a) </w:t>
      </w:r>
      <w:r>
        <w:rPr>
          <w:iCs/>
        </w:rPr>
        <w:t xml:space="preserve">improving the efficiency and the functioning of the justice of member States with a view to ensuring that everyone within their jurisdiction can enforce their legal rights effectively, thereby generating increased confidence of the citizens in the justice system and (b) </w:t>
      </w:r>
      <w:r w:rsidR="00C844DD">
        <w:rPr>
          <w:iCs/>
        </w:rPr>
        <w:t>enabling</w:t>
      </w:r>
      <w:r>
        <w:rPr>
          <w:iCs/>
        </w:rPr>
        <w:t xml:space="preserve"> a better implementation of the international legal instruments of the Council of Europe concerning efficiency and fairness of justice.</w:t>
      </w:r>
    </w:p>
    <w:p w:rsidRPr="00F560C4" w:rsidR="007F1809" w:rsidP="00F560C4" w:rsidRDefault="007F1809">
      <w:pPr>
        <w:pStyle w:val="JuPara"/>
        <w:rPr>
          <w:lang w:val="en-GB"/>
        </w:rPr>
      </w:pPr>
      <w:r w:rsidRPr="008A7952">
        <w:rPr>
          <w:iCs/>
        </w:rPr>
        <w:fldChar w:fldCharType="begin"/>
      </w:r>
      <w:r w:rsidRPr="00F560C4">
        <w:rPr>
          <w:iCs/>
          <w:lang w:val="en-GB"/>
        </w:rPr>
        <w:instrText xml:space="preserve"> SEQ level0 \*arabic </w:instrText>
      </w:r>
      <w:r w:rsidRPr="008A7952">
        <w:rPr>
          <w:iCs/>
        </w:rPr>
        <w:fldChar w:fldCharType="separate"/>
      </w:r>
      <w:r w:rsidR="008B3B68">
        <w:rPr>
          <w:iCs/>
          <w:noProof/>
          <w:lang w:val="en-GB"/>
        </w:rPr>
        <w:t>74</w:t>
      </w:r>
      <w:r w:rsidRPr="008A7952">
        <w:rPr>
          <w:iCs/>
        </w:rPr>
        <w:fldChar w:fldCharType="end"/>
      </w:r>
      <w:r w:rsidRPr="00F560C4">
        <w:rPr>
          <w:iCs/>
          <w:lang w:val="en-GB"/>
        </w:rPr>
        <w:t>.  </w:t>
      </w:r>
      <w:r w:rsidRPr="00F560C4" w:rsidR="00F560C4">
        <w:rPr>
          <w:lang w:val="en-GB"/>
        </w:rPr>
        <w:t>In its framework prog</w:t>
      </w:r>
      <w:r w:rsidR="004872CA">
        <w:rPr>
          <w:lang w:val="en-GB"/>
        </w:rPr>
        <w:t xml:space="preserve">ramme (CEPEJ (2004) 19 Rev 2 § </w:t>
      </w:r>
      <w:r w:rsidR="004C51EE">
        <w:rPr>
          <w:lang w:val="en-GB"/>
        </w:rPr>
        <w:t>6</w:t>
      </w:r>
      <w:r w:rsidRPr="00F560C4" w:rsidR="00F560C4">
        <w:rPr>
          <w:lang w:val="en-GB"/>
        </w:rPr>
        <w:t>)</w:t>
      </w:r>
      <w:r w:rsidR="00A438AE">
        <w:rPr>
          <w:lang w:val="en-GB"/>
        </w:rPr>
        <w:t>,</w:t>
      </w:r>
      <w:r w:rsidRPr="00F560C4" w:rsidR="00F560C4">
        <w:rPr>
          <w:lang w:val="en-GB"/>
        </w:rPr>
        <w:t xml:space="preserve"> the CEPEJ noted th</w:t>
      </w:r>
      <w:r w:rsidR="004C51EE">
        <w:rPr>
          <w:lang w:val="en-GB"/>
        </w:rPr>
        <w:t xml:space="preserve">at </w:t>
      </w:r>
      <w:r w:rsidRPr="00F560C4" w:rsidR="00F560C4">
        <w:rPr>
          <w:lang w:val="en-GB"/>
        </w:rPr>
        <w:t xml:space="preserve">the mechanisms which are limited to compensation are too weak and do not adequately incite the States to modify their operational process, and provide compensation only </w:t>
      </w:r>
      <w:r w:rsidRPr="00F560C4" w:rsidR="00F560C4">
        <w:rPr>
          <w:i/>
          <w:lang w:val="en-GB"/>
        </w:rPr>
        <w:t>a posteriori</w:t>
      </w:r>
      <w:r w:rsidRPr="00F560C4" w:rsidR="00F560C4">
        <w:rPr>
          <w:lang w:val="en-GB"/>
        </w:rPr>
        <w:t xml:space="preserve"> in the event of a proven violation instead of trying to find a solutio</w:t>
      </w:r>
      <w:r w:rsidR="004C51EE">
        <w:rPr>
          <w:lang w:val="en-GB"/>
        </w:rPr>
        <w:t>n for the problem of delays</w:t>
      </w:r>
      <w:r w:rsidR="00CF0001">
        <w:rPr>
          <w:lang w:val="en-GB"/>
        </w:rPr>
        <w:t>.</w:t>
      </w:r>
    </w:p>
    <w:p w:rsidRPr="00B60EF7" w:rsidR="00BF6E2C" w:rsidP="00124007" w:rsidRDefault="00BF6E2C">
      <w:pPr>
        <w:pStyle w:val="JuHHead"/>
        <w:outlineLvl w:val="0"/>
      </w:pPr>
      <w:r w:rsidRPr="00B60EF7">
        <w:t>THE LAW</w:t>
      </w:r>
    </w:p>
    <w:p w:rsidRPr="00137783" w:rsidR="00137783" w:rsidP="00210E54" w:rsidRDefault="00137783">
      <w:pPr>
        <w:pStyle w:val="JuHIRoman"/>
        <w:ind w:left="284" w:hanging="284"/>
      </w:pPr>
      <w:smartTag w:uri="urn:schemas-microsoft-com:office:smarttags" w:element="place">
        <w:r w:rsidRPr="00D43243">
          <w:t>I.</w:t>
        </w:r>
      </w:smartTag>
      <w:r w:rsidRPr="00D43243">
        <w:t>  </w:t>
      </w:r>
      <w:r w:rsidRPr="00137783">
        <w:t xml:space="preserve">ALLEGED VIOLATIONS OF ARTICLE 1 </w:t>
      </w:r>
      <w:r>
        <w:t>OF</w:t>
      </w:r>
      <w:r w:rsidRPr="00137783">
        <w:t xml:space="preserve"> PROTOC</w:t>
      </w:r>
      <w:r>
        <w:t>OL</w:t>
      </w:r>
      <w:r w:rsidRPr="00137783">
        <w:t xml:space="preserve"> N</w:t>
      </w:r>
      <w:r>
        <w:t>o.</w:t>
      </w:r>
      <w:r w:rsidRPr="00137783">
        <w:t xml:space="preserve"> 1</w:t>
      </w:r>
    </w:p>
    <w:p w:rsidR="00137783" w:rsidP="00D619DD" w:rsidRDefault="007F1809">
      <w:pPr>
        <w:pStyle w:val="JuParaChar1Char"/>
      </w:pPr>
      <w:r>
        <w:fldChar w:fldCharType="begin"/>
      </w:r>
      <w:r>
        <w:instrText xml:space="preserve"> SEQ level0 \*arabic </w:instrText>
      </w:r>
      <w:r>
        <w:fldChar w:fldCharType="separate"/>
      </w:r>
      <w:r w:rsidR="008B3B68">
        <w:rPr>
          <w:noProof/>
        </w:rPr>
        <w:t>75</w:t>
      </w:r>
      <w:r>
        <w:fldChar w:fldCharType="end"/>
      </w:r>
      <w:r>
        <w:t>.  </w:t>
      </w:r>
      <w:r w:rsidRPr="007B70C8" w:rsidR="00BF6E2C">
        <w:t xml:space="preserve">The applicants complained of </w:t>
      </w:r>
      <w:r w:rsidR="00137783">
        <w:t>a double violation of Article 1 of Protocol No. 1, which provides:</w:t>
      </w:r>
    </w:p>
    <w:p w:rsidR="00904D28" w:rsidRDefault="00904D28">
      <w:pPr>
        <w:pStyle w:val="JuQuotChar1"/>
      </w:pPr>
      <w: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00137783" w:rsidP="00904D28" w:rsidRDefault="00904D28">
      <w:pPr>
        <w:pStyle w:val="JuQuotChar1"/>
      </w:pPr>
      <w: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D43243" w:rsidR="00D43243" w:rsidP="00D43243" w:rsidRDefault="00D43243">
      <w:pPr>
        <w:pStyle w:val="JuParaChar1Char"/>
      </w:pPr>
      <w:r>
        <w:fldChar w:fldCharType="begin"/>
      </w:r>
      <w:r w:rsidRPr="00DD58EA">
        <w:instrText xml:space="preserve"> SEQ level0 \*arabic </w:instrText>
      </w:r>
      <w:r>
        <w:fldChar w:fldCharType="separate"/>
      </w:r>
      <w:r w:rsidR="008B3B68">
        <w:rPr>
          <w:noProof/>
        </w:rPr>
        <w:t>76</w:t>
      </w:r>
      <w:r>
        <w:fldChar w:fldCharType="end"/>
      </w:r>
      <w:r w:rsidRPr="00DD58EA">
        <w:t>.  </w:t>
      </w:r>
      <w:r w:rsidRPr="00D43243">
        <w:t xml:space="preserve">The applicants alleged that they had </w:t>
      </w:r>
      <w:r w:rsidR="00050182">
        <w:t>borne</w:t>
      </w:r>
      <w:r w:rsidRPr="00D43243">
        <w:t xml:space="preserve"> a disproportionate</w:t>
      </w:r>
      <w:r w:rsidR="00774840">
        <w:t xml:space="preserve"> burden on account </w:t>
      </w:r>
      <w:r w:rsidRPr="00D43243">
        <w:t>of the inadequate amount of the</w:t>
      </w:r>
      <w:r w:rsidRPr="00774840" w:rsidR="00774840">
        <w:t xml:space="preserve"> </w:t>
      </w:r>
      <w:r w:rsidRPr="00D43243" w:rsidR="00774840">
        <w:t>expropriation</w:t>
      </w:r>
      <w:r w:rsidR="00774840">
        <w:t xml:space="preserve"> compensation, which </w:t>
      </w:r>
      <w:r w:rsidR="00075DBE">
        <w:t>had been</w:t>
      </w:r>
      <w:r w:rsidR="00774840">
        <w:t xml:space="preserve"> calculated in accordance with the</w:t>
      </w:r>
      <w:r w:rsidRPr="00D43243">
        <w:t xml:space="preserve"> </w:t>
      </w:r>
      <w:r w:rsidR="00774840">
        <w:t>criteria laid down in section</w:t>
      </w:r>
      <w:r w:rsidRPr="00D43243">
        <w:t xml:space="preserve"> 5 </w:t>
      </w:r>
      <w:r w:rsidRPr="00D43243">
        <w:rPr>
          <w:i/>
        </w:rPr>
        <w:t>bis</w:t>
      </w:r>
      <w:r w:rsidRPr="00D43243">
        <w:t xml:space="preserve"> </w:t>
      </w:r>
      <w:r w:rsidR="00774840">
        <w:t>of Law no.</w:t>
      </w:r>
      <w:r w:rsidRPr="00D43243">
        <w:t xml:space="preserve"> 359</w:t>
      </w:r>
      <w:r w:rsidR="00774840">
        <w:t>/</w:t>
      </w:r>
      <w:r w:rsidRPr="00D43243">
        <w:t>1992.</w:t>
      </w:r>
    </w:p>
    <w:p w:rsidR="00D43243" w:rsidP="00D43243" w:rsidRDefault="00D43243">
      <w:pPr>
        <w:pStyle w:val="JuParaChar1Char"/>
      </w:pPr>
      <w:r w:rsidRPr="00C2011C">
        <w:fldChar w:fldCharType="begin"/>
      </w:r>
      <w:r w:rsidRPr="00DD58EA">
        <w:instrText xml:space="preserve"> SEQ level0 \*arabic </w:instrText>
      </w:r>
      <w:r w:rsidRPr="00C2011C">
        <w:fldChar w:fldCharType="separate"/>
      </w:r>
      <w:r w:rsidR="008B3B68">
        <w:rPr>
          <w:noProof/>
        </w:rPr>
        <w:t>77</w:t>
      </w:r>
      <w:r w:rsidRPr="00C2011C">
        <w:fldChar w:fldCharType="end"/>
      </w:r>
      <w:r w:rsidRPr="00DD58EA">
        <w:t>.  </w:t>
      </w:r>
      <w:r w:rsidRPr="00DD58EA" w:rsidR="00DD58EA">
        <w:t>The</w:t>
      </w:r>
      <w:r w:rsidR="00950FAA">
        <w:t>y</w:t>
      </w:r>
      <w:r w:rsidRPr="00DD58EA" w:rsidR="00DD58EA">
        <w:t xml:space="preserve"> also complained of the retrosp</w:t>
      </w:r>
      <w:r w:rsidR="00DD58EA">
        <w:t xml:space="preserve">ective </w:t>
      </w:r>
      <w:r w:rsidRPr="00DD58EA">
        <w:t xml:space="preserve">application </w:t>
      </w:r>
      <w:r w:rsidR="00DD58EA">
        <w:t>of section</w:t>
      </w:r>
      <w:r w:rsidRPr="00DD58EA">
        <w:t xml:space="preserve"> 5 </w:t>
      </w:r>
      <w:r w:rsidRPr="00DD58EA">
        <w:rPr>
          <w:i/>
        </w:rPr>
        <w:t xml:space="preserve">bis </w:t>
      </w:r>
      <w:r w:rsidR="00DD58EA">
        <w:t>of Law no.</w:t>
      </w:r>
      <w:r w:rsidRPr="00DD58EA">
        <w:t xml:space="preserve"> 359</w:t>
      </w:r>
      <w:r w:rsidR="00DD58EA">
        <w:t>/</w:t>
      </w:r>
      <w:r w:rsidRPr="00DD58EA">
        <w:t>1992.</w:t>
      </w:r>
    </w:p>
    <w:p w:rsidRPr="00D97A57" w:rsidR="00DD58EA" w:rsidP="00124007" w:rsidRDefault="00967E1F">
      <w:pPr>
        <w:pStyle w:val="JuHA0"/>
        <w:outlineLvl w:val="0"/>
        <w:rPr>
          <w:lang w:val="en-GB"/>
        </w:rPr>
      </w:pPr>
      <w:r>
        <w:rPr>
          <w:lang w:val="en-GB"/>
        </w:rPr>
        <w:t>A.  </w:t>
      </w:r>
      <w:r w:rsidRPr="00D97A57" w:rsidR="00DD58EA">
        <w:rPr>
          <w:lang w:val="en-GB"/>
        </w:rPr>
        <w:t>The amount of compensation awarded to the applicants</w:t>
      </w:r>
    </w:p>
    <w:p w:rsidRPr="00DA15E2" w:rsidR="00DD58EA" w:rsidP="00D97A57" w:rsidRDefault="00DD58EA">
      <w:pPr>
        <w:pStyle w:val="JuH1"/>
        <w:rPr>
          <w:lang w:val="en-GB"/>
        </w:rPr>
      </w:pPr>
      <w:r w:rsidRPr="00DA15E2">
        <w:rPr>
          <w:lang w:val="en-GB"/>
        </w:rPr>
        <w:t>1.  Whether there was an interference with the right of property</w:t>
      </w:r>
    </w:p>
    <w:p w:rsidRPr="004948EF" w:rsidR="004948EF" w:rsidP="004948EF" w:rsidRDefault="00DD58EA">
      <w:pPr>
        <w:pStyle w:val="JuPara"/>
        <w:rPr>
          <w:lang w:val="en-GB"/>
        </w:rPr>
      </w:pPr>
      <w:r>
        <w:fldChar w:fldCharType="begin"/>
      </w:r>
      <w:r w:rsidRPr="004948EF">
        <w:rPr>
          <w:lang w:val="en-GB"/>
        </w:rPr>
        <w:instrText xml:space="preserve"> SEQ level0 \*arabic </w:instrText>
      </w:r>
      <w:r>
        <w:fldChar w:fldCharType="separate"/>
      </w:r>
      <w:r w:rsidR="008B3B68">
        <w:rPr>
          <w:noProof/>
          <w:lang w:val="en-GB"/>
        </w:rPr>
        <w:t>78</w:t>
      </w:r>
      <w:r>
        <w:fldChar w:fldCharType="end"/>
      </w:r>
      <w:r w:rsidR="004C51EE">
        <w:rPr>
          <w:lang w:val="en-GB"/>
        </w:rPr>
        <w:t>.  </w:t>
      </w:r>
      <w:r w:rsidRPr="004948EF">
        <w:rPr>
          <w:lang w:val="en-GB"/>
        </w:rPr>
        <w:t xml:space="preserve">As </w:t>
      </w:r>
      <w:r w:rsidR="00DA1879">
        <w:rPr>
          <w:lang w:val="en-GB"/>
        </w:rPr>
        <w:t>the Court</w:t>
      </w:r>
      <w:r w:rsidRPr="004948EF">
        <w:rPr>
          <w:lang w:val="en-GB"/>
        </w:rPr>
        <w:t xml:space="preserve"> has </w:t>
      </w:r>
      <w:r w:rsidR="00DA1879">
        <w:rPr>
          <w:lang w:val="en-GB"/>
        </w:rPr>
        <w:t>reiterated</w:t>
      </w:r>
      <w:r w:rsidRPr="004948EF">
        <w:rPr>
          <w:lang w:val="en-GB"/>
        </w:rPr>
        <w:t xml:space="preserve"> on </w:t>
      </w:r>
      <w:r w:rsidR="00DA1879">
        <w:rPr>
          <w:lang w:val="en-GB"/>
        </w:rPr>
        <w:t xml:space="preserve">a number of </w:t>
      </w:r>
      <w:r w:rsidRPr="004948EF">
        <w:rPr>
          <w:lang w:val="en-GB"/>
        </w:rPr>
        <w:t>occasions, Article 1 of Protocol No. 1 contains three distinct rules: “the first rule, set out in the first sentence of the first paragraph, is of a general nature and enunciates the principle of the peaceful enjoyment of property; the second rule, contained in the second sentence of the first paragraph, covers deprivation of possessions and subjects it to certain conditions; the third rule, stated in the second paragraph, recognises that the Contracting States are entitled, amongst other things, to control the use of property in accordance with the general interest ...</w:t>
      </w:r>
      <w:r w:rsidR="00075DBE">
        <w:rPr>
          <w:lang w:val="en-GB"/>
        </w:rPr>
        <w:t xml:space="preserve"> </w:t>
      </w:r>
      <w:r w:rsidRPr="004948EF">
        <w:rPr>
          <w:lang w:val="en-GB"/>
        </w:rPr>
        <w:t xml:space="preserve">. These rules are not </w:t>
      </w:r>
      <w:r w:rsidR="00E6191D">
        <w:rPr>
          <w:lang w:val="en-GB"/>
        </w:rPr>
        <w:t>‘</w:t>
      </w:r>
      <w:r w:rsidRPr="004948EF">
        <w:rPr>
          <w:lang w:val="en-GB"/>
        </w:rPr>
        <w:t>distinct</w:t>
      </w:r>
      <w:r w:rsidR="00E6191D">
        <w:rPr>
          <w:lang w:val="en-GB"/>
        </w:rPr>
        <w:t>’</w:t>
      </w:r>
      <w:r w:rsidRPr="004948EF">
        <w:rPr>
          <w:lang w:val="en-GB"/>
        </w:rPr>
        <w:t xml:space="preserve"> in the sense of being unconnected: the second and third rules, which are concerned with particular instances of interference with the right to </w:t>
      </w:r>
      <w:r w:rsidR="004C51EE">
        <w:rPr>
          <w:lang w:val="en-GB"/>
        </w:rPr>
        <w:t xml:space="preserve">the </w:t>
      </w:r>
      <w:r w:rsidRPr="004948EF">
        <w:rPr>
          <w:lang w:val="en-GB"/>
        </w:rPr>
        <w:t xml:space="preserve">peaceful enjoyment of property, are to be construed in the light of the principle laid down in the first rule” (see, among other authorities, </w:t>
      </w:r>
      <w:r w:rsidRPr="004948EF" w:rsidR="004948EF">
        <w:rPr>
          <w:i/>
          <w:lang w:val="en-GB"/>
        </w:rPr>
        <w:t xml:space="preserve">James </w:t>
      </w:r>
      <w:r w:rsidR="00075DBE">
        <w:rPr>
          <w:i/>
          <w:lang w:val="en-GB"/>
        </w:rPr>
        <w:t>and Others</w:t>
      </w:r>
      <w:r w:rsidRPr="004948EF" w:rsidR="004948EF">
        <w:rPr>
          <w:i/>
          <w:lang w:val="en-GB"/>
        </w:rPr>
        <w:t xml:space="preserve"> </w:t>
      </w:r>
      <w:r w:rsidR="00075DBE">
        <w:rPr>
          <w:i/>
          <w:lang w:val="en-GB"/>
        </w:rPr>
        <w:t>v</w:t>
      </w:r>
      <w:r w:rsidR="00143E15">
        <w:rPr>
          <w:i/>
          <w:lang w:val="en-GB"/>
        </w:rPr>
        <w:t xml:space="preserve">. </w:t>
      </w:r>
      <w:r w:rsidR="00075DBE">
        <w:rPr>
          <w:i/>
          <w:lang w:val="en-GB"/>
        </w:rPr>
        <w:t>the United Kingdom</w:t>
      </w:r>
      <w:r w:rsidRPr="004948EF" w:rsidR="004948EF">
        <w:rPr>
          <w:lang w:val="en-GB"/>
        </w:rPr>
        <w:t xml:space="preserve">, 21 </w:t>
      </w:r>
      <w:r w:rsidR="00075DBE">
        <w:rPr>
          <w:lang w:val="en-GB"/>
        </w:rPr>
        <w:t>February</w:t>
      </w:r>
      <w:r w:rsidRPr="004948EF" w:rsidR="004948EF">
        <w:rPr>
          <w:lang w:val="en-GB"/>
        </w:rPr>
        <w:t xml:space="preserve"> 1986, </w:t>
      </w:r>
      <w:r w:rsidRPr="004948EF" w:rsidR="00FA580D">
        <w:rPr>
          <w:lang w:val="en-GB"/>
        </w:rPr>
        <w:t>§ 37</w:t>
      </w:r>
      <w:r w:rsidR="00FA580D">
        <w:rPr>
          <w:lang w:val="en-GB"/>
        </w:rPr>
        <w:t xml:space="preserve">, </w:t>
      </w:r>
      <w:r w:rsidR="00075DBE">
        <w:rPr>
          <w:lang w:val="en-GB"/>
        </w:rPr>
        <w:t>Series A no.</w:t>
      </w:r>
      <w:r w:rsidRPr="004948EF" w:rsidR="004948EF">
        <w:rPr>
          <w:lang w:val="en-GB"/>
        </w:rPr>
        <w:t xml:space="preserve"> 98, which partly reiterates the terms of the Court</w:t>
      </w:r>
      <w:r w:rsidR="00E6191D">
        <w:rPr>
          <w:lang w:val="en-GB"/>
        </w:rPr>
        <w:t>’</w:t>
      </w:r>
      <w:r w:rsidRPr="004948EF" w:rsidR="004948EF">
        <w:rPr>
          <w:lang w:val="en-GB"/>
        </w:rPr>
        <w:t xml:space="preserve">s reasoning in </w:t>
      </w:r>
      <w:r w:rsidRPr="004948EF" w:rsidR="004948EF">
        <w:rPr>
          <w:i/>
          <w:lang w:val="en-GB"/>
        </w:rPr>
        <w:t xml:space="preserve">Sporrong </w:t>
      </w:r>
      <w:r w:rsidR="004948EF">
        <w:rPr>
          <w:i/>
          <w:lang w:val="en-GB"/>
        </w:rPr>
        <w:t>and</w:t>
      </w:r>
      <w:r w:rsidRPr="004948EF" w:rsidR="004948EF">
        <w:rPr>
          <w:i/>
          <w:lang w:val="en-GB"/>
        </w:rPr>
        <w:t xml:space="preserve"> Lönnroth </w:t>
      </w:r>
      <w:r w:rsidR="004948EF">
        <w:rPr>
          <w:i/>
          <w:lang w:val="en-GB"/>
        </w:rPr>
        <w:t>v</w:t>
      </w:r>
      <w:r w:rsidRPr="004948EF" w:rsidR="004948EF">
        <w:rPr>
          <w:i/>
          <w:lang w:val="en-GB"/>
        </w:rPr>
        <w:t xml:space="preserve">. </w:t>
      </w:r>
      <w:r w:rsidR="004948EF">
        <w:rPr>
          <w:i/>
          <w:lang w:val="en-GB"/>
        </w:rPr>
        <w:t>Sweden</w:t>
      </w:r>
      <w:r w:rsidR="004948EF">
        <w:rPr>
          <w:lang w:val="en-GB"/>
        </w:rPr>
        <w:t>, 23</w:t>
      </w:r>
      <w:r w:rsidR="00FA580D">
        <w:rPr>
          <w:lang w:val="en-GB"/>
        </w:rPr>
        <w:t> </w:t>
      </w:r>
      <w:r w:rsidR="004948EF">
        <w:rPr>
          <w:lang w:val="en-GB"/>
        </w:rPr>
        <w:t>S</w:t>
      </w:r>
      <w:r w:rsidRPr="004948EF" w:rsidR="004948EF">
        <w:rPr>
          <w:lang w:val="en-GB"/>
        </w:rPr>
        <w:t>eptemb</w:t>
      </w:r>
      <w:r w:rsidR="004948EF">
        <w:rPr>
          <w:lang w:val="en-GB"/>
        </w:rPr>
        <w:t>er</w:t>
      </w:r>
      <w:r w:rsidRPr="004948EF" w:rsidR="004948EF">
        <w:rPr>
          <w:lang w:val="en-GB"/>
        </w:rPr>
        <w:t xml:space="preserve"> 1982, </w:t>
      </w:r>
      <w:r w:rsidRPr="004948EF" w:rsidR="00FA580D">
        <w:rPr>
          <w:lang w:val="en-GB"/>
        </w:rPr>
        <w:t>§ 61</w:t>
      </w:r>
      <w:r w:rsidR="00FA580D">
        <w:rPr>
          <w:lang w:val="en-GB"/>
        </w:rPr>
        <w:t xml:space="preserve">, </w:t>
      </w:r>
      <w:r w:rsidR="004948EF">
        <w:rPr>
          <w:lang w:val="en-GB"/>
        </w:rPr>
        <w:t>Series</w:t>
      </w:r>
      <w:r w:rsidRPr="004948EF" w:rsidR="004948EF">
        <w:rPr>
          <w:lang w:val="en-GB"/>
        </w:rPr>
        <w:t xml:space="preserve"> A </w:t>
      </w:r>
      <w:r w:rsidR="004948EF">
        <w:rPr>
          <w:lang w:val="en-GB"/>
        </w:rPr>
        <w:t>no.</w:t>
      </w:r>
      <w:r w:rsidR="00210E54">
        <w:rPr>
          <w:lang w:val="en-GB"/>
        </w:rPr>
        <w:t xml:space="preserve"> </w:t>
      </w:r>
      <w:r w:rsidRPr="004948EF" w:rsidR="004948EF">
        <w:rPr>
          <w:lang w:val="en-GB"/>
        </w:rPr>
        <w:t xml:space="preserve">52; </w:t>
      </w:r>
      <w:r w:rsidR="004948EF">
        <w:rPr>
          <w:lang w:val="en-GB"/>
        </w:rPr>
        <w:t>see also</w:t>
      </w:r>
      <w:r w:rsidRPr="004948EF" w:rsidR="004948EF">
        <w:rPr>
          <w:lang w:val="en-GB"/>
        </w:rPr>
        <w:t xml:space="preserve"> </w:t>
      </w:r>
      <w:r w:rsidRPr="00B00C2B" w:rsidR="00B00C2B">
        <w:rPr>
          <w:i/>
          <w:lang w:val="en-GB"/>
        </w:rPr>
        <w:t>The</w:t>
      </w:r>
      <w:r w:rsidR="00B00C2B">
        <w:rPr>
          <w:lang w:val="en-GB"/>
        </w:rPr>
        <w:t xml:space="preserve"> </w:t>
      </w:r>
      <w:r w:rsidRPr="00B00C2B" w:rsidR="00B00C2B">
        <w:rPr>
          <w:i/>
          <w:lang w:val="en-GB"/>
        </w:rPr>
        <w:t xml:space="preserve">Holy </w:t>
      </w:r>
      <w:r w:rsidR="00B00C2B">
        <w:rPr>
          <w:i/>
          <w:lang w:val="en-GB"/>
        </w:rPr>
        <w:t>Monasteries</w:t>
      </w:r>
      <w:r w:rsidRPr="00B00C2B" w:rsidR="00B00C2B">
        <w:rPr>
          <w:i/>
          <w:lang w:val="en-GB"/>
        </w:rPr>
        <w:t xml:space="preserve"> v. Greece</w:t>
      </w:r>
      <w:r w:rsidRPr="00B00C2B" w:rsidR="00B00C2B">
        <w:rPr>
          <w:lang w:val="en-GB"/>
        </w:rPr>
        <w:t xml:space="preserve">, 9 </w:t>
      </w:r>
      <w:r w:rsidR="00143E15">
        <w:rPr>
          <w:lang w:val="en-GB"/>
        </w:rPr>
        <w:t xml:space="preserve">December 1994, </w:t>
      </w:r>
      <w:r w:rsidRPr="004948EF" w:rsidR="00FA580D">
        <w:rPr>
          <w:lang w:val="en-GB"/>
        </w:rPr>
        <w:t>§ 56</w:t>
      </w:r>
      <w:r w:rsidR="00FA580D">
        <w:rPr>
          <w:lang w:val="en-GB"/>
        </w:rPr>
        <w:t xml:space="preserve">, </w:t>
      </w:r>
      <w:r w:rsidR="00143E15">
        <w:rPr>
          <w:lang w:val="en-GB"/>
        </w:rPr>
        <w:t>Series A no. 301-</w:t>
      </w:r>
      <w:r w:rsidRPr="00B00C2B" w:rsidR="00B00C2B">
        <w:rPr>
          <w:lang w:val="en-GB"/>
        </w:rPr>
        <w:t>A</w:t>
      </w:r>
      <w:r w:rsidR="00B00C2B">
        <w:rPr>
          <w:lang w:val="en-GB"/>
        </w:rPr>
        <w:t>;</w:t>
      </w:r>
      <w:r w:rsidRPr="004948EF" w:rsidR="004948EF">
        <w:rPr>
          <w:lang w:val="en-GB"/>
        </w:rPr>
        <w:t xml:space="preserve"> </w:t>
      </w:r>
      <w:r w:rsidRPr="00B00C2B" w:rsidR="00B00C2B">
        <w:rPr>
          <w:i/>
          <w:lang w:val="en-GB"/>
        </w:rPr>
        <w:t>Iatridis v. Greece</w:t>
      </w:r>
      <w:r w:rsidRPr="00B00C2B" w:rsidR="00B00C2B">
        <w:rPr>
          <w:lang w:val="en-GB"/>
        </w:rPr>
        <w:t xml:space="preserve"> [GC], no. 31107/96, § </w:t>
      </w:r>
      <w:r w:rsidR="00B00C2B">
        <w:rPr>
          <w:lang w:val="en-GB"/>
        </w:rPr>
        <w:t>55</w:t>
      </w:r>
      <w:r w:rsidR="00143E15">
        <w:rPr>
          <w:lang w:val="en-GB"/>
        </w:rPr>
        <w:t>, ECHR 1999-</w:t>
      </w:r>
      <w:r w:rsidRPr="00B00C2B" w:rsidR="00B00C2B">
        <w:rPr>
          <w:lang w:val="en-GB"/>
        </w:rPr>
        <w:t>II</w:t>
      </w:r>
      <w:r w:rsidR="00B00C2B">
        <w:rPr>
          <w:lang w:val="en-GB"/>
        </w:rPr>
        <w:t>;</w:t>
      </w:r>
      <w:r w:rsidRPr="004948EF" w:rsidR="004948EF">
        <w:rPr>
          <w:lang w:val="en-GB"/>
        </w:rPr>
        <w:t xml:space="preserve"> </w:t>
      </w:r>
      <w:r w:rsidR="00B00C2B">
        <w:rPr>
          <w:lang w:val="en-GB"/>
        </w:rPr>
        <w:t>and</w:t>
      </w:r>
      <w:r w:rsidRPr="004948EF" w:rsidR="004948EF">
        <w:rPr>
          <w:lang w:val="en-GB"/>
        </w:rPr>
        <w:t xml:space="preserve"> </w:t>
      </w:r>
      <w:r w:rsidRPr="004948EF" w:rsidR="004948EF">
        <w:rPr>
          <w:i/>
          <w:lang w:val="en-GB"/>
        </w:rPr>
        <w:t xml:space="preserve">Beyeler </w:t>
      </w:r>
      <w:r w:rsidR="00B00C2B">
        <w:rPr>
          <w:i/>
          <w:lang w:val="en-GB"/>
        </w:rPr>
        <w:t>v</w:t>
      </w:r>
      <w:r w:rsidRPr="004948EF" w:rsidR="004948EF">
        <w:rPr>
          <w:i/>
          <w:lang w:val="en-GB"/>
        </w:rPr>
        <w:t xml:space="preserve">. </w:t>
      </w:r>
      <w:r w:rsidR="00B00C2B">
        <w:rPr>
          <w:i/>
          <w:lang w:val="en-GB"/>
        </w:rPr>
        <w:t>Italy</w:t>
      </w:r>
      <w:r w:rsidRPr="004948EF" w:rsidR="004948EF">
        <w:rPr>
          <w:lang w:val="en-GB"/>
        </w:rPr>
        <w:t xml:space="preserve"> [GC], </w:t>
      </w:r>
      <w:r w:rsidR="00B00C2B">
        <w:rPr>
          <w:lang w:val="en-GB"/>
        </w:rPr>
        <w:t>no.</w:t>
      </w:r>
      <w:r w:rsidR="00FA580D">
        <w:rPr>
          <w:lang w:val="en-GB"/>
        </w:rPr>
        <w:t> </w:t>
      </w:r>
      <w:r w:rsidRPr="004948EF" w:rsidR="004948EF">
        <w:rPr>
          <w:lang w:val="en-GB"/>
        </w:rPr>
        <w:t>33202/96, §</w:t>
      </w:r>
      <w:r w:rsidR="00210E54">
        <w:rPr>
          <w:lang w:val="en-GB"/>
        </w:rPr>
        <w:t xml:space="preserve"> </w:t>
      </w:r>
      <w:r w:rsidRPr="004948EF" w:rsidR="004948EF">
        <w:rPr>
          <w:lang w:val="en-GB"/>
        </w:rPr>
        <w:t xml:space="preserve">106, </w:t>
      </w:r>
      <w:r w:rsidR="004948EF">
        <w:rPr>
          <w:lang w:val="en-GB"/>
        </w:rPr>
        <w:t>ECHR</w:t>
      </w:r>
      <w:r w:rsidR="00210E54">
        <w:rPr>
          <w:lang w:val="en-GB"/>
        </w:rPr>
        <w:t xml:space="preserve"> </w:t>
      </w:r>
      <w:r w:rsidRPr="004948EF" w:rsidR="004948EF">
        <w:rPr>
          <w:lang w:val="en-GB"/>
        </w:rPr>
        <w:t>2000-I).</w:t>
      </w:r>
    </w:p>
    <w:p w:rsidR="00D43243" w:rsidP="00D43243" w:rsidRDefault="004948EF">
      <w:pPr>
        <w:pStyle w:val="JuParaChar1Char"/>
      </w:pPr>
      <w:r>
        <w:fldChar w:fldCharType="begin"/>
      </w:r>
      <w:r w:rsidRPr="00E07ECF">
        <w:instrText xml:space="preserve"> SEQ level0 \*arabic </w:instrText>
      </w:r>
      <w:r>
        <w:fldChar w:fldCharType="separate"/>
      </w:r>
      <w:r w:rsidR="008B3B68">
        <w:rPr>
          <w:noProof/>
        </w:rPr>
        <w:t>79</w:t>
      </w:r>
      <w:r>
        <w:fldChar w:fldCharType="end"/>
      </w:r>
      <w:r w:rsidRPr="00E07ECF">
        <w:t>.  </w:t>
      </w:r>
      <w:r w:rsidRPr="00F42C51" w:rsidR="00F42C51">
        <w:t xml:space="preserve">The </w:t>
      </w:r>
      <w:r w:rsidR="004D664D">
        <w:t>Grand Chamber</w:t>
      </w:r>
      <w:r w:rsidR="00E07ECF">
        <w:t xml:space="preserve"> notes that the Government did</w:t>
      </w:r>
      <w:r w:rsidRPr="00F42C51" w:rsidR="00F42C51">
        <w:t xml:space="preserve"> not dispute the findings of the Chamber, which had considered that </w:t>
      </w:r>
      <w:r w:rsidR="00F42C51">
        <w:t xml:space="preserve">in the instant case </w:t>
      </w:r>
      <w:r w:rsidRPr="00F42C51" w:rsidR="00F42C51">
        <w:t>there had been</w:t>
      </w:r>
      <w:r w:rsidR="00F42C51">
        <w:t xml:space="preserve"> a deprivation of property within</w:t>
      </w:r>
      <w:r w:rsidR="00E07ECF">
        <w:t xml:space="preserve"> </w:t>
      </w:r>
      <w:r w:rsidR="00F42C51">
        <w:t>the meaning of the second</w:t>
      </w:r>
      <w:r w:rsidRPr="00F42C51" w:rsidR="00F42C51">
        <w:t xml:space="preserve"> </w:t>
      </w:r>
      <w:r w:rsidR="00F42C51">
        <w:t>sentence of A</w:t>
      </w:r>
      <w:r w:rsidRPr="00F42C51" w:rsidR="00F42C51">
        <w:t xml:space="preserve">rticle 1 </w:t>
      </w:r>
      <w:r w:rsidR="00F42C51">
        <w:t>of Protocol No.</w:t>
      </w:r>
      <w:r w:rsidRPr="00F42C51" w:rsidR="00F42C51">
        <w:t xml:space="preserve"> 1</w:t>
      </w:r>
      <w:r w:rsidR="00F42C51">
        <w:t xml:space="preserve"> (see </w:t>
      </w:r>
      <w:r w:rsidR="004D664D">
        <w:t>paragraph</w:t>
      </w:r>
      <w:r w:rsidRPr="00F42C51" w:rsidR="00C50DE6">
        <w:t xml:space="preserve"> </w:t>
      </w:r>
      <w:r w:rsidRPr="00F42C51" w:rsidR="00F42C51">
        <w:t xml:space="preserve">84 </w:t>
      </w:r>
      <w:r w:rsidR="00F42C51">
        <w:t>of the Chamber judgment</w:t>
      </w:r>
      <w:r w:rsidRPr="00F42C51" w:rsidR="00F42C51">
        <w:t>).</w:t>
      </w:r>
    </w:p>
    <w:p w:rsidRPr="00E07ECF" w:rsidR="00E07ECF" w:rsidP="00E07ECF" w:rsidRDefault="00E07ECF">
      <w:pPr>
        <w:pStyle w:val="JuPara"/>
        <w:rPr>
          <w:lang w:val="en-GB"/>
        </w:rPr>
      </w:pPr>
      <w:r>
        <w:fldChar w:fldCharType="begin"/>
      </w:r>
      <w:r w:rsidRPr="00C07997">
        <w:rPr>
          <w:lang w:val="en-GB"/>
        </w:rPr>
        <w:instrText xml:space="preserve"> SEQ level0 \*arabic </w:instrText>
      </w:r>
      <w:r>
        <w:fldChar w:fldCharType="separate"/>
      </w:r>
      <w:r w:rsidR="008B3B68">
        <w:rPr>
          <w:noProof/>
          <w:lang w:val="en-GB"/>
        </w:rPr>
        <w:t>80</w:t>
      </w:r>
      <w:r>
        <w:fldChar w:fldCharType="end"/>
      </w:r>
      <w:r w:rsidRPr="00C07997">
        <w:rPr>
          <w:lang w:val="en-GB"/>
        </w:rPr>
        <w:t>.  </w:t>
      </w:r>
      <w:r w:rsidRPr="00E07ECF">
        <w:rPr>
          <w:lang w:val="en-GB"/>
        </w:rPr>
        <w:t xml:space="preserve">The </w:t>
      </w:r>
      <w:r w:rsidR="00950FAA">
        <w:rPr>
          <w:lang w:val="en-GB"/>
        </w:rPr>
        <w:t>Grand Chamber</w:t>
      </w:r>
      <w:r w:rsidRPr="00E07ECF">
        <w:rPr>
          <w:lang w:val="en-GB"/>
        </w:rPr>
        <w:t xml:space="preserve"> agrees with the Chamber</w:t>
      </w:r>
      <w:r w:rsidR="00E6191D">
        <w:rPr>
          <w:lang w:val="en-GB"/>
        </w:rPr>
        <w:t>’</w:t>
      </w:r>
      <w:r w:rsidRPr="00E07ECF">
        <w:rPr>
          <w:lang w:val="en-GB"/>
        </w:rPr>
        <w:t>s analysis on this point. It must therefore</w:t>
      </w:r>
      <w:r>
        <w:rPr>
          <w:lang w:val="en-GB"/>
        </w:rPr>
        <w:t xml:space="preserve"> now</w:t>
      </w:r>
      <w:r w:rsidRPr="00E07ECF">
        <w:rPr>
          <w:lang w:val="en-GB"/>
        </w:rPr>
        <w:t xml:space="preserve"> determine whether the interference complained of is justified under</w:t>
      </w:r>
      <w:r>
        <w:rPr>
          <w:lang w:val="en-GB"/>
        </w:rPr>
        <w:t xml:space="preserve"> that provision</w:t>
      </w:r>
      <w:r w:rsidRPr="00E07ECF">
        <w:rPr>
          <w:lang w:val="en-GB"/>
        </w:rPr>
        <w:t>.</w:t>
      </w:r>
    </w:p>
    <w:p w:rsidRPr="00DA15E2" w:rsidR="00E07ECF" w:rsidP="00D97A57" w:rsidRDefault="00E07ECF">
      <w:pPr>
        <w:pStyle w:val="JuH1"/>
        <w:rPr>
          <w:lang w:val="en-GB"/>
        </w:rPr>
      </w:pPr>
      <w:r w:rsidRPr="00DA15E2">
        <w:rPr>
          <w:lang w:val="en-GB"/>
        </w:rPr>
        <w:t>2.  </w:t>
      </w:r>
      <w:r w:rsidR="00C50DE6">
        <w:rPr>
          <w:lang w:val="en-GB"/>
        </w:rPr>
        <w:t>Justification for</w:t>
      </w:r>
      <w:r w:rsidRPr="00DA15E2" w:rsidR="00C50DE6">
        <w:rPr>
          <w:lang w:val="en-GB"/>
        </w:rPr>
        <w:t xml:space="preserve"> </w:t>
      </w:r>
      <w:r w:rsidRPr="00DA15E2">
        <w:rPr>
          <w:lang w:val="en-GB"/>
        </w:rPr>
        <w:t>the interference with the right of property</w:t>
      </w:r>
    </w:p>
    <w:p w:rsidRPr="00DA15E2" w:rsidR="00E07ECF" w:rsidP="00124007" w:rsidRDefault="00143E15">
      <w:pPr>
        <w:pStyle w:val="JuHa"/>
        <w:outlineLvl w:val="0"/>
        <w:rPr>
          <w:lang w:val="en-GB"/>
        </w:rPr>
      </w:pPr>
      <w:r>
        <w:rPr>
          <w:lang w:val="en-GB"/>
        </w:rPr>
        <w:t>(</w:t>
      </w:r>
      <w:r w:rsidRPr="00DA15E2" w:rsidR="00A02F91">
        <w:rPr>
          <w:lang w:val="en-GB"/>
        </w:rPr>
        <w:t>a)  “</w:t>
      </w:r>
      <w:r w:rsidRPr="00DA15E2" w:rsidR="00E07ECF">
        <w:rPr>
          <w:lang w:val="en-GB"/>
        </w:rPr>
        <w:t>Pr</w:t>
      </w:r>
      <w:r w:rsidRPr="00DA15E2" w:rsidR="00A02F91">
        <w:rPr>
          <w:lang w:val="en-GB"/>
        </w:rPr>
        <w:t>ovided for by law”</w:t>
      </w:r>
      <w:r w:rsidRPr="00DA15E2" w:rsidR="00E07ECF">
        <w:rPr>
          <w:lang w:val="en-GB"/>
        </w:rPr>
        <w:t xml:space="preserve"> </w:t>
      </w:r>
      <w:r w:rsidRPr="00DA15E2" w:rsidR="00A02F91">
        <w:rPr>
          <w:lang w:val="en-GB"/>
        </w:rPr>
        <w:t>and</w:t>
      </w:r>
      <w:r w:rsidRPr="00DA15E2" w:rsidR="00E07ECF">
        <w:rPr>
          <w:lang w:val="en-GB"/>
        </w:rPr>
        <w:t xml:space="preserve"> </w:t>
      </w:r>
      <w:r w:rsidRPr="00DA15E2" w:rsidR="006618D2">
        <w:rPr>
          <w:lang w:val="en-GB"/>
        </w:rPr>
        <w:t>“in</w:t>
      </w:r>
      <w:r w:rsidRPr="00DA15E2" w:rsidR="00A02F91">
        <w:rPr>
          <w:lang w:val="en-GB"/>
        </w:rPr>
        <w:t xml:space="preserve"> the </w:t>
      </w:r>
      <w:r w:rsidRPr="00DA15E2" w:rsidR="006618D2">
        <w:rPr>
          <w:lang w:val="en-GB"/>
        </w:rPr>
        <w:t>public</w:t>
      </w:r>
      <w:r w:rsidRPr="00DA15E2" w:rsidR="00A02F91">
        <w:rPr>
          <w:lang w:val="en-GB"/>
        </w:rPr>
        <w:t xml:space="preserve"> interest”</w:t>
      </w:r>
    </w:p>
    <w:p w:rsidRPr="00C07997" w:rsidR="00E07ECF" w:rsidP="00E07ECF" w:rsidRDefault="00E07ECF">
      <w:pPr>
        <w:pStyle w:val="JuPara"/>
        <w:rPr>
          <w:lang w:val="en-GB"/>
        </w:rPr>
      </w:pPr>
      <w:r w:rsidRPr="00C2011C">
        <w:fldChar w:fldCharType="begin"/>
      </w:r>
      <w:r w:rsidRPr="00C07997">
        <w:rPr>
          <w:lang w:val="en-GB"/>
        </w:rPr>
        <w:instrText xml:space="preserve"> SEQ level0 \*arabic </w:instrText>
      </w:r>
      <w:r w:rsidRPr="00C2011C">
        <w:fldChar w:fldCharType="separate"/>
      </w:r>
      <w:r w:rsidR="008B3B68">
        <w:rPr>
          <w:noProof/>
          <w:lang w:val="en-GB"/>
        </w:rPr>
        <w:t>81</w:t>
      </w:r>
      <w:r w:rsidRPr="00C2011C">
        <w:fldChar w:fldCharType="end"/>
      </w:r>
      <w:r w:rsidRPr="00C07997">
        <w:rPr>
          <w:lang w:val="en-GB"/>
        </w:rPr>
        <w:t>.  </w:t>
      </w:r>
      <w:r w:rsidRPr="006618D2">
        <w:rPr>
          <w:lang w:val="en-GB"/>
        </w:rPr>
        <w:t>I</w:t>
      </w:r>
      <w:r w:rsidRPr="006618D2" w:rsidR="006618D2">
        <w:rPr>
          <w:lang w:val="en-GB"/>
        </w:rPr>
        <w:t>t is not disputed that the applicants were deprived of their property</w:t>
      </w:r>
      <w:r w:rsidRPr="006618D2">
        <w:rPr>
          <w:lang w:val="en-GB"/>
        </w:rPr>
        <w:t xml:space="preserve"> </w:t>
      </w:r>
      <w:r w:rsidR="006618D2">
        <w:rPr>
          <w:lang w:val="en-GB"/>
        </w:rPr>
        <w:t>in a</w:t>
      </w:r>
      <w:r w:rsidRPr="006618D2" w:rsidR="006618D2">
        <w:rPr>
          <w:lang w:val="en-GB"/>
        </w:rPr>
        <w:t>ccordance wit</w:t>
      </w:r>
      <w:r w:rsidR="006618D2">
        <w:rPr>
          <w:lang w:val="en-GB"/>
        </w:rPr>
        <w:t xml:space="preserve">h the law and that the </w:t>
      </w:r>
      <w:r w:rsidRPr="006618D2">
        <w:rPr>
          <w:lang w:val="en-GB"/>
        </w:rPr>
        <w:t xml:space="preserve">expropriation </w:t>
      </w:r>
      <w:r w:rsidR="006618D2">
        <w:rPr>
          <w:lang w:val="en-GB"/>
        </w:rPr>
        <w:t>pursued a legitimate</w:t>
      </w:r>
      <w:r w:rsidRPr="006618D2">
        <w:rPr>
          <w:lang w:val="en-GB"/>
        </w:rPr>
        <w:t xml:space="preserve"> </w:t>
      </w:r>
      <w:r w:rsidR="006618D2">
        <w:rPr>
          <w:lang w:val="en-GB"/>
        </w:rPr>
        <w:t>aim in the public interest</w:t>
      </w:r>
      <w:r w:rsidRPr="006618D2">
        <w:rPr>
          <w:lang w:val="en-GB"/>
        </w:rPr>
        <w:t>.</w:t>
      </w:r>
    </w:p>
    <w:p w:rsidRPr="00DA15E2" w:rsidR="006618D2" w:rsidP="00124007" w:rsidRDefault="00143E15">
      <w:pPr>
        <w:pStyle w:val="JuHa"/>
        <w:outlineLvl w:val="0"/>
        <w:rPr>
          <w:lang w:val="en-GB"/>
        </w:rPr>
      </w:pPr>
      <w:r>
        <w:rPr>
          <w:lang w:val="en-GB"/>
        </w:rPr>
        <w:t>(</w:t>
      </w:r>
      <w:r w:rsidRPr="00DA15E2" w:rsidR="006618D2">
        <w:rPr>
          <w:lang w:val="en-GB"/>
        </w:rPr>
        <w:t>b)  Proportionality of the interference</w:t>
      </w:r>
    </w:p>
    <w:p w:rsidRPr="00DA15E2" w:rsidR="006618D2" w:rsidP="000C575D" w:rsidRDefault="00143E15">
      <w:pPr>
        <w:pStyle w:val="JuHi"/>
        <w:rPr>
          <w:lang w:val="en-GB"/>
        </w:rPr>
      </w:pPr>
      <w:r>
        <w:rPr>
          <w:lang w:val="en-GB"/>
        </w:rPr>
        <w:t>(i)</w:t>
      </w:r>
      <w:r w:rsidRPr="00DA15E2" w:rsidR="006618D2">
        <w:rPr>
          <w:lang w:val="en-GB"/>
        </w:rPr>
        <w:t> </w:t>
      </w:r>
      <w:r w:rsidR="005A2A87">
        <w:rPr>
          <w:lang w:val="en-GB"/>
        </w:rPr>
        <w:t> </w:t>
      </w:r>
      <w:r w:rsidRPr="00DA15E2" w:rsidR="006618D2">
        <w:rPr>
          <w:lang w:val="en-GB"/>
        </w:rPr>
        <w:t>The Chamber judgment</w:t>
      </w:r>
    </w:p>
    <w:p w:rsidR="00C07997" w:rsidP="006618D2" w:rsidRDefault="006618D2">
      <w:pPr>
        <w:pStyle w:val="JuPara"/>
        <w:rPr>
          <w:lang w:val="en-GB"/>
        </w:rPr>
      </w:pPr>
      <w:r w:rsidRPr="00C2011C">
        <w:fldChar w:fldCharType="begin"/>
      </w:r>
      <w:r w:rsidRPr="00C07997">
        <w:rPr>
          <w:lang w:val="en-GB"/>
        </w:rPr>
        <w:instrText xml:space="preserve"> SEQ level0 \*arabic </w:instrText>
      </w:r>
      <w:r w:rsidRPr="00C2011C">
        <w:fldChar w:fldCharType="separate"/>
      </w:r>
      <w:r w:rsidR="008B3B68">
        <w:rPr>
          <w:noProof/>
          <w:lang w:val="en-GB"/>
        </w:rPr>
        <w:t>82</w:t>
      </w:r>
      <w:r w:rsidRPr="00C2011C">
        <w:fldChar w:fldCharType="end"/>
      </w:r>
      <w:r w:rsidRPr="00C07997">
        <w:rPr>
          <w:lang w:val="en-GB"/>
        </w:rPr>
        <w:t>.  </w:t>
      </w:r>
      <w:r w:rsidRPr="00C07997" w:rsidR="00C07997">
        <w:rPr>
          <w:lang w:val="en-GB"/>
        </w:rPr>
        <w:t>In its judgment of</w:t>
      </w:r>
      <w:r w:rsidRPr="00C07997">
        <w:rPr>
          <w:lang w:val="en-GB"/>
        </w:rPr>
        <w:t xml:space="preserve"> 29 </w:t>
      </w:r>
      <w:r w:rsidRPr="00C07997" w:rsidR="00C07997">
        <w:rPr>
          <w:lang w:val="en-GB"/>
        </w:rPr>
        <w:t xml:space="preserve">July 2004 (see </w:t>
      </w:r>
      <w:r w:rsidR="0036220C">
        <w:rPr>
          <w:lang w:val="en-GB"/>
        </w:rPr>
        <w:t>paragraphs</w:t>
      </w:r>
      <w:r w:rsidRPr="00C07997" w:rsidR="009206DE">
        <w:rPr>
          <w:lang w:val="en-GB"/>
        </w:rPr>
        <w:t xml:space="preserve"> </w:t>
      </w:r>
      <w:r w:rsidRPr="00C07997">
        <w:rPr>
          <w:lang w:val="en-GB"/>
        </w:rPr>
        <w:t xml:space="preserve">98-103 </w:t>
      </w:r>
      <w:r w:rsidRPr="00C07997" w:rsidR="00C07997">
        <w:rPr>
          <w:lang w:val="en-GB"/>
        </w:rPr>
        <w:t>of the Chamber judgment</w:t>
      </w:r>
      <w:r w:rsidR="00B00C2B">
        <w:rPr>
          <w:lang w:val="en-GB"/>
        </w:rPr>
        <w:t>)</w:t>
      </w:r>
      <w:r w:rsidR="004C51EE">
        <w:rPr>
          <w:lang w:val="en-GB"/>
        </w:rPr>
        <w:t>,</w:t>
      </w:r>
      <w:r w:rsidRPr="00C07997">
        <w:rPr>
          <w:lang w:val="en-GB"/>
        </w:rPr>
        <w:t xml:space="preserve"> </w:t>
      </w:r>
      <w:r w:rsidRPr="00C07997" w:rsidR="00C07997">
        <w:rPr>
          <w:lang w:val="en-GB"/>
        </w:rPr>
        <w:t>the</w:t>
      </w:r>
      <w:r w:rsidR="00C07997">
        <w:rPr>
          <w:lang w:val="en-GB"/>
        </w:rPr>
        <w:t xml:space="preserve"> Chamber</w:t>
      </w:r>
      <w:r w:rsidRPr="00C07997">
        <w:rPr>
          <w:lang w:val="en-GB"/>
        </w:rPr>
        <w:t xml:space="preserve"> </w:t>
      </w:r>
      <w:r w:rsidR="00C07997">
        <w:rPr>
          <w:lang w:val="en-GB"/>
        </w:rPr>
        <w:t>arrived at the following con</w:t>
      </w:r>
      <w:r w:rsidRPr="00C07997">
        <w:rPr>
          <w:lang w:val="en-GB"/>
        </w:rPr>
        <w:t>clusions:</w:t>
      </w:r>
    </w:p>
    <w:p w:rsidRPr="00C07997" w:rsidR="00C07997" w:rsidP="00C07997" w:rsidRDefault="00C07997">
      <w:pPr>
        <w:pStyle w:val="JuQuotChar1"/>
      </w:pPr>
      <w:r>
        <w:t>“</w:t>
      </w:r>
      <w:r w:rsidRPr="00C07997">
        <w:t xml:space="preserve">The Court notes that the applicants received the highest amount of compensation available under section 5 </w:t>
      </w:r>
      <w:r w:rsidRPr="00784FF1">
        <w:rPr>
          <w:i/>
        </w:rPr>
        <w:t>bis</w:t>
      </w:r>
      <w:r w:rsidRPr="00C07997">
        <w:t xml:space="preserve"> of Law no. 359/1992. The further 40% deduction was indeed not applied in this case </w:t>
      </w:r>
      <w:r w:rsidR="00B9248D">
        <w:t>...</w:t>
      </w:r>
    </w:p>
    <w:p w:rsidRPr="00C07997" w:rsidR="00C07997" w:rsidP="00C07997" w:rsidRDefault="00C07997">
      <w:pPr>
        <w:pStyle w:val="JuQuotChar1"/>
      </w:pPr>
      <w:r w:rsidRPr="00C07997">
        <w:t xml:space="preserve">The Court also notes that the final amount of compensation was fixed at ITL 82,890 per square metre, whereas the estimated market value of the land was </w:t>
      </w:r>
      <w:r w:rsidR="005347B8">
        <w:t xml:space="preserve">ITL </w:t>
      </w:r>
      <w:r w:rsidRPr="00C07997">
        <w:t>165,755 per square metre</w:t>
      </w:r>
      <w:r w:rsidR="00B00C2B">
        <w:t xml:space="preserve"> </w:t>
      </w:r>
      <w:r w:rsidR="00B9248D">
        <w:t>...</w:t>
      </w:r>
    </w:p>
    <w:p w:rsidRPr="00C07997" w:rsidR="00C07997" w:rsidP="00C07997" w:rsidRDefault="00C07997">
      <w:pPr>
        <w:pStyle w:val="JuQuotChar1"/>
      </w:pPr>
      <w:r w:rsidRPr="00C07997">
        <w:t xml:space="preserve">In addition, that amount was subsequently taxed at a rate of 20% </w:t>
      </w:r>
      <w:r w:rsidR="00B9248D">
        <w:t>...</w:t>
      </w:r>
    </w:p>
    <w:p w:rsidRPr="00C07997" w:rsidR="00C07997" w:rsidP="00C07997" w:rsidRDefault="00C07997">
      <w:pPr>
        <w:pStyle w:val="JuQuotChar1"/>
      </w:pPr>
      <w:r w:rsidRPr="00C07997">
        <w:t xml:space="preserve">Lastly, the Court does not overlook the amount of time that elapsed between the expropriation and the final assessment of the compensation </w:t>
      </w:r>
      <w:r w:rsidR="00B9248D">
        <w:t>...</w:t>
      </w:r>
    </w:p>
    <w:p w:rsidRPr="00C07997" w:rsidR="00C07997" w:rsidP="00C07997" w:rsidRDefault="00C07997">
      <w:pPr>
        <w:pStyle w:val="JuQuotChar1"/>
      </w:pPr>
      <w:r w:rsidRPr="00C07997">
        <w:t xml:space="preserve">Having regard to the margin of appreciation Article 1 of Protocol No. 1 affords national authorities, the Court considers that the price paid to the applicants did not bear a reasonable relation to the value of the expropriated property (see </w:t>
      </w:r>
      <w:r w:rsidR="005347B8">
        <w:rPr>
          <w:i/>
        </w:rPr>
        <w:t xml:space="preserve">Papachelas v. </w:t>
      </w:r>
      <w:r w:rsidRPr="00784FF1">
        <w:rPr>
          <w:i/>
        </w:rPr>
        <w:t>Greece</w:t>
      </w:r>
      <w:r w:rsidRPr="00C07997">
        <w:t xml:space="preserve"> [GC], no. 31423/96, § 49, ECHR 1999-II, and </w:t>
      </w:r>
      <w:r w:rsidRPr="00784FF1">
        <w:rPr>
          <w:i/>
        </w:rPr>
        <w:t>Platakou v. Greece</w:t>
      </w:r>
      <w:r w:rsidR="000C575D">
        <w:t>, no. </w:t>
      </w:r>
      <w:r w:rsidRPr="00C07997">
        <w:t>38460/97, § 54, ECHR 2001-I). It follows that the fair balance was upset.</w:t>
      </w:r>
    </w:p>
    <w:p w:rsidR="00C07997" w:rsidP="00C07997" w:rsidRDefault="00C07997">
      <w:pPr>
        <w:pStyle w:val="JuQuotChar1"/>
      </w:pPr>
      <w:r w:rsidRPr="00C07997">
        <w:t>Accordingly, there has been a violation of Article 1 of Protocol No. 1.</w:t>
      </w:r>
      <w:r>
        <w:t>”</w:t>
      </w:r>
    </w:p>
    <w:p w:rsidRPr="00DA15E2" w:rsidR="00C07997" w:rsidP="00124007" w:rsidRDefault="00143E15">
      <w:pPr>
        <w:pStyle w:val="JuHi"/>
        <w:outlineLvl w:val="0"/>
        <w:rPr>
          <w:lang w:val="en-GB"/>
        </w:rPr>
      </w:pPr>
      <w:r>
        <w:rPr>
          <w:lang w:val="en-GB"/>
        </w:rPr>
        <w:t>(ii) </w:t>
      </w:r>
      <w:r w:rsidR="0036220C">
        <w:rPr>
          <w:lang w:val="en-GB"/>
        </w:rPr>
        <w:t> </w:t>
      </w:r>
      <w:r w:rsidRPr="00DA15E2" w:rsidR="0054684F">
        <w:rPr>
          <w:lang w:val="en-GB"/>
        </w:rPr>
        <w:t>Submissions of those appearing before the Court</w:t>
      </w:r>
    </w:p>
    <w:p w:rsidRPr="00DA15E2" w:rsidR="00C07997" w:rsidP="000C575D" w:rsidRDefault="00143E15">
      <w:pPr>
        <w:pStyle w:val="JuHalpha"/>
        <w:rPr>
          <w:lang w:val="en-GB"/>
        </w:rPr>
      </w:pPr>
      <w:r>
        <w:rPr>
          <w:lang w:val="en-GB"/>
        </w:rPr>
        <w:t>(</w:t>
      </w:r>
      <w:r w:rsidRPr="00C2011C" w:rsidR="00C07997">
        <w:t>α</w:t>
      </w:r>
      <w:r w:rsidRPr="00DA15E2" w:rsidR="00C07997">
        <w:rPr>
          <w:lang w:val="en-GB"/>
        </w:rPr>
        <w:t>)  </w:t>
      </w:r>
      <w:r w:rsidRPr="00DA15E2" w:rsidR="00784FF1">
        <w:rPr>
          <w:lang w:val="en-GB"/>
        </w:rPr>
        <w:t>The applicants</w:t>
      </w:r>
    </w:p>
    <w:p w:rsidRPr="00784FF1" w:rsidR="00C07997" w:rsidP="00C07997" w:rsidRDefault="00C07997">
      <w:pPr>
        <w:pStyle w:val="JuPara"/>
        <w:rPr>
          <w:lang w:val="en-GB"/>
        </w:rPr>
      </w:pPr>
      <w:r>
        <w:fldChar w:fldCharType="begin"/>
      </w:r>
      <w:r w:rsidRPr="00824B80">
        <w:rPr>
          <w:lang w:val="en-GB"/>
        </w:rPr>
        <w:instrText xml:space="preserve"> SEQ level0 \*arabic </w:instrText>
      </w:r>
      <w:r>
        <w:fldChar w:fldCharType="separate"/>
      </w:r>
      <w:r w:rsidR="008B3B68">
        <w:rPr>
          <w:noProof/>
          <w:lang w:val="en-GB"/>
        </w:rPr>
        <w:t>83</w:t>
      </w:r>
      <w:r>
        <w:fldChar w:fldCharType="end"/>
      </w:r>
      <w:r w:rsidRPr="00824B80">
        <w:rPr>
          <w:lang w:val="en-GB"/>
        </w:rPr>
        <w:t>.  </w:t>
      </w:r>
      <w:r w:rsidRPr="00784FF1" w:rsidR="00784FF1">
        <w:rPr>
          <w:lang w:val="en-GB"/>
        </w:rPr>
        <w:t>The applicants</w:t>
      </w:r>
      <w:r w:rsidRPr="00784FF1">
        <w:rPr>
          <w:lang w:val="en-GB"/>
        </w:rPr>
        <w:t xml:space="preserve"> </w:t>
      </w:r>
      <w:r w:rsidRPr="00784FF1" w:rsidR="00784FF1">
        <w:rPr>
          <w:lang w:val="en-GB"/>
        </w:rPr>
        <w:t xml:space="preserve">asked the </w:t>
      </w:r>
      <w:r w:rsidR="00F560C4">
        <w:rPr>
          <w:lang w:val="en-GB"/>
        </w:rPr>
        <w:t>Grand Chamber</w:t>
      </w:r>
      <w:r w:rsidRPr="00784FF1" w:rsidR="00784FF1">
        <w:rPr>
          <w:lang w:val="en-GB"/>
        </w:rPr>
        <w:t xml:space="preserve"> to endorse the Chamber</w:t>
      </w:r>
      <w:r w:rsidR="00784FF1">
        <w:rPr>
          <w:lang w:val="en-GB"/>
        </w:rPr>
        <w:t xml:space="preserve"> j</w:t>
      </w:r>
      <w:r w:rsidRPr="00784FF1" w:rsidR="00784FF1">
        <w:rPr>
          <w:lang w:val="en-GB"/>
        </w:rPr>
        <w:t>udgment and argued that the compensation received did not bear a reasonable relation to the value of the property</w:t>
      </w:r>
      <w:r w:rsidRPr="00784FF1">
        <w:rPr>
          <w:lang w:val="en-GB"/>
        </w:rPr>
        <w:t xml:space="preserve">. </w:t>
      </w:r>
      <w:r w:rsidRPr="00784FF1" w:rsidR="00784FF1">
        <w:rPr>
          <w:lang w:val="en-GB"/>
        </w:rPr>
        <w:t>The</w:t>
      </w:r>
      <w:r w:rsidR="0036220C">
        <w:rPr>
          <w:lang w:val="en-GB"/>
        </w:rPr>
        <w:t>y</w:t>
      </w:r>
      <w:r w:rsidRPr="00784FF1" w:rsidR="00784FF1">
        <w:rPr>
          <w:lang w:val="en-GB"/>
        </w:rPr>
        <w:t xml:space="preserve"> observed that the </w:t>
      </w:r>
      <w:r w:rsidRPr="00784FF1" w:rsidR="00B00C2B">
        <w:rPr>
          <w:lang w:val="en-GB"/>
        </w:rPr>
        <w:t xml:space="preserve">expropriation </w:t>
      </w:r>
      <w:r w:rsidRPr="00784FF1" w:rsidR="00784FF1">
        <w:rPr>
          <w:lang w:val="en-GB"/>
        </w:rPr>
        <w:t xml:space="preserve">compensation </w:t>
      </w:r>
      <w:r w:rsidR="00B00C2B">
        <w:rPr>
          <w:lang w:val="en-GB"/>
        </w:rPr>
        <w:t>awarded them</w:t>
      </w:r>
      <w:r w:rsidRPr="00784FF1" w:rsidR="00784FF1">
        <w:rPr>
          <w:lang w:val="en-GB"/>
        </w:rPr>
        <w:t xml:space="preserve"> </w:t>
      </w:r>
      <w:r w:rsidR="00B00C2B">
        <w:rPr>
          <w:lang w:val="en-GB"/>
        </w:rPr>
        <w:t xml:space="preserve">by the domestic courts </w:t>
      </w:r>
      <w:r w:rsidRPr="00784FF1" w:rsidR="00784FF1">
        <w:rPr>
          <w:lang w:val="en-GB"/>
        </w:rPr>
        <w:t>corresponded to half the market value of the land</w:t>
      </w:r>
      <w:r w:rsidR="00B00C2B">
        <w:rPr>
          <w:lang w:val="en-GB"/>
        </w:rPr>
        <w:t>. Th</w:t>
      </w:r>
      <w:r w:rsidRPr="00784FF1" w:rsidR="00784FF1">
        <w:rPr>
          <w:lang w:val="en-GB"/>
        </w:rPr>
        <w:t xml:space="preserve">at amount had subsequently been </w:t>
      </w:r>
      <w:r w:rsidR="00B00C2B">
        <w:rPr>
          <w:lang w:val="en-GB"/>
        </w:rPr>
        <w:t>reduced</w:t>
      </w:r>
      <w:r w:rsidRPr="00784FF1" w:rsidR="00784FF1">
        <w:rPr>
          <w:lang w:val="en-GB"/>
        </w:rPr>
        <w:t xml:space="preserve"> by a further 20% once tax had been deducted at source pursuant to Law no. 413/1991</w:t>
      </w:r>
      <w:r w:rsidR="00BD55D9">
        <w:rPr>
          <w:lang w:val="en-GB"/>
        </w:rPr>
        <w:t>.</w:t>
      </w:r>
    </w:p>
    <w:p w:rsidRPr="00BD55D9" w:rsidR="00C07997" w:rsidP="00C07997" w:rsidRDefault="00C07997">
      <w:pPr>
        <w:pStyle w:val="JuPara"/>
        <w:rPr>
          <w:lang w:val="en-GB"/>
        </w:rPr>
      </w:pPr>
      <w:r>
        <w:fldChar w:fldCharType="begin"/>
      </w:r>
      <w:r w:rsidRPr="00824B80">
        <w:rPr>
          <w:lang w:val="en-GB"/>
        </w:rPr>
        <w:instrText xml:space="preserve"> SEQ level0 \*arabic </w:instrText>
      </w:r>
      <w:r>
        <w:fldChar w:fldCharType="separate"/>
      </w:r>
      <w:r w:rsidR="008B3B68">
        <w:rPr>
          <w:noProof/>
          <w:lang w:val="en-GB"/>
        </w:rPr>
        <w:t>84</w:t>
      </w:r>
      <w:r>
        <w:fldChar w:fldCharType="end"/>
      </w:r>
      <w:r w:rsidRPr="00824B80">
        <w:rPr>
          <w:lang w:val="en-GB"/>
        </w:rPr>
        <w:t>.  </w:t>
      </w:r>
      <w:r w:rsidRPr="00BD55D9" w:rsidR="00BD55D9">
        <w:rPr>
          <w:lang w:val="en-GB"/>
        </w:rPr>
        <w:t>The applicants went on to observe that</w:t>
      </w:r>
      <w:r w:rsidRPr="00BD55D9">
        <w:rPr>
          <w:lang w:val="en-GB"/>
        </w:rPr>
        <w:t xml:space="preserve"> </w:t>
      </w:r>
      <w:r w:rsidRPr="00BD55D9" w:rsidR="00BD55D9">
        <w:rPr>
          <w:lang w:val="en-GB"/>
        </w:rPr>
        <w:t>the compensation for the expropriation had been calculated</w:t>
      </w:r>
      <w:r w:rsidRPr="00BD55D9">
        <w:rPr>
          <w:lang w:val="en-GB"/>
        </w:rPr>
        <w:t xml:space="preserve"> </w:t>
      </w:r>
      <w:r w:rsidRPr="00BD55D9" w:rsidR="00BD55D9">
        <w:rPr>
          <w:lang w:val="en-GB"/>
        </w:rPr>
        <w:t xml:space="preserve">in accordance with the criteria laid down in section 5 </w:t>
      </w:r>
      <w:r w:rsidRPr="00BD55D9" w:rsidR="00BD55D9">
        <w:rPr>
          <w:i/>
          <w:lang w:val="en-GB"/>
        </w:rPr>
        <w:t>bis</w:t>
      </w:r>
      <w:r w:rsidRPr="00BD55D9" w:rsidR="00BD55D9">
        <w:rPr>
          <w:lang w:val="en-GB"/>
        </w:rPr>
        <w:t xml:space="preserve"> of Law no. 359/1992. That provision provided for the same level of compensation </w:t>
      </w:r>
      <w:r w:rsidR="00E57B74">
        <w:rPr>
          <w:lang w:val="en-GB"/>
        </w:rPr>
        <w:t xml:space="preserve">for all land </w:t>
      </w:r>
      <w:r w:rsidRPr="00BD55D9" w:rsidR="00BD55D9">
        <w:rPr>
          <w:lang w:val="en-GB"/>
        </w:rPr>
        <w:t>regardless of th</w:t>
      </w:r>
      <w:r w:rsidR="00BD55D9">
        <w:rPr>
          <w:lang w:val="en-GB"/>
        </w:rPr>
        <w:t>e work</w:t>
      </w:r>
      <w:r w:rsidR="009E03DC">
        <w:rPr>
          <w:lang w:val="en-GB"/>
        </w:rPr>
        <w:t>s in the public interest for which the land had been earmarked</w:t>
      </w:r>
      <w:r w:rsidRPr="00BD55D9">
        <w:rPr>
          <w:lang w:val="en-GB"/>
        </w:rPr>
        <w:t xml:space="preserve">, </w:t>
      </w:r>
      <w:r w:rsidR="00BD55D9">
        <w:rPr>
          <w:lang w:val="en-GB"/>
        </w:rPr>
        <w:t>the</w:t>
      </w:r>
      <w:r w:rsidRPr="00BD55D9">
        <w:rPr>
          <w:lang w:val="en-GB"/>
        </w:rPr>
        <w:t xml:space="preserve"> objecti</w:t>
      </w:r>
      <w:r w:rsidR="00BD55D9">
        <w:rPr>
          <w:lang w:val="en-GB"/>
        </w:rPr>
        <w:t>ves p</w:t>
      </w:r>
      <w:r w:rsidRPr="00BD55D9">
        <w:rPr>
          <w:lang w:val="en-GB"/>
        </w:rPr>
        <w:t>u</w:t>
      </w:r>
      <w:r w:rsidR="00BD55D9">
        <w:rPr>
          <w:lang w:val="en-GB"/>
        </w:rPr>
        <w:t xml:space="preserve">rsued and the circumstances of the </w:t>
      </w:r>
      <w:r w:rsidRPr="00BD55D9">
        <w:rPr>
          <w:lang w:val="en-GB"/>
        </w:rPr>
        <w:t>expropriation.</w:t>
      </w:r>
    </w:p>
    <w:p w:rsidRPr="00261C61" w:rsidR="00C07997" w:rsidP="00C07997" w:rsidRDefault="00C07997">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85</w:t>
      </w:r>
      <w:r w:rsidRPr="00C2011C">
        <w:fldChar w:fldCharType="end"/>
      </w:r>
      <w:r w:rsidRPr="00824B80">
        <w:rPr>
          <w:lang w:val="en-GB"/>
        </w:rPr>
        <w:t>.  </w:t>
      </w:r>
      <w:r w:rsidRPr="00261C61" w:rsidR="00261C61">
        <w:rPr>
          <w:lang w:val="en-GB"/>
        </w:rPr>
        <w:t xml:space="preserve">The applicants also asserted that their land had been expropriated in order to allow a cooperative society to build accommodation there for private individuals, who, in accordance with domestic law </w:t>
      </w:r>
      <w:r w:rsidRPr="00261C61">
        <w:rPr>
          <w:lang w:val="en-GB"/>
        </w:rPr>
        <w:t>(</w:t>
      </w:r>
      <w:r w:rsidRPr="00261C61" w:rsidR="00261C61">
        <w:rPr>
          <w:lang w:val="en-GB"/>
        </w:rPr>
        <w:t>section 20 of Law no. 179/1992), would be free to sell their homes at market value five years later</w:t>
      </w:r>
      <w:r w:rsidRPr="00261C61">
        <w:rPr>
          <w:lang w:val="en-GB"/>
        </w:rPr>
        <w:t xml:space="preserve">. </w:t>
      </w:r>
      <w:r w:rsidRPr="00261C61" w:rsidR="00261C61">
        <w:rPr>
          <w:lang w:val="en-GB"/>
        </w:rPr>
        <w:t>The expropriation of the applicants</w:t>
      </w:r>
      <w:r w:rsidR="00E6191D">
        <w:rPr>
          <w:lang w:val="en-GB"/>
        </w:rPr>
        <w:t>’</w:t>
      </w:r>
      <w:r w:rsidRPr="00261C61" w:rsidR="00261C61">
        <w:rPr>
          <w:lang w:val="en-GB"/>
        </w:rPr>
        <w:t xml:space="preserve"> land had therefore benefited private individuals</w:t>
      </w:r>
      <w:r w:rsidRPr="00261C61">
        <w:rPr>
          <w:lang w:val="en-GB"/>
        </w:rPr>
        <w:t>.</w:t>
      </w:r>
    </w:p>
    <w:p w:rsidRPr="00BD06BB" w:rsidR="00C07997" w:rsidP="00C07997" w:rsidRDefault="00C07997">
      <w:pPr>
        <w:pStyle w:val="JuPara"/>
        <w:rPr>
          <w:lang w:val="en-GB" w:eastAsia="en-US"/>
        </w:rPr>
      </w:pPr>
      <w:r w:rsidRPr="00C2011C">
        <w:fldChar w:fldCharType="begin"/>
      </w:r>
      <w:r w:rsidRPr="00824B80">
        <w:rPr>
          <w:lang w:val="en-GB"/>
        </w:rPr>
        <w:instrText xml:space="preserve"> SEQ level0 \*arabic </w:instrText>
      </w:r>
      <w:r w:rsidRPr="00C2011C">
        <w:fldChar w:fldCharType="separate"/>
      </w:r>
      <w:r w:rsidR="008B3B68">
        <w:rPr>
          <w:noProof/>
          <w:lang w:val="en-GB"/>
        </w:rPr>
        <w:t>86</w:t>
      </w:r>
      <w:r w:rsidRPr="00C2011C">
        <w:fldChar w:fldCharType="end"/>
      </w:r>
      <w:r w:rsidRPr="00824B80">
        <w:rPr>
          <w:lang w:val="en-GB"/>
        </w:rPr>
        <w:t>.  </w:t>
      </w:r>
      <w:r w:rsidRPr="00BD06BB" w:rsidR="00BD06BB">
        <w:rPr>
          <w:lang w:val="en-GB"/>
        </w:rPr>
        <w:t>Lastly</w:t>
      </w:r>
      <w:r w:rsidRPr="00BD06BB">
        <w:rPr>
          <w:lang w:val="en-GB"/>
        </w:rPr>
        <w:t xml:space="preserve">, </w:t>
      </w:r>
      <w:r w:rsidRPr="00BD06BB" w:rsidR="00BD06BB">
        <w:rPr>
          <w:lang w:val="en-GB"/>
        </w:rPr>
        <w:t>the applicants</w:t>
      </w:r>
      <w:r w:rsidRPr="00BD06BB">
        <w:rPr>
          <w:lang w:val="en-GB"/>
        </w:rPr>
        <w:t xml:space="preserve"> </w:t>
      </w:r>
      <w:r w:rsidRPr="00BD06BB" w:rsidR="00BD06BB">
        <w:rPr>
          <w:lang w:val="en-GB"/>
        </w:rPr>
        <w:t xml:space="preserve">pointed out that the </w:t>
      </w:r>
      <w:smartTag w:uri="urn:schemas-microsoft-com:office:smarttags" w:element="Street">
        <w:smartTag w:uri="urn:schemas-microsoft-com:office:smarttags" w:element="address">
          <w:r w:rsidR="00BD06BB" w:rsidRPr="00BD06BB">
            <w:rPr>
              <w:lang w:val="en-GB"/>
            </w:rPr>
            <w:t>C</w:t>
          </w:r>
          <w:r w:rsidRPr="00BD06BB">
            <w:rPr>
              <w:lang w:val="en-GB"/>
            </w:rPr>
            <w:t>onstitution</w:t>
          </w:r>
          <w:r w:rsidR="00BD06BB" w:rsidRPr="00BD06BB">
            <w:rPr>
              <w:lang w:val="en-GB"/>
            </w:rPr>
            <w:t>al Court</w:t>
          </w:r>
        </w:smartTag>
      </w:smartTag>
      <w:r w:rsidRPr="00BD06BB" w:rsidR="00BD06BB">
        <w:rPr>
          <w:lang w:val="en-GB"/>
        </w:rPr>
        <w:t xml:space="preserve"> had held that the</w:t>
      </w:r>
      <w:r w:rsidRPr="00BD06BB">
        <w:rPr>
          <w:lang w:val="en-GB"/>
        </w:rPr>
        <w:t xml:space="preserve"> </w:t>
      </w:r>
      <w:r w:rsidRPr="00BD06BB" w:rsidR="00BD06BB">
        <w:rPr>
          <w:lang w:val="en-GB"/>
        </w:rPr>
        <w:t>compensation criteria in question, having regard to th</w:t>
      </w:r>
      <w:r w:rsidR="00BD06BB">
        <w:rPr>
          <w:lang w:val="en-GB"/>
        </w:rPr>
        <w:t>eir temporary nature, were</w:t>
      </w:r>
      <w:r w:rsidRPr="00BD06BB">
        <w:rPr>
          <w:lang w:val="en-GB"/>
        </w:rPr>
        <w:t xml:space="preserve"> compatible</w:t>
      </w:r>
      <w:r w:rsidR="00BD06BB">
        <w:rPr>
          <w:lang w:val="en-GB"/>
        </w:rPr>
        <w:t xml:space="preserve"> with the</w:t>
      </w:r>
      <w:r w:rsidRPr="00BD06BB">
        <w:rPr>
          <w:lang w:val="en-GB"/>
        </w:rPr>
        <w:t xml:space="preserve"> Constitution. </w:t>
      </w:r>
      <w:r w:rsidRPr="00BD06BB" w:rsidR="00BD06BB">
        <w:rPr>
          <w:lang w:val="en-GB"/>
        </w:rPr>
        <w:t>Section</w:t>
      </w:r>
      <w:r w:rsidRPr="00BD06BB">
        <w:rPr>
          <w:lang w:val="en-GB"/>
        </w:rPr>
        <w:t xml:space="preserve"> 5 </w:t>
      </w:r>
      <w:r w:rsidRPr="00BD06BB">
        <w:rPr>
          <w:i/>
          <w:lang w:val="en-GB"/>
        </w:rPr>
        <w:t>bis</w:t>
      </w:r>
      <w:r w:rsidRPr="00BD06BB">
        <w:rPr>
          <w:lang w:val="en-GB"/>
        </w:rPr>
        <w:t xml:space="preserve"> </w:t>
      </w:r>
      <w:r w:rsidRPr="00BD06BB" w:rsidR="00BD06BB">
        <w:rPr>
          <w:lang w:val="en-GB"/>
        </w:rPr>
        <w:t xml:space="preserve">of Law no. </w:t>
      </w:r>
      <w:r w:rsidRPr="00BD06BB">
        <w:rPr>
          <w:lang w:val="en-GB"/>
        </w:rPr>
        <w:t>359</w:t>
      </w:r>
      <w:r w:rsidRPr="00BD06BB" w:rsidR="00BD06BB">
        <w:rPr>
          <w:lang w:val="en-GB"/>
        </w:rPr>
        <w:t>/</w:t>
      </w:r>
      <w:r w:rsidRPr="00BD06BB">
        <w:rPr>
          <w:lang w:val="en-GB"/>
        </w:rPr>
        <w:t xml:space="preserve">1992 </w:t>
      </w:r>
      <w:r w:rsidRPr="00BD06BB" w:rsidR="00BD06BB">
        <w:rPr>
          <w:lang w:val="en-GB"/>
        </w:rPr>
        <w:t xml:space="preserve">remained in force until </w:t>
      </w:r>
      <w:smartTag w:uri="urn:schemas-microsoft-com:office:smarttags" w:element="date">
        <w:smartTagPr>
          <w:attr w:name="Month" w:val="6"/>
          <w:attr w:name="Day" w:val="30"/>
          <w:attr w:name="Year" w:val="2003"/>
        </w:smartTagPr>
        <w:r w:rsidRPr="00BD06BB">
          <w:rPr>
            <w:lang w:val="en-GB"/>
          </w:rPr>
          <w:t xml:space="preserve">30 </w:t>
        </w:r>
        <w:r w:rsidR="00BD06BB" w:rsidRPr="00BD06BB">
          <w:rPr>
            <w:lang w:val="en-GB"/>
          </w:rPr>
          <w:t>June</w:t>
        </w:r>
        <w:r w:rsidRPr="00BD06BB">
          <w:rPr>
            <w:lang w:val="en-GB"/>
          </w:rPr>
          <w:t xml:space="preserve"> 2003</w:t>
        </w:r>
      </w:smartTag>
      <w:r w:rsidRPr="00BD06BB" w:rsidR="00BD06BB">
        <w:rPr>
          <w:lang w:val="en-GB"/>
        </w:rPr>
        <w:t xml:space="preserve"> and was incorporated into t</w:t>
      </w:r>
      <w:r w:rsidR="00BD06BB">
        <w:rPr>
          <w:lang w:val="en-GB"/>
        </w:rPr>
        <w:t>he Code</w:t>
      </w:r>
      <w:r w:rsidRPr="00BD06BB">
        <w:rPr>
          <w:lang w:val="en-GB"/>
        </w:rPr>
        <w:t xml:space="preserve"> </w:t>
      </w:r>
      <w:r w:rsidR="00BD06BB">
        <w:rPr>
          <w:lang w:val="en-GB"/>
        </w:rPr>
        <w:t>of Expropriation Laws</w:t>
      </w:r>
      <w:r w:rsidRPr="00BD06BB">
        <w:rPr>
          <w:lang w:val="en-GB"/>
        </w:rPr>
        <w:t xml:space="preserve">, </w:t>
      </w:r>
      <w:r w:rsidR="00BD06BB">
        <w:rPr>
          <w:lang w:val="en-GB"/>
        </w:rPr>
        <w:t>which came into force on that date</w:t>
      </w:r>
      <w:r w:rsidRPr="00BD06BB">
        <w:rPr>
          <w:lang w:val="en-GB"/>
        </w:rPr>
        <w:t>.</w:t>
      </w:r>
    </w:p>
    <w:p w:rsidR="00967E1F" w:rsidP="00124007" w:rsidRDefault="00143E15">
      <w:pPr>
        <w:pStyle w:val="JuHalpha"/>
        <w:outlineLvl w:val="0"/>
        <w:rPr>
          <w:lang w:val="en-GB"/>
        </w:rPr>
      </w:pPr>
      <w:r w:rsidRPr="009218A6">
        <w:rPr>
          <w:lang w:val="en-GB"/>
        </w:rPr>
        <w:t>(</w:t>
      </w:r>
      <w:r w:rsidRPr="00C2011C" w:rsidR="00C07997">
        <w:t>β</w:t>
      </w:r>
      <w:r w:rsidRPr="00DA15E2" w:rsidR="00C07997">
        <w:rPr>
          <w:lang w:val="en-GB"/>
        </w:rPr>
        <w:t>)  </w:t>
      </w:r>
      <w:r w:rsidRPr="00DA15E2" w:rsidR="00BD06BB">
        <w:rPr>
          <w:lang w:val="en-GB"/>
        </w:rPr>
        <w:t>The Govern</w:t>
      </w:r>
      <w:r w:rsidRPr="00DA15E2" w:rsidR="00C07997">
        <w:rPr>
          <w:lang w:val="en-GB"/>
        </w:rPr>
        <w:t>ment</w:t>
      </w:r>
    </w:p>
    <w:p w:rsidR="00967E1F" w:rsidP="00BD06BB" w:rsidRDefault="00BD06BB">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87</w:t>
      </w:r>
      <w:r w:rsidRPr="00C2011C">
        <w:fldChar w:fldCharType="end"/>
      </w:r>
      <w:r w:rsidRPr="00824B80">
        <w:rPr>
          <w:lang w:val="en-GB"/>
        </w:rPr>
        <w:t>.  </w:t>
      </w:r>
      <w:r w:rsidRPr="00BD06BB">
        <w:rPr>
          <w:lang w:val="en-GB"/>
        </w:rPr>
        <w:t xml:space="preserve">The Government </w:t>
      </w:r>
      <w:r>
        <w:rPr>
          <w:lang w:val="en-GB"/>
        </w:rPr>
        <w:t>contested</w:t>
      </w:r>
      <w:r w:rsidRPr="00BD06BB">
        <w:rPr>
          <w:lang w:val="en-GB"/>
        </w:rPr>
        <w:t xml:space="preserve"> the Chamber</w:t>
      </w:r>
      <w:r w:rsidR="00E6191D">
        <w:rPr>
          <w:lang w:val="en-GB"/>
        </w:rPr>
        <w:t>’</w:t>
      </w:r>
      <w:r w:rsidRPr="00BD06BB">
        <w:rPr>
          <w:lang w:val="en-GB"/>
        </w:rPr>
        <w:t>s conclusion on th</w:t>
      </w:r>
      <w:r>
        <w:rPr>
          <w:lang w:val="en-GB"/>
        </w:rPr>
        <w:t>is</w:t>
      </w:r>
      <w:r w:rsidRPr="00BD06BB">
        <w:rPr>
          <w:lang w:val="en-GB"/>
        </w:rPr>
        <w:t xml:space="preserve"> point.</w:t>
      </w:r>
    </w:p>
    <w:p w:rsidRPr="00BD06BB" w:rsidR="00BD06BB" w:rsidP="00BD06BB" w:rsidRDefault="00BD06BB">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88</w:t>
      </w:r>
      <w:r w:rsidRPr="00C2011C">
        <w:fldChar w:fldCharType="end"/>
      </w:r>
      <w:r w:rsidRPr="00824B80">
        <w:rPr>
          <w:lang w:val="en-GB"/>
        </w:rPr>
        <w:t>.  </w:t>
      </w:r>
      <w:r w:rsidRPr="00BD06BB">
        <w:rPr>
          <w:lang w:val="en-GB"/>
        </w:rPr>
        <w:t>They observed that, in calculati</w:t>
      </w:r>
      <w:r w:rsidR="00B00C2B">
        <w:rPr>
          <w:lang w:val="en-GB"/>
        </w:rPr>
        <w:t>ng</w:t>
      </w:r>
      <w:r w:rsidRPr="00BD06BB">
        <w:rPr>
          <w:lang w:val="en-GB"/>
        </w:rPr>
        <w:t xml:space="preserve"> compensation for expropriation, a balance had to be struck between private interests and the general interest. Accordingly, adequate </w:t>
      </w:r>
      <w:r w:rsidRPr="00BD06BB" w:rsidR="009E03DC">
        <w:rPr>
          <w:lang w:val="en-GB"/>
        </w:rPr>
        <w:t xml:space="preserve">compensation </w:t>
      </w:r>
      <w:r w:rsidRPr="00BD06BB">
        <w:rPr>
          <w:lang w:val="en-GB"/>
        </w:rPr>
        <w:t xml:space="preserve">could be lower than the market value of the land in question, as, indeed, the </w:t>
      </w:r>
      <w:smartTag w:uri="urn:schemas-microsoft-com:office:smarttags" w:element="Street">
        <w:smartTag w:uri="urn:schemas-microsoft-com:office:smarttags" w:element="address">
          <w:r w:rsidRPr="00BD06BB">
            <w:rPr>
              <w:lang w:val="en-GB"/>
            </w:rPr>
            <w:t>Constitutional Court</w:t>
          </w:r>
        </w:smartTag>
      </w:smartTag>
      <w:r w:rsidRPr="00BD06BB">
        <w:rPr>
          <w:lang w:val="en-GB"/>
        </w:rPr>
        <w:t xml:space="preserve"> had acknowledged (</w:t>
      </w:r>
      <w:r>
        <w:rPr>
          <w:lang w:val="en-GB"/>
        </w:rPr>
        <w:t>judgment</w:t>
      </w:r>
      <w:r w:rsidR="00B00C2B">
        <w:rPr>
          <w:lang w:val="en-GB"/>
        </w:rPr>
        <w:t>s</w:t>
      </w:r>
      <w:r>
        <w:rPr>
          <w:lang w:val="en-GB"/>
        </w:rPr>
        <w:t xml:space="preserve"> no.</w:t>
      </w:r>
      <w:r w:rsidRPr="00BD06BB">
        <w:rPr>
          <w:lang w:val="en-GB"/>
        </w:rPr>
        <w:t xml:space="preserve"> 283 </w:t>
      </w:r>
      <w:r>
        <w:rPr>
          <w:lang w:val="en-GB"/>
        </w:rPr>
        <w:t>of</w:t>
      </w:r>
      <w:r w:rsidRPr="00BD06BB">
        <w:rPr>
          <w:lang w:val="en-GB"/>
        </w:rPr>
        <w:t xml:space="preserve"> </w:t>
      </w:r>
      <w:smartTag w:uri="urn:schemas-microsoft-com:office:smarttags" w:element="date">
        <w:smartTagPr>
          <w:attr w:name="Month" w:val="6"/>
          <w:attr w:name="Day" w:val="16"/>
          <w:attr w:name="Year" w:val="1993"/>
        </w:smartTagPr>
        <w:r w:rsidRPr="00BD06BB">
          <w:rPr>
            <w:lang w:val="en-GB"/>
          </w:rPr>
          <w:t xml:space="preserve">16 </w:t>
        </w:r>
        <w:r>
          <w:rPr>
            <w:lang w:val="en-GB"/>
          </w:rPr>
          <w:t>June</w:t>
        </w:r>
        <w:r w:rsidRPr="00BD06BB">
          <w:rPr>
            <w:lang w:val="en-GB"/>
          </w:rPr>
          <w:t xml:space="preserve"> 1993</w:t>
        </w:r>
      </w:smartTag>
      <w:r w:rsidRPr="00BD06BB">
        <w:rPr>
          <w:lang w:val="en-GB"/>
        </w:rPr>
        <w:t xml:space="preserve">, </w:t>
      </w:r>
      <w:r>
        <w:rPr>
          <w:lang w:val="en-GB"/>
        </w:rPr>
        <w:t>no.</w:t>
      </w:r>
      <w:r w:rsidRPr="00BD06BB">
        <w:rPr>
          <w:lang w:val="en-GB"/>
        </w:rPr>
        <w:t xml:space="preserve"> 80 </w:t>
      </w:r>
      <w:r>
        <w:rPr>
          <w:lang w:val="en-GB"/>
        </w:rPr>
        <w:t>of</w:t>
      </w:r>
      <w:r w:rsidRPr="00BD06BB">
        <w:rPr>
          <w:lang w:val="en-GB"/>
        </w:rPr>
        <w:t xml:space="preserve"> </w:t>
      </w:r>
      <w:smartTag w:uri="urn:schemas-microsoft-com:office:smarttags" w:element="date">
        <w:smartTagPr>
          <w:attr w:name="Month" w:val="3"/>
          <w:attr w:name="Day" w:val="7"/>
          <w:attr w:name="Year" w:val="1996"/>
        </w:smartTagPr>
        <w:r w:rsidRPr="00BD06BB">
          <w:rPr>
            <w:lang w:val="en-GB"/>
          </w:rPr>
          <w:t xml:space="preserve">7 </w:t>
        </w:r>
        <w:r>
          <w:rPr>
            <w:lang w:val="en-GB"/>
          </w:rPr>
          <w:t>March</w:t>
        </w:r>
        <w:r w:rsidRPr="00BD06BB">
          <w:rPr>
            <w:lang w:val="en-GB"/>
          </w:rPr>
          <w:t xml:space="preserve"> 1996</w:t>
        </w:r>
      </w:smartTag>
      <w:r w:rsidRPr="00BD06BB">
        <w:rPr>
          <w:lang w:val="en-GB"/>
        </w:rPr>
        <w:t xml:space="preserve"> </w:t>
      </w:r>
      <w:r>
        <w:rPr>
          <w:lang w:val="en-GB"/>
        </w:rPr>
        <w:t>and no.</w:t>
      </w:r>
      <w:r w:rsidRPr="00BD06BB">
        <w:rPr>
          <w:lang w:val="en-GB"/>
        </w:rPr>
        <w:t xml:space="preserve"> 148 </w:t>
      </w:r>
      <w:r>
        <w:rPr>
          <w:lang w:val="en-GB"/>
        </w:rPr>
        <w:t>of</w:t>
      </w:r>
      <w:r w:rsidRPr="00BD06BB">
        <w:rPr>
          <w:lang w:val="en-GB"/>
        </w:rPr>
        <w:t xml:space="preserve"> </w:t>
      </w:r>
      <w:smartTag w:uri="urn:schemas-microsoft-com:office:smarttags" w:element="date">
        <w:smartTagPr>
          <w:attr w:name="Month" w:val="4"/>
          <w:attr w:name="Day" w:val="30"/>
          <w:attr w:name="Year" w:val="1999"/>
        </w:smartTagPr>
        <w:r w:rsidRPr="00BD06BB">
          <w:rPr>
            <w:lang w:val="en-GB"/>
          </w:rPr>
          <w:t xml:space="preserve">30 </w:t>
        </w:r>
        <w:r>
          <w:rPr>
            <w:lang w:val="en-GB"/>
          </w:rPr>
          <w:t>April</w:t>
        </w:r>
        <w:r w:rsidRPr="00BD06BB">
          <w:rPr>
            <w:lang w:val="en-GB"/>
          </w:rPr>
          <w:t xml:space="preserve"> 1999</w:t>
        </w:r>
      </w:smartTag>
      <w:r w:rsidRPr="00BD06BB">
        <w:rPr>
          <w:lang w:val="en-GB"/>
        </w:rPr>
        <w:t>).</w:t>
      </w:r>
    </w:p>
    <w:p w:rsidRPr="00175C67" w:rsidR="00BD06BB" w:rsidP="00BD06BB" w:rsidRDefault="00BD06BB">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89</w:t>
      </w:r>
      <w:r w:rsidRPr="00C2011C">
        <w:fldChar w:fldCharType="end"/>
      </w:r>
      <w:r w:rsidRPr="00824B80">
        <w:rPr>
          <w:lang w:val="en-GB"/>
        </w:rPr>
        <w:t>.  </w:t>
      </w:r>
      <w:r w:rsidRPr="00175C67" w:rsidR="00175C67">
        <w:rPr>
          <w:lang w:val="en-GB"/>
        </w:rPr>
        <w:t>Relying on the Court</w:t>
      </w:r>
      <w:r w:rsidR="00E6191D">
        <w:rPr>
          <w:lang w:val="en-GB"/>
        </w:rPr>
        <w:t>’</w:t>
      </w:r>
      <w:r w:rsidRPr="00175C67" w:rsidR="00175C67">
        <w:rPr>
          <w:lang w:val="en-GB"/>
        </w:rPr>
        <w:t xml:space="preserve">s judgments in </w:t>
      </w:r>
      <w:r w:rsidRPr="00175C67" w:rsidR="00175C67">
        <w:rPr>
          <w:i/>
          <w:lang w:val="en-GB"/>
        </w:rPr>
        <w:t>The Holy Monasteries</w:t>
      </w:r>
      <w:r w:rsidR="00DA0900">
        <w:rPr>
          <w:lang w:val="en-GB"/>
        </w:rPr>
        <w:t xml:space="preserve"> (cited above)</w:t>
      </w:r>
      <w:r w:rsidR="00FA580D">
        <w:rPr>
          <w:lang w:val="en-GB"/>
        </w:rPr>
        <w:t>,</w:t>
      </w:r>
      <w:r w:rsidRPr="00175C67">
        <w:rPr>
          <w:lang w:val="en-GB"/>
        </w:rPr>
        <w:t xml:space="preserve"> </w:t>
      </w:r>
      <w:r w:rsidRPr="00175C67">
        <w:rPr>
          <w:i/>
          <w:lang w:val="en-GB" w:eastAsia="en-US"/>
        </w:rPr>
        <w:t xml:space="preserve">Papachelas </w:t>
      </w:r>
      <w:r w:rsidRPr="00175C67" w:rsidR="00175C67">
        <w:rPr>
          <w:i/>
          <w:lang w:val="en-GB" w:eastAsia="en-US"/>
        </w:rPr>
        <w:t>v</w:t>
      </w:r>
      <w:r w:rsidRPr="00175C67">
        <w:rPr>
          <w:i/>
          <w:lang w:val="en-GB" w:eastAsia="en-US"/>
        </w:rPr>
        <w:t xml:space="preserve">. </w:t>
      </w:r>
      <w:r w:rsidRPr="00175C67" w:rsidR="00175C67">
        <w:rPr>
          <w:i/>
          <w:lang w:val="en-GB" w:eastAsia="en-US"/>
        </w:rPr>
        <w:t>Greece</w:t>
      </w:r>
      <w:r w:rsidRPr="00175C67">
        <w:rPr>
          <w:lang w:val="en-GB" w:eastAsia="en-US"/>
        </w:rPr>
        <w:t xml:space="preserve"> [GC], </w:t>
      </w:r>
      <w:r w:rsidRPr="00175C67" w:rsidR="00175C67">
        <w:rPr>
          <w:lang w:val="en-GB" w:eastAsia="en-US"/>
        </w:rPr>
        <w:t>no.</w:t>
      </w:r>
      <w:r w:rsidR="00210E54">
        <w:rPr>
          <w:lang w:val="en-GB" w:eastAsia="en-US"/>
        </w:rPr>
        <w:t xml:space="preserve"> </w:t>
      </w:r>
      <w:r w:rsidRPr="00175C67">
        <w:rPr>
          <w:lang w:val="en-GB" w:eastAsia="en-US"/>
        </w:rPr>
        <w:t xml:space="preserve">31423/96, </w:t>
      </w:r>
      <w:r w:rsidR="00B767E4">
        <w:rPr>
          <w:lang w:val="en-GB" w:eastAsia="en-US"/>
        </w:rPr>
        <w:t>ECHR 1999-</w:t>
      </w:r>
      <w:r w:rsidRPr="00175C67" w:rsidR="00175C67">
        <w:rPr>
          <w:lang w:val="en-GB" w:eastAsia="en-US"/>
        </w:rPr>
        <w:t>II</w:t>
      </w:r>
      <w:r w:rsidR="00FA580D">
        <w:rPr>
          <w:lang w:val="en-GB" w:eastAsia="en-US"/>
        </w:rPr>
        <w:t>,</w:t>
      </w:r>
      <w:r w:rsidRPr="00175C67">
        <w:rPr>
          <w:lang w:val="en-GB" w:eastAsia="en-US"/>
        </w:rPr>
        <w:t xml:space="preserve"> </w:t>
      </w:r>
      <w:r w:rsidRPr="00175C67">
        <w:rPr>
          <w:i/>
          <w:lang w:val="en-GB"/>
        </w:rPr>
        <w:t xml:space="preserve">Lithgow </w:t>
      </w:r>
      <w:r w:rsidRPr="00175C67" w:rsidR="00175C67">
        <w:rPr>
          <w:i/>
          <w:lang w:val="en-GB"/>
        </w:rPr>
        <w:t>and</w:t>
      </w:r>
      <w:r w:rsidRPr="00175C67">
        <w:rPr>
          <w:i/>
          <w:lang w:val="en-GB"/>
        </w:rPr>
        <w:t xml:space="preserve"> </w:t>
      </w:r>
      <w:r w:rsidRPr="00175C67" w:rsidR="00175C67">
        <w:rPr>
          <w:i/>
          <w:lang w:val="en-GB"/>
        </w:rPr>
        <w:t>Others v</w:t>
      </w:r>
      <w:r w:rsidRPr="00175C67">
        <w:rPr>
          <w:i/>
          <w:lang w:val="en-GB"/>
        </w:rPr>
        <w:t>.</w:t>
      </w:r>
      <w:r w:rsidR="00210E54">
        <w:rPr>
          <w:i/>
          <w:lang w:val="en-GB"/>
        </w:rPr>
        <w:t xml:space="preserve"> </w:t>
      </w:r>
      <w:r w:rsidRPr="00175C67" w:rsidR="00175C67">
        <w:rPr>
          <w:i/>
          <w:lang w:val="en-GB"/>
        </w:rPr>
        <w:t>the United Kingdom</w:t>
      </w:r>
      <w:r w:rsidRPr="00FA580D">
        <w:rPr>
          <w:lang w:val="en-GB"/>
        </w:rPr>
        <w:t>,</w:t>
      </w:r>
      <w:r w:rsidRPr="00175C67">
        <w:rPr>
          <w:i/>
          <w:lang w:val="en-GB"/>
        </w:rPr>
        <w:t xml:space="preserve"> </w:t>
      </w:r>
      <w:r w:rsidRPr="00175C67">
        <w:rPr>
          <w:lang w:val="en-GB"/>
        </w:rPr>
        <w:t xml:space="preserve">8 </w:t>
      </w:r>
      <w:r w:rsidRPr="00175C67" w:rsidR="00175C67">
        <w:rPr>
          <w:lang w:val="en-GB"/>
        </w:rPr>
        <w:t>July</w:t>
      </w:r>
      <w:r w:rsidRPr="00175C67">
        <w:rPr>
          <w:lang w:val="en-GB"/>
        </w:rPr>
        <w:t xml:space="preserve"> 1986, </w:t>
      </w:r>
      <w:r w:rsidR="00DA0900">
        <w:rPr>
          <w:lang w:val="en-GB"/>
        </w:rPr>
        <w:t>Series A</w:t>
      </w:r>
      <w:r w:rsidRPr="00175C67" w:rsidR="00175C67">
        <w:rPr>
          <w:lang w:val="en-GB"/>
        </w:rPr>
        <w:t xml:space="preserve"> no.</w:t>
      </w:r>
      <w:r w:rsidRPr="00175C67">
        <w:rPr>
          <w:lang w:val="en-GB"/>
        </w:rPr>
        <w:t xml:space="preserve"> 102</w:t>
      </w:r>
      <w:r w:rsidR="004D02B7">
        <w:rPr>
          <w:lang w:val="en-GB"/>
        </w:rPr>
        <w:t>,</w:t>
      </w:r>
      <w:r w:rsidRPr="00175C67">
        <w:rPr>
          <w:lang w:val="en-GB"/>
        </w:rPr>
        <w:t xml:space="preserve"> </w:t>
      </w:r>
      <w:r w:rsidRPr="00175C67" w:rsidR="00175C67">
        <w:rPr>
          <w:lang w:val="en-GB"/>
        </w:rPr>
        <w:t>and</w:t>
      </w:r>
      <w:r w:rsidRPr="00175C67">
        <w:rPr>
          <w:lang w:val="en-GB"/>
        </w:rPr>
        <w:t xml:space="preserve"> </w:t>
      </w:r>
      <w:r w:rsidRPr="00175C67">
        <w:rPr>
          <w:i/>
          <w:lang w:val="en-GB"/>
        </w:rPr>
        <w:t xml:space="preserve">James </w:t>
      </w:r>
      <w:r w:rsidRPr="00175C67" w:rsidR="00175C67">
        <w:rPr>
          <w:i/>
          <w:lang w:val="en-GB"/>
        </w:rPr>
        <w:t>and Others</w:t>
      </w:r>
      <w:r w:rsidRPr="00175C67">
        <w:rPr>
          <w:i/>
          <w:lang w:val="en-GB"/>
        </w:rPr>
        <w:t xml:space="preserve"> </w:t>
      </w:r>
      <w:r w:rsidRPr="00175C67">
        <w:rPr>
          <w:lang w:val="en-GB"/>
        </w:rPr>
        <w:t>(</w:t>
      </w:r>
      <w:r w:rsidRPr="00175C67" w:rsidR="00175C67">
        <w:rPr>
          <w:lang w:val="en-GB"/>
        </w:rPr>
        <w:t>cited above</w:t>
      </w:r>
      <w:r w:rsidRPr="00175C67">
        <w:rPr>
          <w:lang w:val="en-GB"/>
        </w:rPr>
        <w:t>),</w:t>
      </w:r>
      <w:r w:rsidRPr="00175C67" w:rsidR="00175C67">
        <w:rPr>
          <w:lang w:val="en-GB"/>
        </w:rPr>
        <w:t xml:space="preserve"> the</w:t>
      </w:r>
      <w:r w:rsidRPr="00175C67">
        <w:rPr>
          <w:lang w:val="en-GB"/>
        </w:rPr>
        <w:t xml:space="preserve"> </w:t>
      </w:r>
      <w:r w:rsidRPr="00175C67" w:rsidR="00175C67">
        <w:rPr>
          <w:lang w:val="en-GB"/>
        </w:rPr>
        <w:t>Government</w:t>
      </w:r>
      <w:r w:rsidRPr="00175C67">
        <w:rPr>
          <w:lang w:val="en-GB"/>
        </w:rPr>
        <w:t xml:space="preserve"> </w:t>
      </w:r>
      <w:r w:rsidRPr="00175C67" w:rsidR="00175C67">
        <w:rPr>
          <w:lang w:val="en-GB"/>
        </w:rPr>
        <w:t>submitted that the application in</w:t>
      </w:r>
      <w:r w:rsidRPr="00175C67">
        <w:rPr>
          <w:lang w:val="en-GB"/>
        </w:rPr>
        <w:t xml:space="preserve"> question</w:t>
      </w:r>
      <w:r w:rsidRPr="00175C67" w:rsidR="00175C67">
        <w:rPr>
          <w:lang w:val="en-GB"/>
        </w:rPr>
        <w:t xml:space="preserve"> should be examined</w:t>
      </w:r>
      <w:r w:rsidRPr="00175C67">
        <w:rPr>
          <w:lang w:val="en-GB"/>
        </w:rPr>
        <w:t xml:space="preserve"> </w:t>
      </w:r>
      <w:r w:rsidR="00175C67">
        <w:rPr>
          <w:lang w:val="en-GB"/>
        </w:rPr>
        <w:t>i</w:t>
      </w:r>
      <w:r w:rsidRPr="00175C67" w:rsidR="00175C67">
        <w:rPr>
          <w:lang w:val="en-GB"/>
        </w:rPr>
        <w:t xml:space="preserve">n the light of the principle that </w:t>
      </w:r>
      <w:r w:rsidR="00175C67">
        <w:rPr>
          <w:lang w:val="en-GB"/>
        </w:rPr>
        <w:t xml:space="preserve">the Convention did not require compensation </w:t>
      </w:r>
      <w:r w:rsidR="004D02B7">
        <w:rPr>
          <w:lang w:val="en-GB"/>
        </w:rPr>
        <w:t>at</w:t>
      </w:r>
      <w:r w:rsidR="00175C67">
        <w:rPr>
          <w:lang w:val="en-GB"/>
        </w:rPr>
        <w:t xml:space="preserve"> the full </w:t>
      </w:r>
      <w:r w:rsidRPr="00175C67" w:rsidR="00175C67">
        <w:rPr>
          <w:lang w:val="en-GB"/>
        </w:rPr>
        <w:t xml:space="preserve">market value </w:t>
      </w:r>
      <w:r w:rsidR="00175C67">
        <w:rPr>
          <w:lang w:val="en-GB"/>
        </w:rPr>
        <w:t>of the property and that</w:t>
      </w:r>
      <w:r w:rsidRPr="00175C67" w:rsidR="00175C67">
        <w:rPr>
          <w:lang w:val="en-GB"/>
        </w:rPr>
        <w:t xml:space="preserve"> compensation </w:t>
      </w:r>
      <w:r w:rsidR="00175C67">
        <w:rPr>
          <w:lang w:val="en-GB"/>
        </w:rPr>
        <w:t xml:space="preserve">in an amount </w:t>
      </w:r>
      <w:r w:rsidR="00B00C2B">
        <w:rPr>
          <w:lang w:val="en-GB"/>
        </w:rPr>
        <w:t>reasonably related to</w:t>
      </w:r>
      <w:r w:rsidR="00175C67">
        <w:rPr>
          <w:lang w:val="en-GB"/>
        </w:rPr>
        <w:t xml:space="preserve"> the value of the property sufficed not to upset the</w:t>
      </w:r>
      <w:r w:rsidR="00225501">
        <w:rPr>
          <w:lang w:val="en-GB"/>
        </w:rPr>
        <w:t xml:space="preserve"> necessary</w:t>
      </w:r>
      <w:r w:rsidR="00175C67">
        <w:rPr>
          <w:lang w:val="en-GB"/>
        </w:rPr>
        <w:t xml:space="preserve"> fair balance</w:t>
      </w:r>
      <w:r w:rsidRPr="00175C67">
        <w:rPr>
          <w:lang w:val="en-GB"/>
        </w:rPr>
        <w:t>.</w:t>
      </w:r>
    </w:p>
    <w:p w:rsidRPr="00175C67" w:rsidR="00BD06BB" w:rsidP="00BD06BB" w:rsidRDefault="00175C67">
      <w:pPr>
        <w:pStyle w:val="JuPara"/>
        <w:rPr>
          <w:lang w:val="en-GB"/>
        </w:rPr>
      </w:pPr>
      <w:r w:rsidRPr="00175C67">
        <w:rPr>
          <w:lang w:val="en-GB"/>
        </w:rPr>
        <w:t>Having regard to the margin of appreciation left to the States</w:t>
      </w:r>
      <w:r w:rsidRPr="00175C67" w:rsidR="00BD06BB">
        <w:rPr>
          <w:lang w:val="en-GB"/>
        </w:rPr>
        <w:t>,</w:t>
      </w:r>
      <w:r w:rsidRPr="00175C67">
        <w:rPr>
          <w:lang w:val="en-GB"/>
        </w:rPr>
        <w:t xml:space="preserve"> </w:t>
      </w:r>
      <w:r>
        <w:rPr>
          <w:lang w:val="en-GB"/>
        </w:rPr>
        <w:t>i</w:t>
      </w:r>
      <w:r w:rsidRPr="00175C67">
        <w:rPr>
          <w:lang w:val="en-GB"/>
        </w:rPr>
        <w:t>t</w:t>
      </w:r>
      <w:r>
        <w:rPr>
          <w:lang w:val="en-GB"/>
        </w:rPr>
        <w:t xml:space="preserve"> </w:t>
      </w:r>
      <w:r w:rsidRPr="00175C67">
        <w:rPr>
          <w:lang w:val="en-GB"/>
        </w:rPr>
        <w:t xml:space="preserve">was difficult to </w:t>
      </w:r>
      <w:r>
        <w:rPr>
          <w:lang w:val="en-GB"/>
        </w:rPr>
        <w:t>entrust to the Court the task of assessing</w:t>
      </w:r>
      <w:r w:rsidRPr="00175C67">
        <w:rPr>
          <w:lang w:val="en-GB"/>
        </w:rPr>
        <w:t xml:space="preserve"> the reasonableness of the compensation for </w:t>
      </w:r>
      <w:r w:rsidRPr="00175C67" w:rsidR="00BD06BB">
        <w:rPr>
          <w:lang w:val="en-GB"/>
        </w:rPr>
        <w:t>expropriation</w:t>
      </w:r>
      <w:r>
        <w:rPr>
          <w:lang w:val="en-GB"/>
        </w:rPr>
        <w:t xml:space="preserve"> because the Court was “too far</w:t>
      </w:r>
      <w:r w:rsidR="00B00C2B">
        <w:rPr>
          <w:lang w:val="en-GB"/>
        </w:rPr>
        <w:t xml:space="preserve"> removed</w:t>
      </w:r>
      <w:r>
        <w:rPr>
          <w:lang w:val="en-GB"/>
        </w:rPr>
        <w:t xml:space="preserve"> from the economic and social reality of the country concerned and, accordingly, could not</w:t>
      </w:r>
      <w:r w:rsidRPr="00175C67" w:rsidR="00BD06BB">
        <w:rPr>
          <w:lang w:val="en-GB"/>
        </w:rPr>
        <w:t xml:space="preserve"> </w:t>
      </w:r>
      <w:r w:rsidRPr="00175C67">
        <w:rPr>
          <w:lang w:val="en-GB"/>
        </w:rPr>
        <w:t>avoid the risk of arbitrariness</w:t>
      </w:r>
      <w:r>
        <w:rPr>
          <w:lang w:val="en-GB"/>
        </w:rPr>
        <w:t>”</w:t>
      </w:r>
      <w:r w:rsidRPr="00175C67" w:rsidR="00BD06BB">
        <w:rPr>
          <w:lang w:val="en-GB"/>
        </w:rPr>
        <w:t>.</w:t>
      </w:r>
    </w:p>
    <w:p w:rsidRPr="00C806F9" w:rsidR="00BD06BB" w:rsidP="00BD06BB" w:rsidRDefault="00BD06BB">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90</w:t>
      </w:r>
      <w:r w:rsidRPr="00C2011C">
        <w:fldChar w:fldCharType="end"/>
      </w:r>
      <w:r w:rsidRPr="00824B80">
        <w:rPr>
          <w:lang w:val="en-GB"/>
        </w:rPr>
        <w:t>.  </w:t>
      </w:r>
      <w:r w:rsidRPr="00C806F9" w:rsidR="00C806F9">
        <w:rPr>
          <w:lang w:val="en-GB"/>
        </w:rPr>
        <w:t xml:space="preserve">Whilst accepting that the amount awarded to the applicants was far less than the value of the land, the Government </w:t>
      </w:r>
      <w:r w:rsidR="00C806F9">
        <w:rPr>
          <w:lang w:val="en-GB"/>
        </w:rPr>
        <w:t>submitted</w:t>
      </w:r>
      <w:r w:rsidRPr="00C806F9" w:rsidR="00C806F9">
        <w:rPr>
          <w:lang w:val="en-GB"/>
        </w:rPr>
        <w:t xml:space="preserve"> that </w:t>
      </w:r>
      <w:r w:rsidR="00C806F9">
        <w:rPr>
          <w:lang w:val="en-GB"/>
        </w:rPr>
        <w:t>it was not derisory and that th</w:t>
      </w:r>
      <w:r w:rsidRPr="00C806F9">
        <w:rPr>
          <w:lang w:val="en-GB"/>
        </w:rPr>
        <w:t xml:space="preserve">e </w:t>
      </w:r>
      <w:r w:rsidRPr="00C806F9" w:rsidR="00C806F9">
        <w:rPr>
          <w:lang w:val="en-GB"/>
        </w:rPr>
        <w:t xml:space="preserve">gap between the market value and the compensation paid </w:t>
      </w:r>
      <w:r w:rsidR="00C806F9">
        <w:rPr>
          <w:lang w:val="en-GB"/>
        </w:rPr>
        <w:t>was reasonable and justified</w:t>
      </w:r>
      <w:r w:rsidRPr="00C806F9">
        <w:rPr>
          <w:lang w:val="en-GB"/>
        </w:rPr>
        <w:t>.</w:t>
      </w:r>
    </w:p>
    <w:p w:rsidRPr="00C806F9" w:rsidR="00BD06BB" w:rsidP="00BD06BB" w:rsidRDefault="00C806F9">
      <w:pPr>
        <w:pStyle w:val="JuPara"/>
        <w:rPr>
          <w:lang w:val="en-GB"/>
        </w:rPr>
      </w:pPr>
      <w:r w:rsidRPr="00C806F9">
        <w:rPr>
          <w:lang w:val="en-GB"/>
        </w:rPr>
        <w:t>They pointed out in that connection that reimbursement of less than the full market value as provided for in section</w:t>
      </w:r>
      <w:r w:rsidRPr="00C806F9" w:rsidR="00BD06BB">
        <w:rPr>
          <w:lang w:val="en-GB"/>
        </w:rPr>
        <w:t xml:space="preserve"> 5 </w:t>
      </w:r>
      <w:r w:rsidRPr="00C806F9" w:rsidR="00BD06BB">
        <w:rPr>
          <w:i/>
          <w:lang w:val="en-GB"/>
        </w:rPr>
        <w:t>bis</w:t>
      </w:r>
      <w:r w:rsidRPr="00C806F9" w:rsidR="00BD06BB">
        <w:rPr>
          <w:lang w:val="en-GB"/>
        </w:rPr>
        <w:t xml:space="preserve"> </w:t>
      </w:r>
      <w:r w:rsidRPr="00C806F9">
        <w:rPr>
          <w:lang w:val="en-GB"/>
        </w:rPr>
        <w:t>of Law no.</w:t>
      </w:r>
      <w:r w:rsidRPr="00C806F9" w:rsidR="00BD06BB">
        <w:rPr>
          <w:lang w:val="en-GB"/>
        </w:rPr>
        <w:t xml:space="preserve"> 359</w:t>
      </w:r>
      <w:r w:rsidRPr="00C806F9">
        <w:rPr>
          <w:lang w:val="en-GB"/>
        </w:rPr>
        <w:t>/</w:t>
      </w:r>
      <w:r w:rsidRPr="00C806F9" w:rsidR="00BD06BB">
        <w:rPr>
          <w:lang w:val="en-GB"/>
        </w:rPr>
        <w:t xml:space="preserve">1992 </w:t>
      </w:r>
      <w:r w:rsidRPr="00C806F9">
        <w:rPr>
          <w:lang w:val="en-GB"/>
        </w:rPr>
        <w:t xml:space="preserve">reflected a </w:t>
      </w:r>
      <w:r>
        <w:rPr>
          <w:lang w:val="en-GB"/>
        </w:rPr>
        <w:t>“</w:t>
      </w:r>
      <w:r w:rsidRPr="00C806F9">
        <w:rPr>
          <w:lang w:val="en-GB"/>
        </w:rPr>
        <w:t>community spirit</w:t>
      </w:r>
      <w:r>
        <w:rPr>
          <w:lang w:val="en-GB"/>
        </w:rPr>
        <w:t>”</w:t>
      </w:r>
      <w:r w:rsidRPr="00C806F9" w:rsidR="00BD06BB">
        <w:rPr>
          <w:lang w:val="en-GB"/>
        </w:rPr>
        <w:t xml:space="preserve"> </w:t>
      </w:r>
      <w:r w:rsidRPr="00C806F9">
        <w:rPr>
          <w:lang w:val="en-GB"/>
        </w:rPr>
        <w:t>and</w:t>
      </w:r>
      <w:r w:rsidR="00B00C2B">
        <w:rPr>
          <w:lang w:val="en-GB"/>
        </w:rPr>
        <w:t xml:space="preserve"> </w:t>
      </w:r>
      <w:r>
        <w:rPr>
          <w:lang w:val="en-GB"/>
        </w:rPr>
        <w:t xml:space="preserve">the </w:t>
      </w:r>
      <w:r w:rsidR="00B00C2B">
        <w:rPr>
          <w:lang w:val="en-GB"/>
        </w:rPr>
        <w:t>“</w:t>
      </w:r>
      <w:r>
        <w:rPr>
          <w:lang w:val="en-GB"/>
        </w:rPr>
        <w:t xml:space="preserve">current </w:t>
      </w:r>
      <w:r w:rsidRPr="00C806F9">
        <w:rPr>
          <w:lang w:val="en-GB"/>
        </w:rPr>
        <w:t>political desire</w:t>
      </w:r>
      <w:r>
        <w:rPr>
          <w:lang w:val="en-GB"/>
        </w:rPr>
        <w:t>”</w:t>
      </w:r>
      <w:r w:rsidRPr="00C806F9">
        <w:rPr>
          <w:lang w:val="en-GB"/>
        </w:rPr>
        <w:t xml:space="preserve"> to establish a system going beyond traditional nineteenth-century liberalism</w:t>
      </w:r>
      <w:r w:rsidRPr="00C806F9" w:rsidR="00BD06BB">
        <w:rPr>
          <w:lang w:val="en-GB"/>
        </w:rPr>
        <w:t>.</w:t>
      </w:r>
    </w:p>
    <w:p w:rsidRPr="007D78B1" w:rsidR="00BD06BB" w:rsidP="00BD06BB" w:rsidRDefault="007D78B1">
      <w:pPr>
        <w:pStyle w:val="JuPara"/>
        <w:rPr>
          <w:lang w:val="en-GB"/>
        </w:rPr>
      </w:pPr>
      <w:r w:rsidRPr="007D78B1">
        <w:rPr>
          <w:lang w:val="en-GB"/>
        </w:rPr>
        <w:t>They went on to</w:t>
      </w:r>
      <w:r w:rsidRPr="007D78B1" w:rsidR="00BD06BB">
        <w:rPr>
          <w:lang w:val="en-GB"/>
        </w:rPr>
        <w:t xml:space="preserve"> observe </w:t>
      </w:r>
      <w:r w:rsidR="0017660B">
        <w:rPr>
          <w:lang w:val="en-GB"/>
        </w:rPr>
        <w:t>that the “</w:t>
      </w:r>
      <w:r w:rsidRPr="007D78B1">
        <w:rPr>
          <w:lang w:val="en-GB"/>
        </w:rPr>
        <w:t>market value</w:t>
      </w:r>
      <w:r w:rsidR="0017660B">
        <w:rPr>
          <w:lang w:val="en-GB"/>
        </w:rPr>
        <w:t>”</w:t>
      </w:r>
      <w:r w:rsidRPr="007D78B1">
        <w:rPr>
          <w:lang w:val="en-GB"/>
        </w:rPr>
        <w:t xml:space="preserve"> of property was a vague and uncertain concept</w:t>
      </w:r>
      <w:r w:rsidRPr="007D78B1" w:rsidR="00BD06BB">
        <w:rPr>
          <w:lang w:val="en-GB"/>
        </w:rPr>
        <w:t xml:space="preserve">, </w:t>
      </w:r>
      <w:r w:rsidRPr="007D78B1">
        <w:rPr>
          <w:lang w:val="en-GB"/>
        </w:rPr>
        <w:t xml:space="preserve">which depended on a great many variables and was essentially </w:t>
      </w:r>
      <w:r>
        <w:rPr>
          <w:lang w:val="en-GB"/>
        </w:rPr>
        <w:t>subjective</w:t>
      </w:r>
      <w:r w:rsidRPr="007D78B1" w:rsidR="00BD06BB">
        <w:rPr>
          <w:lang w:val="en-GB"/>
        </w:rPr>
        <w:t xml:space="preserve">: </w:t>
      </w:r>
      <w:r>
        <w:rPr>
          <w:lang w:val="en-GB"/>
        </w:rPr>
        <w:t>it could for example be influenced by the</w:t>
      </w:r>
      <w:r w:rsidRPr="007D78B1" w:rsidR="00BD06BB">
        <w:rPr>
          <w:lang w:val="en-GB"/>
        </w:rPr>
        <w:t xml:space="preserve"> </w:t>
      </w:r>
      <w:r>
        <w:rPr>
          <w:lang w:val="en-GB"/>
        </w:rPr>
        <w:t xml:space="preserve">financial </w:t>
      </w:r>
      <w:r w:rsidR="00B00C2B">
        <w:rPr>
          <w:lang w:val="en-GB"/>
        </w:rPr>
        <w:t>circumstances</w:t>
      </w:r>
      <w:r w:rsidRPr="007D78B1" w:rsidR="00BD06BB">
        <w:rPr>
          <w:lang w:val="en-GB"/>
        </w:rPr>
        <w:t xml:space="preserve"> </w:t>
      </w:r>
      <w:r>
        <w:rPr>
          <w:lang w:val="en-GB"/>
        </w:rPr>
        <w:t>of the vendor or a particularly strong interest on the part of the purchaser</w:t>
      </w:r>
      <w:r w:rsidRPr="007D78B1" w:rsidR="00BD06BB">
        <w:rPr>
          <w:lang w:val="en-GB"/>
        </w:rPr>
        <w:t xml:space="preserve">. </w:t>
      </w:r>
      <w:r w:rsidRPr="007D78B1">
        <w:rPr>
          <w:lang w:val="en-GB"/>
        </w:rPr>
        <w:t xml:space="preserve">Furthermore, given that land was generally </w:t>
      </w:r>
      <w:r w:rsidR="00B00C2B">
        <w:rPr>
          <w:lang w:val="en-GB"/>
        </w:rPr>
        <w:t xml:space="preserve">valued on the basis of </w:t>
      </w:r>
      <w:r w:rsidRPr="007D78B1">
        <w:rPr>
          <w:lang w:val="en-GB"/>
        </w:rPr>
        <w:t>a</w:t>
      </w:r>
      <w:r w:rsidRPr="007D78B1" w:rsidR="00BD06BB">
        <w:rPr>
          <w:lang w:val="en-GB"/>
        </w:rPr>
        <w:t xml:space="preserve"> comparative</w:t>
      </w:r>
      <w:r w:rsidRPr="007D78B1">
        <w:rPr>
          <w:lang w:val="en-GB"/>
        </w:rPr>
        <w:t xml:space="preserve"> survey of property</w:t>
      </w:r>
      <w:r w:rsidRPr="007D78B1" w:rsidR="00BD06BB">
        <w:rPr>
          <w:lang w:val="en-GB"/>
        </w:rPr>
        <w:t xml:space="preserve"> transactions </w:t>
      </w:r>
      <w:r w:rsidRPr="007D78B1">
        <w:rPr>
          <w:lang w:val="en-GB"/>
        </w:rPr>
        <w:t>during</w:t>
      </w:r>
      <w:r>
        <w:rPr>
          <w:lang w:val="en-GB"/>
        </w:rPr>
        <w:t xml:space="preserve"> a given period </w:t>
      </w:r>
      <w:r w:rsidR="0017660B">
        <w:rPr>
          <w:lang w:val="en-GB"/>
        </w:rPr>
        <w:t xml:space="preserve">in respect of </w:t>
      </w:r>
      <w:r>
        <w:rPr>
          <w:lang w:val="en-GB"/>
        </w:rPr>
        <w:t>land of a similar type</w:t>
      </w:r>
      <w:r w:rsidRPr="007D78B1" w:rsidR="00BD06BB">
        <w:rPr>
          <w:lang w:val="en-GB"/>
        </w:rPr>
        <w:t xml:space="preserve">, </w:t>
      </w:r>
      <w:r w:rsidR="00B00C2B">
        <w:rPr>
          <w:lang w:val="en-GB"/>
        </w:rPr>
        <w:t>such a</w:t>
      </w:r>
      <w:r w:rsidR="0017660B">
        <w:rPr>
          <w:lang w:val="en-GB"/>
        </w:rPr>
        <w:t xml:space="preserve"> survey would not convey the subjective elements of the various</w:t>
      </w:r>
      <w:r w:rsidRPr="007D78B1" w:rsidR="00BD06BB">
        <w:rPr>
          <w:lang w:val="en-GB"/>
        </w:rPr>
        <w:t xml:space="preserve"> transactions.</w:t>
      </w:r>
    </w:p>
    <w:p w:rsidRPr="00D03251" w:rsidR="00BD06BB" w:rsidP="00BD06BB" w:rsidRDefault="00BD06BB">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91</w:t>
      </w:r>
      <w:r w:rsidRPr="00C2011C">
        <w:fldChar w:fldCharType="end"/>
      </w:r>
      <w:r w:rsidRPr="00824B80">
        <w:rPr>
          <w:lang w:val="en-GB"/>
        </w:rPr>
        <w:t>.  </w:t>
      </w:r>
      <w:r w:rsidRPr="0017660B" w:rsidR="0017660B">
        <w:rPr>
          <w:lang w:val="en-GB"/>
        </w:rPr>
        <w:t>The Govern</w:t>
      </w:r>
      <w:r w:rsidRPr="0017660B">
        <w:rPr>
          <w:lang w:val="en-GB"/>
        </w:rPr>
        <w:t xml:space="preserve">ment </w:t>
      </w:r>
      <w:r w:rsidRPr="0017660B" w:rsidR="0017660B">
        <w:rPr>
          <w:lang w:val="en-GB"/>
        </w:rPr>
        <w:t xml:space="preserve">contended that in any event the market value of land was one of the factors taken into account in the calculation done by the </w:t>
      </w:r>
      <w:r w:rsidR="0017660B">
        <w:rPr>
          <w:lang w:val="en-GB"/>
        </w:rPr>
        <w:t>domestic courts in accordance with section</w:t>
      </w:r>
      <w:r w:rsidRPr="0017660B">
        <w:rPr>
          <w:lang w:val="en-GB"/>
        </w:rPr>
        <w:t xml:space="preserve"> 5 </w:t>
      </w:r>
      <w:r w:rsidRPr="0017660B">
        <w:rPr>
          <w:i/>
          <w:lang w:val="en-GB"/>
        </w:rPr>
        <w:t>bis</w:t>
      </w:r>
      <w:r w:rsidRPr="0017660B">
        <w:rPr>
          <w:lang w:val="en-GB"/>
        </w:rPr>
        <w:t xml:space="preserve"> </w:t>
      </w:r>
      <w:r w:rsidR="0017660B">
        <w:rPr>
          <w:lang w:val="en-GB"/>
        </w:rPr>
        <w:t>of Law no.</w:t>
      </w:r>
      <w:r w:rsidRPr="0017660B">
        <w:rPr>
          <w:lang w:val="en-GB"/>
        </w:rPr>
        <w:t xml:space="preserve"> 359</w:t>
      </w:r>
      <w:r w:rsidR="0017660B">
        <w:rPr>
          <w:lang w:val="en-GB"/>
        </w:rPr>
        <w:t>/</w:t>
      </w:r>
      <w:r w:rsidRPr="0017660B">
        <w:rPr>
          <w:lang w:val="en-GB"/>
        </w:rPr>
        <w:t xml:space="preserve">1992. </w:t>
      </w:r>
      <w:r w:rsidRPr="00D03251" w:rsidR="00D03251">
        <w:rPr>
          <w:lang w:val="en-GB"/>
        </w:rPr>
        <w:t>Under that provision</w:t>
      </w:r>
      <w:r w:rsidRPr="00D03251">
        <w:rPr>
          <w:lang w:val="en-GB"/>
        </w:rPr>
        <w:t xml:space="preserve">, </w:t>
      </w:r>
      <w:r w:rsidRPr="00D03251" w:rsidR="00D03251">
        <w:rPr>
          <w:lang w:val="en-GB"/>
        </w:rPr>
        <w:t xml:space="preserve">the market value </w:t>
      </w:r>
      <w:r w:rsidR="00D03251">
        <w:rPr>
          <w:lang w:val="en-GB"/>
        </w:rPr>
        <w:t>was adjusted by another criterion, namely, t</w:t>
      </w:r>
      <w:r w:rsidRPr="00D03251" w:rsidR="00D03251">
        <w:rPr>
          <w:lang w:val="en-GB"/>
        </w:rPr>
        <w:t>he ground rent calculated on the value entered in the land registe</w:t>
      </w:r>
      <w:r w:rsidR="00D03251">
        <w:rPr>
          <w:lang w:val="en-GB"/>
        </w:rPr>
        <w:t>r.</w:t>
      </w:r>
    </w:p>
    <w:p w:rsidRPr="00225501" w:rsidR="00BD06BB" w:rsidP="00BD06BB" w:rsidRDefault="00BD06BB">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92</w:t>
      </w:r>
      <w:r w:rsidRPr="00C2011C">
        <w:fldChar w:fldCharType="end"/>
      </w:r>
      <w:r w:rsidRPr="00824B80">
        <w:rPr>
          <w:lang w:val="en-GB"/>
        </w:rPr>
        <w:t>.  </w:t>
      </w:r>
      <w:r w:rsidRPr="00225501" w:rsidR="00225501">
        <w:rPr>
          <w:lang w:val="en-GB"/>
        </w:rPr>
        <w:t xml:space="preserve">The Government concluded by asking the Grand Chamber to declare that </w:t>
      </w:r>
      <w:r w:rsidR="00225501">
        <w:rPr>
          <w:lang w:val="en-GB"/>
        </w:rPr>
        <w:t>t</w:t>
      </w:r>
      <w:r w:rsidRPr="00225501" w:rsidR="00225501">
        <w:rPr>
          <w:lang w:val="en-GB"/>
        </w:rPr>
        <w:t>he system applied in the instant case for calculating the compensation payable for the expropriation was not unreasonable and had not upset the necessary fair balance.</w:t>
      </w:r>
    </w:p>
    <w:p w:rsidRPr="00967E1F" w:rsidR="00BD06BB" w:rsidP="00124007" w:rsidRDefault="00143E15">
      <w:pPr>
        <w:pStyle w:val="JuHi"/>
        <w:ind w:left="833" w:firstLine="0"/>
        <w:outlineLvl w:val="0"/>
        <w:rPr>
          <w:lang w:val="en-GB"/>
        </w:rPr>
      </w:pPr>
      <w:r>
        <w:rPr>
          <w:lang w:val="en-GB"/>
        </w:rPr>
        <w:t>(iii)</w:t>
      </w:r>
      <w:r w:rsidRPr="00967E1F" w:rsidR="00967E1F">
        <w:rPr>
          <w:lang w:val="en-GB"/>
        </w:rPr>
        <w:t>  </w:t>
      </w:r>
      <w:r w:rsidRPr="00967E1F" w:rsidR="004E3118">
        <w:rPr>
          <w:lang w:val="en-GB"/>
        </w:rPr>
        <w:t>The Court</w:t>
      </w:r>
      <w:r w:rsidR="00E6191D">
        <w:rPr>
          <w:lang w:val="en-GB"/>
        </w:rPr>
        <w:t>’</w:t>
      </w:r>
      <w:r w:rsidRPr="00967E1F" w:rsidR="004E3118">
        <w:rPr>
          <w:lang w:val="en-GB"/>
        </w:rPr>
        <w:t>s assessment</w:t>
      </w:r>
    </w:p>
    <w:p w:rsidRPr="004E3118" w:rsidR="004E3118" w:rsidP="004E3118" w:rsidRDefault="00143E15">
      <w:pPr>
        <w:pStyle w:val="JuHalpha"/>
        <w:rPr>
          <w:lang w:val="en-GB"/>
        </w:rPr>
      </w:pPr>
      <w:r>
        <w:rPr>
          <w:rStyle w:val="JuHChar"/>
          <w:i w:val="0"/>
        </w:rPr>
        <w:t>(</w:t>
      </w:r>
      <w:r w:rsidRPr="00B00C2B" w:rsidR="004E3118">
        <w:rPr>
          <w:rStyle w:val="JuHChar"/>
          <w:i w:val="0"/>
        </w:rPr>
        <w:t>α</w:t>
      </w:r>
      <w:r>
        <w:rPr>
          <w:lang w:val="en-GB"/>
        </w:rPr>
        <w:t>)  </w:t>
      </w:r>
      <w:r w:rsidRPr="004E3118" w:rsidR="004E3118">
        <w:rPr>
          <w:lang w:val="en-GB"/>
        </w:rPr>
        <w:t>Recapitulation of the relevant principles</w:t>
      </w:r>
    </w:p>
    <w:p w:rsidRPr="004E3118" w:rsidR="004E3118" w:rsidP="004E3118" w:rsidRDefault="004E3118">
      <w:pPr>
        <w:pStyle w:val="JuPara"/>
        <w:rPr>
          <w:lang w:val="en-GB" w:eastAsia="en-US"/>
        </w:rPr>
      </w:pPr>
      <w:r w:rsidRPr="00C2011C">
        <w:fldChar w:fldCharType="begin"/>
      </w:r>
      <w:r w:rsidRPr="00824B80">
        <w:rPr>
          <w:lang w:val="en-GB"/>
        </w:rPr>
        <w:instrText xml:space="preserve"> SEQ level0 \*arabic </w:instrText>
      </w:r>
      <w:r w:rsidRPr="00C2011C">
        <w:fldChar w:fldCharType="separate"/>
      </w:r>
      <w:r w:rsidR="008B3B68">
        <w:rPr>
          <w:noProof/>
          <w:lang w:val="en-GB"/>
        </w:rPr>
        <w:t>93</w:t>
      </w:r>
      <w:r w:rsidRPr="00C2011C">
        <w:fldChar w:fldCharType="end"/>
      </w:r>
      <w:r w:rsidRPr="00824B80">
        <w:rPr>
          <w:lang w:val="en-GB"/>
        </w:rPr>
        <w:t>.  </w:t>
      </w:r>
      <w:r w:rsidR="009206DE">
        <w:rPr>
          <w:lang w:val="en-GB"/>
        </w:rPr>
        <w:t>A</w:t>
      </w:r>
      <w:r w:rsidRPr="004E3118">
        <w:rPr>
          <w:lang w:val="en-GB"/>
        </w:rPr>
        <w:t>n interference with the right to the peaceful enjoyment of possessions must strike a “fair balance” between the demands of the general interest of the community and the requirements of the protection of the individual</w:t>
      </w:r>
      <w:r w:rsidR="00E6191D">
        <w:rPr>
          <w:lang w:val="en-GB"/>
        </w:rPr>
        <w:t>’</w:t>
      </w:r>
      <w:r w:rsidRPr="004E3118">
        <w:rPr>
          <w:lang w:val="en-GB"/>
        </w:rPr>
        <w:t>s fundamental rights (</w:t>
      </w:r>
      <w:r>
        <w:rPr>
          <w:lang w:val="en-GB"/>
        </w:rPr>
        <w:t>see</w:t>
      </w:r>
      <w:r w:rsidRPr="004E3118">
        <w:rPr>
          <w:lang w:val="en-GB"/>
        </w:rPr>
        <w:t xml:space="preserve">, </w:t>
      </w:r>
      <w:r>
        <w:rPr>
          <w:lang w:val="en-GB"/>
        </w:rPr>
        <w:t>among other authorities</w:t>
      </w:r>
      <w:r w:rsidRPr="004E3118">
        <w:rPr>
          <w:lang w:val="en-GB"/>
        </w:rPr>
        <w:t xml:space="preserve">, </w:t>
      </w:r>
      <w:r w:rsidRPr="004E3118">
        <w:rPr>
          <w:i/>
          <w:lang w:val="en-GB"/>
        </w:rPr>
        <w:t xml:space="preserve">Sporrong </w:t>
      </w:r>
      <w:r>
        <w:rPr>
          <w:i/>
          <w:lang w:val="en-GB"/>
        </w:rPr>
        <w:t>and</w:t>
      </w:r>
      <w:r w:rsidRPr="004E3118">
        <w:rPr>
          <w:i/>
          <w:lang w:val="en-GB"/>
        </w:rPr>
        <w:t xml:space="preserve"> Lönnroth</w:t>
      </w:r>
      <w:r>
        <w:rPr>
          <w:lang w:val="en-GB"/>
        </w:rPr>
        <w:t>,</w:t>
      </w:r>
      <w:r w:rsidRPr="004E3118">
        <w:rPr>
          <w:i/>
          <w:lang w:val="en-GB"/>
        </w:rPr>
        <w:t xml:space="preserve"> </w:t>
      </w:r>
      <w:r>
        <w:rPr>
          <w:lang w:val="en-GB"/>
        </w:rPr>
        <w:t>cited above</w:t>
      </w:r>
      <w:r w:rsidRPr="004E3118">
        <w:rPr>
          <w:lang w:val="en-GB"/>
        </w:rPr>
        <w:t>, § 69). The concern to achieve this balance is reflected in the structure of Article 1</w:t>
      </w:r>
      <w:r w:rsidR="00DA0900">
        <w:rPr>
          <w:lang w:val="en-GB"/>
        </w:rPr>
        <w:t xml:space="preserve"> of Protocol No. 1</w:t>
      </w:r>
      <w:r w:rsidRPr="004E3118">
        <w:rPr>
          <w:lang w:val="en-GB"/>
        </w:rPr>
        <w:t xml:space="preserve"> as a whole, including therefore the second sentence, which is to be read in the light of the general principle enunciated in the first sentence</w:t>
      </w:r>
      <w:r>
        <w:rPr>
          <w:lang w:val="en-GB"/>
        </w:rPr>
        <w:t xml:space="preserve">. </w:t>
      </w:r>
      <w:r w:rsidRPr="004E3118">
        <w:rPr>
          <w:lang w:val="en-GB"/>
        </w:rPr>
        <w:t>In particular, there must be a reasonable relationship of proportionality between the means employed and the aim sought to be realised by any measure</w:t>
      </w:r>
      <w:r w:rsidR="00FA4062">
        <w:rPr>
          <w:lang w:val="en-GB"/>
        </w:rPr>
        <w:t xml:space="preserve"> applied by the State, including measures</w:t>
      </w:r>
      <w:r w:rsidRPr="004E3118">
        <w:rPr>
          <w:lang w:val="en-GB"/>
        </w:rPr>
        <w:t xml:space="preserve"> depriving a person of his possessions (</w:t>
      </w:r>
      <w:r>
        <w:rPr>
          <w:lang w:val="en-GB"/>
        </w:rPr>
        <w:t xml:space="preserve">see </w:t>
      </w:r>
      <w:smartTag w:uri="urn:schemas-microsoft-com:office:smarttags" w:element="PersonName">
        <w:r w:rsidRPr="004E3118">
          <w:rPr>
            <w:i/>
            <w:lang w:val="en-GB"/>
          </w:rPr>
          <w:t>Press</w:t>
        </w:r>
      </w:smartTag>
      <w:r w:rsidRPr="004E3118">
        <w:rPr>
          <w:i/>
          <w:lang w:val="en-GB"/>
        </w:rPr>
        <w:t xml:space="preserve">os Compania Naviera S.A. </w:t>
      </w:r>
      <w:r>
        <w:rPr>
          <w:i/>
          <w:lang w:val="en-GB"/>
        </w:rPr>
        <w:t>and Other</w:t>
      </w:r>
      <w:r w:rsidRPr="004E3118">
        <w:rPr>
          <w:i/>
          <w:lang w:val="en-GB"/>
        </w:rPr>
        <w:t xml:space="preserve">s </w:t>
      </w:r>
      <w:r w:rsidR="009E03DC">
        <w:rPr>
          <w:i/>
          <w:lang w:val="en-GB"/>
        </w:rPr>
        <w:t>v</w:t>
      </w:r>
      <w:r w:rsidRPr="004E3118">
        <w:rPr>
          <w:i/>
          <w:lang w:val="en-GB"/>
        </w:rPr>
        <w:t>. Belgi</w:t>
      </w:r>
      <w:r w:rsidR="009E03DC">
        <w:rPr>
          <w:i/>
          <w:lang w:val="en-GB"/>
        </w:rPr>
        <w:t>um</w:t>
      </w:r>
      <w:r w:rsidRPr="004E3118">
        <w:rPr>
          <w:lang w:val="en-GB"/>
        </w:rPr>
        <w:t>, 20</w:t>
      </w:r>
      <w:r w:rsidR="00210E54">
        <w:rPr>
          <w:lang w:val="en-GB"/>
        </w:rPr>
        <w:t xml:space="preserve"> </w:t>
      </w:r>
      <w:r>
        <w:rPr>
          <w:lang w:val="en-GB"/>
        </w:rPr>
        <w:t>November</w:t>
      </w:r>
      <w:r w:rsidRPr="004E3118">
        <w:rPr>
          <w:lang w:val="en-GB"/>
        </w:rPr>
        <w:t xml:space="preserve"> 1995, </w:t>
      </w:r>
      <w:r w:rsidRPr="004E3118" w:rsidR="00FA580D">
        <w:rPr>
          <w:lang w:val="en-GB"/>
        </w:rPr>
        <w:t>§ 38</w:t>
      </w:r>
      <w:r w:rsidR="00FA580D">
        <w:rPr>
          <w:lang w:val="en-GB"/>
        </w:rPr>
        <w:t xml:space="preserve">, </w:t>
      </w:r>
      <w:r>
        <w:rPr>
          <w:lang w:val="en-GB"/>
        </w:rPr>
        <w:t>Series</w:t>
      </w:r>
      <w:r w:rsidRPr="004E3118">
        <w:rPr>
          <w:lang w:val="en-GB"/>
        </w:rPr>
        <w:t xml:space="preserve"> A </w:t>
      </w:r>
      <w:r>
        <w:rPr>
          <w:lang w:val="en-GB"/>
        </w:rPr>
        <w:t>no.</w:t>
      </w:r>
      <w:r w:rsidR="00FA580D">
        <w:rPr>
          <w:lang w:val="en-GB"/>
        </w:rPr>
        <w:t> </w:t>
      </w:r>
      <w:r w:rsidRPr="004E3118">
        <w:rPr>
          <w:lang w:val="en-GB"/>
        </w:rPr>
        <w:t xml:space="preserve">332; </w:t>
      </w:r>
      <w:r w:rsidRPr="007F29C6" w:rsidR="007F29C6">
        <w:rPr>
          <w:i/>
          <w:lang w:val="en-GB" w:eastAsia="en-US"/>
        </w:rPr>
        <w:t xml:space="preserve">The former King of Greece and Others v. Greece </w:t>
      </w:r>
      <w:r w:rsidRPr="00914D6F" w:rsidR="007F29C6">
        <w:rPr>
          <w:lang w:val="en-GB" w:eastAsia="en-US"/>
        </w:rPr>
        <w:t>[GC]</w:t>
      </w:r>
      <w:r w:rsidR="00CD2418">
        <w:rPr>
          <w:lang w:val="en-GB" w:eastAsia="en-US"/>
        </w:rPr>
        <w:t>,</w:t>
      </w:r>
      <w:r w:rsidR="007F29C6">
        <w:rPr>
          <w:i/>
          <w:lang w:val="en-GB" w:eastAsia="en-US"/>
        </w:rPr>
        <w:t xml:space="preserve"> </w:t>
      </w:r>
      <w:r w:rsidR="007F29C6">
        <w:rPr>
          <w:lang w:val="en-GB" w:eastAsia="en-US"/>
        </w:rPr>
        <w:t>no.</w:t>
      </w:r>
      <w:r w:rsidR="00FA580D">
        <w:rPr>
          <w:lang w:val="en-GB" w:eastAsia="en-US"/>
        </w:rPr>
        <w:t> </w:t>
      </w:r>
      <w:r w:rsidRPr="004E3118">
        <w:rPr>
          <w:lang w:val="en-GB" w:eastAsia="en-US"/>
        </w:rPr>
        <w:t>25701/94, §</w:t>
      </w:r>
      <w:r w:rsidR="00914D6F">
        <w:rPr>
          <w:lang w:val="en-GB" w:eastAsia="en-US"/>
        </w:rPr>
        <w:t>§</w:t>
      </w:r>
      <w:r w:rsidRPr="004E3118">
        <w:rPr>
          <w:lang w:val="en-GB" w:eastAsia="en-US"/>
        </w:rPr>
        <w:t xml:space="preserve"> 89-90, </w:t>
      </w:r>
      <w:r w:rsidR="00143E15">
        <w:rPr>
          <w:lang w:val="en-GB" w:eastAsia="en-US"/>
        </w:rPr>
        <w:t>ECHR 2000-</w:t>
      </w:r>
      <w:r w:rsidR="007F29C6">
        <w:rPr>
          <w:lang w:val="en-GB" w:eastAsia="en-US"/>
        </w:rPr>
        <w:t>XII</w:t>
      </w:r>
      <w:r w:rsidRPr="004E3118">
        <w:rPr>
          <w:lang w:val="en-GB" w:eastAsia="en-US"/>
        </w:rPr>
        <w:t xml:space="preserve">; </w:t>
      </w:r>
      <w:r w:rsidR="00914D6F">
        <w:rPr>
          <w:lang w:val="en-GB" w:eastAsia="en-US"/>
        </w:rPr>
        <w:t xml:space="preserve">and </w:t>
      </w:r>
      <w:r w:rsidRPr="004E3118">
        <w:rPr>
          <w:i/>
          <w:lang w:val="en-GB"/>
        </w:rPr>
        <w:t xml:space="preserve">Sporrong </w:t>
      </w:r>
      <w:r w:rsidR="007F29C6">
        <w:rPr>
          <w:i/>
          <w:lang w:val="en-GB"/>
        </w:rPr>
        <w:t>and Lönnroth</w:t>
      </w:r>
      <w:r w:rsidRPr="004E3118" w:rsidR="007F29C6">
        <w:rPr>
          <w:lang w:val="en-GB"/>
        </w:rPr>
        <w:t xml:space="preserve">, </w:t>
      </w:r>
      <w:r w:rsidR="007F29C6">
        <w:rPr>
          <w:lang w:val="en-GB"/>
        </w:rPr>
        <w:t xml:space="preserve">cited above, </w:t>
      </w:r>
      <w:r w:rsidRPr="004E3118">
        <w:rPr>
          <w:lang w:val="en-GB"/>
        </w:rPr>
        <w:t>§ 73).</w:t>
      </w:r>
    </w:p>
    <w:p w:rsidRPr="00914D6F" w:rsidR="004E3118" w:rsidP="004E3118" w:rsidRDefault="004E3118">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94</w:t>
      </w:r>
      <w:r w:rsidRPr="00C2011C">
        <w:fldChar w:fldCharType="end"/>
      </w:r>
      <w:r w:rsidRPr="00824B80">
        <w:rPr>
          <w:lang w:val="en-GB"/>
        </w:rPr>
        <w:t>.  </w:t>
      </w:r>
      <w:r w:rsidRPr="00914D6F" w:rsidR="00914D6F">
        <w:rPr>
          <w:lang w:val="en-GB"/>
        </w:rPr>
        <w:t>In determining whether this requirement is met, the Court recognises that the State enjoys a wide margin of appreciation with regard both to choosing the means of enforcement and to ascertaining whether the consequences of enforcement are justified in the general interest for the purpose of achieving th</w:t>
      </w:r>
      <w:r w:rsidR="00914D6F">
        <w:rPr>
          <w:lang w:val="en-GB"/>
        </w:rPr>
        <w:t>e object of the law in question</w:t>
      </w:r>
      <w:r w:rsidRPr="00914D6F" w:rsidR="00914D6F">
        <w:rPr>
          <w:lang w:val="en-GB"/>
        </w:rPr>
        <w:t xml:space="preserve"> </w:t>
      </w:r>
      <w:r w:rsidRPr="00914D6F">
        <w:rPr>
          <w:lang w:val="en-GB"/>
        </w:rPr>
        <w:t>(</w:t>
      </w:r>
      <w:r w:rsidRPr="00914D6F" w:rsidR="00914D6F">
        <w:rPr>
          <w:lang w:val="en-GB"/>
        </w:rPr>
        <w:t xml:space="preserve">see </w:t>
      </w:r>
      <w:r w:rsidRPr="00914D6F" w:rsidR="00914D6F">
        <w:rPr>
          <w:i/>
          <w:lang w:val="en-GB"/>
        </w:rPr>
        <w:t xml:space="preserve">Chassagnou and Others v. France </w:t>
      </w:r>
      <w:r w:rsidRPr="00914D6F" w:rsidR="00914D6F">
        <w:rPr>
          <w:lang w:val="en-GB"/>
        </w:rPr>
        <w:t>[GC], nos. 25088/94, 28331/95 and</w:t>
      </w:r>
      <w:r w:rsidR="00914D6F">
        <w:rPr>
          <w:lang w:val="en-GB"/>
        </w:rPr>
        <w:t xml:space="preserve"> 28443/95, § 75, ECHR 1999-III</w:t>
      </w:r>
      <w:r w:rsidRPr="00914D6F">
        <w:rPr>
          <w:lang w:val="en-GB"/>
        </w:rPr>
        <w:t xml:space="preserve">). </w:t>
      </w:r>
      <w:r w:rsidRPr="00914D6F" w:rsidR="00914D6F">
        <w:rPr>
          <w:lang w:val="en-GB"/>
        </w:rPr>
        <w:t>Nevertheless, the Court cannot abdicate its power of review and must determine whether the requisite balance was maintained in a manner consonant with the</w:t>
      </w:r>
      <w:r w:rsidR="00526C5E">
        <w:rPr>
          <w:lang w:val="en-GB"/>
        </w:rPr>
        <w:t xml:space="preserve"> applicants</w:t>
      </w:r>
      <w:r w:rsidR="00E6191D">
        <w:rPr>
          <w:lang w:val="en-GB"/>
        </w:rPr>
        <w:t>’</w:t>
      </w:r>
      <w:r w:rsidR="00526C5E">
        <w:rPr>
          <w:lang w:val="en-GB"/>
        </w:rPr>
        <w:t xml:space="preserve"> right to </w:t>
      </w:r>
      <w:r w:rsidRPr="00914D6F" w:rsidR="00914D6F">
        <w:rPr>
          <w:lang w:val="en-GB"/>
        </w:rPr>
        <w:t>t</w:t>
      </w:r>
      <w:r w:rsidR="00914D6F">
        <w:rPr>
          <w:lang w:val="en-GB"/>
        </w:rPr>
        <w:t>he peaceful enjoyment of their</w:t>
      </w:r>
      <w:r w:rsidR="00526C5E">
        <w:rPr>
          <w:lang w:val="en-GB"/>
        </w:rPr>
        <w:t xml:space="preserve"> possessions</w:t>
      </w:r>
      <w:r w:rsidRPr="00914D6F" w:rsidR="00914D6F">
        <w:rPr>
          <w:lang w:val="en-GB"/>
        </w:rPr>
        <w:t xml:space="preserve">, within the meaning of the first sentence of Article 1 of Protocol No. 1 </w:t>
      </w:r>
      <w:r w:rsidRPr="00914D6F">
        <w:rPr>
          <w:lang w:val="en-GB"/>
        </w:rPr>
        <w:t>(</w:t>
      </w:r>
      <w:r w:rsidR="00914D6F">
        <w:rPr>
          <w:lang w:val="en-GB"/>
        </w:rPr>
        <w:t xml:space="preserve">see </w:t>
      </w:r>
      <w:r w:rsidRPr="00914D6F">
        <w:rPr>
          <w:i/>
          <w:szCs w:val="24"/>
          <w:lang w:val="en-GB" w:eastAsia="en-US"/>
        </w:rPr>
        <w:t xml:space="preserve">Jahn </w:t>
      </w:r>
      <w:r w:rsidR="00914D6F">
        <w:rPr>
          <w:i/>
          <w:szCs w:val="24"/>
          <w:lang w:val="en-GB" w:eastAsia="en-US"/>
        </w:rPr>
        <w:t>and</w:t>
      </w:r>
      <w:r w:rsidRPr="00914D6F">
        <w:rPr>
          <w:i/>
          <w:szCs w:val="24"/>
          <w:lang w:val="en-GB" w:eastAsia="en-US"/>
        </w:rPr>
        <w:t xml:space="preserve"> </w:t>
      </w:r>
      <w:r w:rsidR="00914D6F">
        <w:rPr>
          <w:i/>
          <w:szCs w:val="24"/>
          <w:lang w:val="en-GB" w:eastAsia="en-US"/>
        </w:rPr>
        <w:t>Others</w:t>
      </w:r>
      <w:r w:rsidRPr="00914D6F">
        <w:rPr>
          <w:i/>
          <w:szCs w:val="24"/>
          <w:lang w:val="en-GB" w:eastAsia="en-US"/>
        </w:rPr>
        <w:t xml:space="preserve"> </w:t>
      </w:r>
      <w:r w:rsidR="00914D6F">
        <w:rPr>
          <w:i/>
          <w:szCs w:val="24"/>
          <w:lang w:val="en-GB" w:eastAsia="en-US"/>
        </w:rPr>
        <w:t>v</w:t>
      </w:r>
      <w:r w:rsidRPr="00914D6F">
        <w:rPr>
          <w:i/>
          <w:szCs w:val="24"/>
          <w:lang w:val="en-GB" w:eastAsia="en-US"/>
        </w:rPr>
        <w:t xml:space="preserve">. </w:t>
      </w:r>
      <w:r w:rsidR="00914D6F">
        <w:rPr>
          <w:i/>
          <w:szCs w:val="24"/>
          <w:lang w:val="en-GB" w:eastAsia="en-US"/>
        </w:rPr>
        <w:t>Germany</w:t>
      </w:r>
      <w:r w:rsidRPr="00914D6F">
        <w:rPr>
          <w:i/>
          <w:szCs w:val="24"/>
          <w:lang w:val="en-GB" w:eastAsia="en-US"/>
        </w:rPr>
        <w:t xml:space="preserve"> </w:t>
      </w:r>
      <w:r w:rsidRPr="00914D6F">
        <w:rPr>
          <w:szCs w:val="24"/>
          <w:lang w:val="en-GB" w:eastAsia="en-US"/>
        </w:rPr>
        <w:t xml:space="preserve">[GC], </w:t>
      </w:r>
      <w:r w:rsidR="00914D6F">
        <w:rPr>
          <w:szCs w:val="24"/>
          <w:lang w:val="en-GB" w:eastAsia="en-US"/>
        </w:rPr>
        <w:t xml:space="preserve">nos. </w:t>
      </w:r>
      <w:r w:rsidRPr="00914D6F">
        <w:rPr>
          <w:szCs w:val="24"/>
          <w:lang w:val="en-GB" w:eastAsia="en-US"/>
        </w:rPr>
        <w:t xml:space="preserve">46720/99, 72203/01 </w:t>
      </w:r>
      <w:r w:rsidR="00914D6F">
        <w:rPr>
          <w:szCs w:val="24"/>
          <w:lang w:val="en-GB" w:eastAsia="en-US"/>
        </w:rPr>
        <w:t>and</w:t>
      </w:r>
      <w:r w:rsidR="005A2A87">
        <w:rPr>
          <w:szCs w:val="24"/>
          <w:lang w:val="en-GB" w:eastAsia="en-US"/>
        </w:rPr>
        <w:t xml:space="preserve"> 72552/01, § </w:t>
      </w:r>
      <w:r w:rsidRPr="00914D6F">
        <w:rPr>
          <w:szCs w:val="24"/>
          <w:lang w:val="en-GB" w:eastAsia="en-US"/>
        </w:rPr>
        <w:t xml:space="preserve">93, </w:t>
      </w:r>
      <w:r w:rsidR="00914D6F">
        <w:rPr>
          <w:szCs w:val="24"/>
          <w:lang w:val="en-GB" w:eastAsia="en-US"/>
        </w:rPr>
        <w:t>ECHR</w:t>
      </w:r>
      <w:r w:rsidRPr="00914D6F">
        <w:rPr>
          <w:szCs w:val="24"/>
          <w:lang w:val="en-GB" w:eastAsia="en-US"/>
        </w:rPr>
        <w:t xml:space="preserve"> 2005</w:t>
      </w:r>
      <w:r w:rsidR="00DA0900">
        <w:rPr>
          <w:szCs w:val="24"/>
          <w:lang w:val="en-GB" w:eastAsia="en-US"/>
        </w:rPr>
        <w:t>-VI</w:t>
      </w:r>
      <w:r w:rsidRPr="00914D6F">
        <w:rPr>
          <w:lang w:val="en-GB"/>
        </w:rPr>
        <w:t>).</w:t>
      </w:r>
    </w:p>
    <w:p w:rsidRPr="00AE7E2C" w:rsidR="004E3118" w:rsidP="004E3118" w:rsidRDefault="004E3118">
      <w:pPr>
        <w:pStyle w:val="JuPara"/>
        <w:rPr>
          <w:lang w:val="en-GB" w:eastAsia="en-US"/>
        </w:rPr>
      </w:pPr>
      <w:r w:rsidRPr="00C2011C">
        <w:fldChar w:fldCharType="begin"/>
      </w:r>
      <w:r w:rsidRPr="00824B80">
        <w:rPr>
          <w:lang w:val="en-GB"/>
        </w:rPr>
        <w:instrText xml:space="preserve"> SEQ level0 \*arabic </w:instrText>
      </w:r>
      <w:r w:rsidRPr="00C2011C">
        <w:fldChar w:fldCharType="separate"/>
      </w:r>
      <w:r w:rsidR="008B3B68">
        <w:rPr>
          <w:noProof/>
          <w:lang w:val="en-GB"/>
        </w:rPr>
        <w:t>95</w:t>
      </w:r>
      <w:r w:rsidRPr="00C2011C">
        <w:fldChar w:fldCharType="end"/>
      </w:r>
      <w:r w:rsidRPr="00824B80">
        <w:rPr>
          <w:lang w:val="en-GB"/>
        </w:rPr>
        <w:t>.  </w:t>
      </w:r>
      <w:r w:rsidRPr="00EC5801" w:rsidR="00EC5801">
        <w:rPr>
          <w:lang w:val="en-GB"/>
        </w:rPr>
        <w:t>Compensation terms under the relevant legislation are material to the assessment</w:t>
      </w:r>
      <w:r w:rsidR="00DA0900">
        <w:rPr>
          <w:lang w:val="en-GB"/>
        </w:rPr>
        <w:t xml:space="preserve"> of</w:t>
      </w:r>
      <w:r w:rsidRPr="00EC5801" w:rsidR="00EC5801">
        <w:rPr>
          <w:lang w:val="en-GB"/>
        </w:rPr>
        <w:t xml:space="preserve"> whether the contested measure respects the requisite fair balance and, notably, whether it does not impose a disproportionate burden on the applicants</w:t>
      </w:r>
      <w:r w:rsidRPr="00EC5801">
        <w:rPr>
          <w:lang w:val="en-GB"/>
        </w:rPr>
        <w:t xml:space="preserve">. </w:t>
      </w:r>
      <w:r w:rsidR="00EC5801">
        <w:rPr>
          <w:lang w:val="en-GB"/>
        </w:rPr>
        <w:t>In this connection</w:t>
      </w:r>
      <w:r w:rsidRPr="00EC5801" w:rsidR="00EC5801">
        <w:rPr>
          <w:lang w:val="en-GB"/>
        </w:rPr>
        <w:t xml:space="preserve"> the Court has already found that the taking of property without payment of an amount reasonably related to its value will normally constitute a disproportionate interference and a total lack of compensation can be considered justifiable </w:t>
      </w:r>
      <w:r w:rsidR="00143E15">
        <w:rPr>
          <w:lang w:val="en-GB"/>
        </w:rPr>
        <w:t>under Article 1 of Protocol No.</w:t>
      </w:r>
      <w:r w:rsidR="00BE0920">
        <w:rPr>
          <w:lang w:val="en-GB"/>
        </w:rPr>
        <w:t xml:space="preserve"> </w:t>
      </w:r>
      <w:r w:rsidRPr="00EC5801" w:rsidR="00EC5801">
        <w:rPr>
          <w:lang w:val="en-GB"/>
        </w:rPr>
        <w:t>1 only in exceptional circumstances</w:t>
      </w:r>
      <w:r w:rsidRPr="00EC5801">
        <w:rPr>
          <w:lang w:val="en-GB"/>
        </w:rPr>
        <w:t xml:space="preserve"> (</w:t>
      </w:r>
      <w:r w:rsidRPr="00EC5801" w:rsidR="00EC5801">
        <w:rPr>
          <w:lang w:val="en-GB"/>
        </w:rPr>
        <w:t xml:space="preserve">see </w:t>
      </w:r>
      <w:r w:rsidRPr="00EC5801" w:rsidR="00EC5801">
        <w:rPr>
          <w:i/>
          <w:lang w:val="en-GB"/>
        </w:rPr>
        <w:t>The Holy Monasteries</w:t>
      </w:r>
      <w:r w:rsidRPr="00B767E4" w:rsidR="00EC5801">
        <w:rPr>
          <w:lang w:val="en-GB"/>
        </w:rPr>
        <w:t>,</w:t>
      </w:r>
      <w:r w:rsidRPr="00EC5801" w:rsidR="00EC5801">
        <w:rPr>
          <w:i/>
          <w:lang w:val="en-GB"/>
        </w:rPr>
        <w:t xml:space="preserve"> </w:t>
      </w:r>
      <w:r w:rsidRPr="00EC5801" w:rsidR="00EC5801">
        <w:rPr>
          <w:lang w:val="en-GB"/>
        </w:rPr>
        <w:t>cited above, § 71, and</w:t>
      </w:r>
      <w:r w:rsidRPr="00EC5801" w:rsidR="00EC5801">
        <w:rPr>
          <w:i/>
          <w:lang w:val="en-GB"/>
        </w:rPr>
        <w:t xml:space="preserve"> The </w:t>
      </w:r>
      <w:r w:rsidR="00B767E4">
        <w:rPr>
          <w:i/>
          <w:lang w:val="en-GB"/>
        </w:rPr>
        <w:t>f</w:t>
      </w:r>
      <w:r w:rsidRPr="00EC5801" w:rsidR="00EC5801">
        <w:rPr>
          <w:i/>
          <w:lang w:val="en-GB"/>
        </w:rPr>
        <w:t>ormer King of Greece</w:t>
      </w:r>
      <w:r w:rsidR="00B767E4">
        <w:rPr>
          <w:i/>
          <w:lang w:val="en-GB"/>
        </w:rPr>
        <w:t xml:space="preserve"> and Others</w:t>
      </w:r>
      <w:r w:rsidRPr="00EC5801" w:rsidR="00EC5801">
        <w:rPr>
          <w:lang w:val="en-GB"/>
        </w:rPr>
        <w:t xml:space="preserve">, cited above, </w:t>
      </w:r>
      <w:r w:rsidR="00EC5801">
        <w:rPr>
          <w:lang w:val="en-GB"/>
        </w:rPr>
        <w:t xml:space="preserve">§ </w:t>
      </w:r>
      <w:r w:rsidRPr="00EC5801">
        <w:rPr>
          <w:lang w:val="en-GB"/>
        </w:rPr>
        <w:t xml:space="preserve">89). </w:t>
      </w:r>
      <w:r w:rsidRPr="00AE7E2C" w:rsidR="00AE7E2C">
        <w:rPr>
          <w:lang w:val="en-GB"/>
        </w:rPr>
        <w:t xml:space="preserve">Article 1 of Protocol No. 1 does not, however, guarantee a right to full compensation in all circumstances </w:t>
      </w:r>
      <w:r w:rsidRPr="00AE7E2C">
        <w:rPr>
          <w:lang w:val="en-GB"/>
        </w:rPr>
        <w:t>(</w:t>
      </w:r>
      <w:r w:rsidR="00AE7E2C">
        <w:rPr>
          <w:lang w:val="en-GB"/>
        </w:rPr>
        <w:t xml:space="preserve">see </w:t>
      </w:r>
      <w:r w:rsidRPr="00AE7E2C">
        <w:rPr>
          <w:i/>
          <w:lang w:val="en-GB"/>
        </w:rPr>
        <w:t xml:space="preserve">James </w:t>
      </w:r>
      <w:r w:rsidR="00AE7E2C">
        <w:rPr>
          <w:i/>
          <w:lang w:val="en-GB"/>
        </w:rPr>
        <w:t>and Others</w:t>
      </w:r>
      <w:r w:rsidR="007B75CA">
        <w:rPr>
          <w:lang w:val="en-GB"/>
        </w:rPr>
        <w:t xml:space="preserve">, cited </w:t>
      </w:r>
      <w:r w:rsidR="00AE7E2C">
        <w:rPr>
          <w:lang w:val="en-GB"/>
        </w:rPr>
        <w:t>above</w:t>
      </w:r>
      <w:r w:rsidR="00143E15">
        <w:rPr>
          <w:lang w:val="en-GB"/>
        </w:rPr>
        <w:t xml:space="preserve">, </w:t>
      </w:r>
      <w:r w:rsidR="00AA6278">
        <w:rPr>
          <w:lang w:val="en-GB"/>
        </w:rPr>
        <w:t>§ 54</w:t>
      </w:r>
      <w:r w:rsidR="00526C5E">
        <w:rPr>
          <w:lang w:val="en-GB"/>
        </w:rPr>
        <w:t>, and</w:t>
      </w:r>
      <w:r w:rsidRPr="00AE7E2C">
        <w:rPr>
          <w:lang w:val="en-GB"/>
        </w:rPr>
        <w:t xml:space="preserve"> </w:t>
      </w:r>
      <w:r w:rsidRPr="00AE7E2C">
        <w:rPr>
          <w:i/>
          <w:lang w:val="en-GB" w:eastAsia="en-US"/>
        </w:rPr>
        <w:t xml:space="preserve">Broniowski </w:t>
      </w:r>
      <w:r w:rsidR="00AA6278">
        <w:rPr>
          <w:i/>
          <w:lang w:val="en-GB" w:eastAsia="en-US"/>
        </w:rPr>
        <w:t>v</w:t>
      </w:r>
      <w:r w:rsidRPr="00AE7E2C">
        <w:rPr>
          <w:i/>
          <w:lang w:val="en-GB" w:eastAsia="en-US"/>
        </w:rPr>
        <w:t xml:space="preserve">. </w:t>
      </w:r>
      <w:r w:rsidR="00AA6278">
        <w:rPr>
          <w:i/>
          <w:lang w:val="en-GB" w:eastAsia="en-US"/>
        </w:rPr>
        <w:t>Poland</w:t>
      </w:r>
      <w:r w:rsidRPr="00AE7E2C">
        <w:rPr>
          <w:i/>
          <w:lang w:val="en-GB" w:eastAsia="en-US"/>
        </w:rPr>
        <w:t xml:space="preserve"> </w:t>
      </w:r>
      <w:r w:rsidRPr="00AE7E2C">
        <w:rPr>
          <w:lang w:val="en-GB" w:eastAsia="en-US"/>
        </w:rPr>
        <w:t xml:space="preserve">[GC], </w:t>
      </w:r>
      <w:r w:rsidR="00AA6278">
        <w:rPr>
          <w:lang w:val="en-GB" w:eastAsia="en-US"/>
        </w:rPr>
        <w:t>no.</w:t>
      </w:r>
      <w:r w:rsidRPr="00AE7E2C">
        <w:rPr>
          <w:lang w:val="en-GB" w:eastAsia="en-US"/>
        </w:rPr>
        <w:t xml:space="preserve"> 31443/96, § 182, </w:t>
      </w:r>
      <w:r w:rsidR="00AA6278">
        <w:rPr>
          <w:lang w:val="en-GB" w:eastAsia="en-US"/>
        </w:rPr>
        <w:t>ECHR</w:t>
      </w:r>
      <w:r w:rsidR="00DA0900">
        <w:rPr>
          <w:lang w:val="en-GB" w:eastAsia="en-US"/>
        </w:rPr>
        <w:t xml:space="preserve"> 2004-</w:t>
      </w:r>
      <w:r w:rsidRPr="00AE7E2C">
        <w:rPr>
          <w:lang w:val="en-GB" w:eastAsia="en-US"/>
        </w:rPr>
        <w:t>V).</w:t>
      </w:r>
    </w:p>
    <w:p w:rsidR="00967E1F" w:rsidP="004E3118" w:rsidRDefault="004E3118">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96</w:t>
      </w:r>
      <w:r w:rsidRPr="00C2011C">
        <w:fldChar w:fldCharType="end"/>
      </w:r>
      <w:r w:rsidRPr="00824B80">
        <w:rPr>
          <w:lang w:val="en-GB"/>
        </w:rPr>
        <w:t>.  </w:t>
      </w:r>
      <w:r w:rsidRPr="00AA6278" w:rsidR="00AA6278">
        <w:rPr>
          <w:lang w:val="en-GB"/>
        </w:rPr>
        <w:t xml:space="preserve">While it is true that in many cases of lawful </w:t>
      </w:r>
      <w:r w:rsidRPr="00AA6278">
        <w:rPr>
          <w:lang w:val="en-GB"/>
        </w:rPr>
        <w:t xml:space="preserve">expropriation, </w:t>
      </w:r>
      <w:r w:rsidRPr="00AA6278" w:rsidR="00AA6278">
        <w:rPr>
          <w:lang w:val="en-GB"/>
        </w:rPr>
        <w:t xml:space="preserve">such </w:t>
      </w:r>
      <w:r w:rsidR="00526C5E">
        <w:rPr>
          <w:lang w:val="en-GB"/>
        </w:rPr>
        <w:t>as the</w:t>
      </w:r>
      <w:r w:rsidRPr="00AA6278" w:rsidR="00AA6278">
        <w:rPr>
          <w:lang w:val="en-GB"/>
        </w:rPr>
        <w:t xml:space="preserve"> </w:t>
      </w:r>
      <w:r w:rsidR="009206DE">
        <w:rPr>
          <w:lang w:val="en-GB"/>
        </w:rPr>
        <w:t>distinct</w:t>
      </w:r>
      <w:r w:rsidRPr="00AA6278" w:rsidR="00AA6278">
        <w:rPr>
          <w:lang w:val="en-GB"/>
        </w:rPr>
        <w:t xml:space="preserve"> </w:t>
      </w:r>
      <w:r w:rsidRPr="00AA6278">
        <w:rPr>
          <w:lang w:val="en-GB"/>
        </w:rPr>
        <w:t>expropriation</w:t>
      </w:r>
      <w:r w:rsidRPr="00AA6278" w:rsidR="00AA6278">
        <w:rPr>
          <w:lang w:val="en-GB"/>
        </w:rPr>
        <w:t xml:space="preserve"> of land</w:t>
      </w:r>
      <w:r w:rsidRPr="00AA6278">
        <w:rPr>
          <w:lang w:val="en-GB"/>
        </w:rPr>
        <w:t xml:space="preserve"> </w:t>
      </w:r>
      <w:r w:rsidRPr="00AA6278" w:rsidR="00AA6278">
        <w:rPr>
          <w:lang w:val="en-GB"/>
        </w:rPr>
        <w:t>with a view to building a road or for other</w:t>
      </w:r>
      <w:r w:rsidRPr="00AA6278">
        <w:rPr>
          <w:lang w:val="en-GB"/>
        </w:rPr>
        <w:t xml:space="preserve"> p</w:t>
      </w:r>
      <w:r w:rsidRPr="00AA6278" w:rsidR="00AA6278">
        <w:rPr>
          <w:lang w:val="en-GB"/>
        </w:rPr>
        <w:t xml:space="preserve">urposes </w:t>
      </w:r>
      <w:r w:rsidR="00AA6278">
        <w:rPr>
          <w:lang w:val="en-GB"/>
        </w:rPr>
        <w:t>“</w:t>
      </w:r>
      <w:r w:rsidRPr="00AA6278" w:rsidR="00AA6278">
        <w:rPr>
          <w:lang w:val="en-GB"/>
        </w:rPr>
        <w:t>in the public interest</w:t>
      </w:r>
      <w:r w:rsidR="00AA6278">
        <w:rPr>
          <w:lang w:val="en-GB"/>
        </w:rPr>
        <w:t>”</w:t>
      </w:r>
      <w:r w:rsidRPr="00AA6278">
        <w:rPr>
          <w:lang w:val="en-GB"/>
        </w:rPr>
        <w:t xml:space="preserve">, </w:t>
      </w:r>
      <w:r w:rsidRPr="00AA6278" w:rsidR="00AA6278">
        <w:rPr>
          <w:lang w:val="en-GB"/>
        </w:rPr>
        <w:t>only full compensation can be</w:t>
      </w:r>
      <w:r w:rsidRPr="00AA6278">
        <w:rPr>
          <w:lang w:val="en-GB"/>
        </w:rPr>
        <w:t xml:space="preserve"> </w:t>
      </w:r>
      <w:r w:rsidR="00AA6278">
        <w:rPr>
          <w:lang w:val="en-GB"/>
        </w:rPr>
        <w:t>regarded as reasonably</w:t>
      </w:r>
      <w:r w:rsidRPr="00AA6278">
        <w:rPr>
          <w:lang w:val="en-GB"/>
        </w:rPr>
        <w:t xml:space="preserve"> </w:t>
      </w:r>
      <w:r w:rsidR="00AA6278">
        <w:rPr>
          <w:lang w:val="en-GB"/>
        </w:rPr>
        <w:t>related to the value of the property</w:t>
      </w:r>
      <w:r w:rsidRPr="00AA6278">
        <w:rPr>
          <w:lang w:val="en-GB"/>
        </w:rPr>
        <w:t xml:space="preserve">, </w:t>
      </w:r>
      <w:r w:rsidR="00526C5E">
        <w:rPr>
          <w:lang w:val="en-GB"/>
        </w:rPr>
        <w:t>that rule is not without its exceptions</w:t>
      </w:r>
      <w:r w:rsidRPr="00AA6278">
        <w:rPr>
          <w:lang w:val="en-GB"/>
        </w:rPr>
        <w:t xml:space="preserve"> (</w:t>
      </w:r>
      <w:r w:rsidR="00AA6278">
        <w:rPr>
          <w:lang w:val="en-GB"/>
        </w:rPr>
        <w:t xml:space="preserve">see </w:t>
      </w:r>
      <w:r w:rsidR="00143E15">
        <w:rPr>
          <w:i/>
          <w:lang w:val="en-GB"/>
        </w:rPr>
        <w:t>The f</w:t>
      </w:r>
      <w:r w:rsidRPr="00AA6278" w:rsidR="00AA6278">
        <w:rPr>
          <w:i/>
          <w:lang w:val="en-GB"/>
        </w:rPr>
        <w:t>ormer King of Greece and Others v.</w:t>
      </w:r>
      <w:r w:rsidRPr="00AA6278">
        <w:rPr>
          <w:i/>
          <w:lang w:val="en-GB" w:eastAsia="en-US"/>
        </w:rPr>
        <w:t xml:space="preserve"> </w:t>
      </w:r>
      <w:r w:rsidR="00AA6278">
        <w:rPr>
          <w:i/>
          <w:lang w:val="en-GB" w:eastAsia="en-US"/>
        </w:rPr>
        <w:t>Greece</w:t>
      </w:r>
      <w:r w:rsidRPr="00AA6278">
        <w:rPr>
          <w:i/>
          <w:lang w:val="en-GB" w:eastAsia="en-US"/>
        </w:rPr>
        <w:t xml:space="preserve"> </w:t>
      </w:r>
      <w:r w:rsidRPr="00AA6278">
        <w:rPr>
          <w:lang w:val="en-GB" w:eastAsia="en-US"/>
        </w:rPr>
        <w:t>(</w:t>
      </w:r>
      <w:r w:rsidR="00AA6278">
        <w:rPr>
          <w:lang w:val="en-GB" w:eastAsia="en-US"/>
        </w:rPr>
        <w:t xml:space="preserve">just </w:t>
      </w:r>
      <w:r w:rsidRPr="00AA6278">
        <w:rPr>
          <w:lang w:val="en-GB" w:eastAsia="en-US"/>
        </w:rPr>
        <w:t>satisfaction)</w:t>
      </w:r>
      <w:r w:rsidRPr="00DA0900" w:rsidR="00DA0900">
        <w:rPr>
          <w:lang w:val="en-GB" w:eastAsia="en-US"/>
        </w:rPr>
        <w:t xml:space="preserve"> </w:t>
      </w:r>
      <w:r w:rsidRPr="00AA6278" w:rsidR="00DA0900">
        <w:rPr>
          <w:lang w:val="en-GB" w:eastAsia="en-US"/>
        </w:rPr>
        <w:t>[GC]</w:t>
      </w:r>
      <w:r w:rsidRPr="00AA6278">
        <w:rPr>
          <w:lang w:val="en-GB" w:eastAsia="en-US"/>
        </w:rPr>
        <w:t xml:space="preserve">, </w:t>
      </w:r>
      <w:r w:rsidR="00AA6278">
        <w:rPr>
          <w:lang w:val="en-GB" w:eastAsia="en-US"/>
        </w:rPr>
        <w:t>no.</w:t>
      </w:r>
      <w:r w:rsidR="00210E54">
        <w:rPr>
          <w:lang w:val="en-GB" w:eastAsia="en-US"/>
        </w:rPr>
        <w:t xml:space="preserve"> </w:t>
      </w:r>
      <w:r w:rsidRPr="00AA6278">
        <w:rPr>
          <w:lang w:val="en-GB" w:eastAsia="en-US"/>
        </w:rPr>
        <w:t>25701/94, § 78</w:t>
      </w:r>
      <w:r w:rsidR="00C86FC6">
        <w:rPr>
          <w:lang w:val="en-GB" w:eastAsia="en-US"/>
        </w:rPr>
        <w:t>, 28 November 2002</w:t>
      </w:r>
      <w:r w:rsidRPr="00AA6278">
        <w:rPr>
          <w:lang w:val="en-GB" w:eastAsia="en-US"/>
        </w:rPr>
        <w:t>)</w:t>
      </w:r>
      <w:r w:rsidRPr="00AA6278">
        <w:rPr>
          <w:lang w:val="en-GB"/>
        </w:rPr>
        <w:t>.</w:t>
      </w:r>
    </w:p>
    <w:p w:rsidRPr="009D46A2" w:rsidR="004E3118" w:rsidP="004E3118" w:rsidRDefault="004E3118">
      <w:pPr>
        <w:pStyle w:val="JuPara"/>
        <w:rPr>
          <w:i/>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97</w:t>
      </w:r>
      <w:r w:rsidRPr="00C2011C">
        <w:fldChar w:fldCharType="end"/>
      </w:r>
      <w:r w:rsidRPr="00824B80">
        <w:rPr>
          <w:lang w:val="en-GB"/>
        </w:rPr>
        <w:t>.  </w:t>
      </w:r>
      <w:r w:rsidR="00DB27FE">
        <w:rPr>
          <w:lang w:val="en-GB"/>
        </w:rPr>
        <w:t xml:space="preserve">Legitimate objectives </w:t>
      </w:r>
      <w:r w:rsidR="00526C5E">
        <w:rPr>
          <w:lang w:val="en-GB"/>
        </w:rPr>
        <w:t>in the</w:t>
      </w:r>
      <w:r w:rsidR="00DB27FE">
        <w:rPr>
          <w:lang w:val="en-GB"/>
        </w:rPr>
        <w:t xml:space="preserve"> “</w:t>
      </w:r>
      <w:r w:rsidRPr="00DB27FE" w:rsidR="00DB27FE">
        <w:rPr>
          <w:lang w:val="en-GB"/>
        </w:rPr>
        <w:t>public interest</w:t>
      </w:r>
      <w:r w:rsidR="00DB27FE">
        <w:rPr>
          <w:lang w:val="en-GB"/>
        </w:rPr>
        <w:t>”</w:t>
      </w:r>
      <w:r w:rsidRPr="00DB27FE" w:rsidR="00DB27FE">
        <w:rPr>
          <w:lang w:val="en-GB"/>
        </w:rPr>
        <w:t>, such as</w:t>
      </w:r>
      <w:r w:rsidR="00526C5E">
        <w:rPr>
          <w:lang w:val="en-GB"/>
        </w:rPr>
        <w:t xml:space="preserve"> those</w:t>
      </w:r>
      <w:r w:rsidRPr="00DB27FE" w:rsidR="00DB27FE">
        <w:rPr>
          <w:lang w:val="en-GB"/>
        </w:rPr>
        <w:t xml:space="preserve"> pursued in measures of economic reform or measures designed to achieve greater social justice, may call for less than reimbursement of the full market value </w:t>
      </w:r>
      <w:r w:rsidRPr="00DB27FE">
        <w:rPr>
          <w:lang w:val="en-GB"/>
        </w:rPr>
        <w:t>(</w:t>
      </w:r>
      <w:r w:rsidR="00DB27FE">
        <w:rPr>
          <w:lang w:val="en-GB"/>
        </w:rPr>
        <w:t xml:space="preserve">see </w:t>
      </w:r>
      <w:r w:rsidRPr="00DB27FE">
        <w:rPr>
          <w:i/>
          <w:lang w:val="en-GB"/>
        </w:rPr>
        <w:t xml:space="preserve">James </w:t>
      </w:r>
      <w:r w:rsidR="00DB27FE">
        <w:rPr>
          <w:i/>
          <w:lang w:val="en-GB"/>
        </w:rPr>
        <w:t>and Others</w:t>
      </w:r>
      <w:r w:rsidRPr="00DB27FE">
        <w:rPr>
          <w:lang w:val="en-GB"/>
        </w:rPr>
        <w:t xml:space="preserve">, </w:t>
      </w:r>
      <w:r w:rsidR="00DB27FE">
        <w:rPr>
          <w:lang w:val="en-GB"/>
        </w:rPr>
        <w:t>cited above</w:t>
      </w:r>
      <w:r w:rsidRPr="00DB27FE">
        <w:rPr>
          <w:lang w:val="en-GB"/>
        </w:rPr>
        <w:t xml:space="preserve">, § 54). </w:t>
      </w:r>
      <w:r w:rsidR="009D46A2">
        <w:rPr>
          <w:lang w:val="en-GB"/>
        </w:rPr>
        <w:t>T</w:t>
      </w:r>
      <w:r w:rsidRPr="009D46A2" w:rsidR="009D46A2">
        <w:rPr>
          <w:lang w:val="en-GB"/>
        </w:rPr>
        <w:t xml:space="preserve">he Court </w:t>
      </w:r>
      <w:r w:rsidR="00DA1879">
        <w:rPr>
          <w:lang w:val="en-GB"/>
        </w:rPr>
        <w:t>considers</w:t>
      </w:r>
      <w:r w:rsidRPr="009D46A2" w:rsidR="009D46A2">
        <w:rPr>
          <w:lang w:val="en-GB"/>
        </w:rPr>
        <w:t xml:space="preserve"> it useful to give a brief outline of </w:t>
      </w:r>
      <w:r w:rsidR="009D46A2">
        <w:rPr>
          <w:lang w:val="en-GB"/>
        </w:rPr>
        <w:t xml:space="preserve">its case-law on this </w:t>
      </w:r>
      <w:r w:rsidRPr="009D46A2">
        <w:rPr>
          <w:lang w:val="en-GB"/>
        </w:rPr>
        <w:t>point.</w:t>
      </w:r>
    </w:p>
    <w:p w:rsidRPr="009D46A2" w:rsidR="004E3118" w:rsidP="004E3118" w:rsidRDefault="004E3118">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98</w:t>
      </w:r>
      <w:r w:rsidRPr="00C2011C">
        <w:fldChar w:fldCharType="end"/>
      </w:r>
      <w:r w:rsidRPr="00824B80">
        <w:rPr>
          <w:lang w:val="en-GB"/>
        </w:rPr>
        <w:t>.  </w:t>
      </w:r>
      <w:r w:rsidRPr="009D46A2" w:rsidR="009D46A2">
        <w:rPr>
          <w:lang w:val="en-GB"/>
        </w:rPr>
        <w:t xml:space="preserve">In </w:t>
      </w:r>
      <w:r w:rsidRPr="009D46A2">
        <w:rPr>
          <w:i/>
          <w:lang w:val="en-GB"/>
        </w:rPr>
        <w:t xml:space="preserve">James </w:t>
      </w:r>
      <w:r w:rsidRPr="009D46A2" w:rsidR="009D46A2">
        <w:rPr>
          <w:i/>
          <w:lang w:val="en-GB"/>
        </w:rPr>
        <w:t>and Others</w:t>
      </w:r>
      <w:r w:rsidRPr="009D46A2" w:rsidR="009D46A2">
        <w:rPr>
          <w:lang w:val="en-GB"/>
        </w:rPr>
        <w:t>,</w:t>
      </w:r>
      <w:r w:rsidRPr="009D46A2">
        <w:rPr>
          <w:lang w:val="en-GB"/>
        </w:rPr>
        <w:t xml:space="preserve"> </w:t>
      </w:r>
      <w:r w:rsidRPr="009D46A2" w:rsidR="009D46A2">
        <w:rPr>
          <w:lang w:val="en-GB"/>
        </w:rPr>
        <w:t>the issue was whether, in the context of</w:t>
      </w:r>
      <w:r w:rsidRPr="009D46A2">
        <w:rPr>
          <w:lang w:val="en-GB"/>
        </w:rPr>
        <w:t xml:space="preserve"> </w:t>
      </w:r>
      <w:r w:rsidRPr="009D46A2" w:rsidR="009D46A2">
        <w:rPr>
          <w:lang w:val="en-GB"/>
        </w:rPr>
        <w:t>leasehold</w:t>
      </w:r>
      <w:r w:rsidR="009E03DC">
        <w:rPr>
          <w:lang w:val="en-GB"/>
        </w:rPr>
        <w:t>-</w:t>
      </w:r>
      <w:r w:rsidRPr="009D46A2" w:rsidR="009D46A2">
        <w:rPr>
          <w:lang w:val="en-GB"/>
        </w:rPr>
        <w:t>reform legislation</w:t>
      </w:r>
      <w:r w:rsidR="009E03DC">
        <w:rPr>
          <w:lang w:val="en-GB"/>
        </w:rPr>
        <w:t>,</w:t>
      </w:r>
      <w:r w:rsidR="009D46A2">
        <w:rPr>
          <w:lang w:val="en-GB"/>
        </w:rPr>
        <w:t xml:space="preserve"> the</w:t>
      </w:r>
      <w:r w:rsidRPr="009D46A2">
        <w:rPr>
          <w:lang w:val="en-GB"/>
        </w:rPr>
        <w:t xml:space="preserve"> conditions </w:t>
      </w:r>
      <w:r w:rsidR="00526C5E">
        <w:rPr>
          <w:lang w:val="en-GB"/>
        </w:rPr>
        <w:t>empowering</w:t>
      </w:r>
      <w:r w:rsidR="009D46A2">
        <w:rPr>
          <w:lang w:val="en-GB"/>
        </w:rPr>
        <w:t xml:space="preserve"> </w:t>
      </w:r>
      <w:r w:rsidRPr="00050182" w:rsidR="009D46A2">
        <w:rPr>
          <w:lang w:val="en-GB"/>
        </w:rPr>
        <w:t>long-term</w:t>
      </w:r>
      <w:r w:rsidR="00050182">
        <w:rPr>
          <w:lang w:val="en-GB"/>
        </w:rPr>
        <w:t xml:space="preserve"> </w:t>
      </w:r>
      <w:r w:rsidRPr="00050182" w:rsidR="00526C5E">
        <w:rPr>
          <w:lang w:val="en-GB"/>
        </w:rPr>
        <w:t>leasehold</w:t>
      </w:r>
      <w:r w:rsidR="009D46A2">
        <w:rPr>
          <w:lang w:val="en-GB"/>
        </w:rPr>
        <w:t xml:space="preserve"> tenants to </w:t>
      </w:r>
      <w:r w:rsidR="00526C5E">
        <w:rPr>
          <w:lang w:val="en-GB"/>
        </w:rPr>
        <w:t>acquire</w:t>
      </w:r>
      <w:r w:rsidR="009D46A2">
        <w:rPr>
          <w:lang w:val="en-GB"/>
        </w:rPr>
        <w:t xml:space="preserve"> their </w:t>
      </w:r>
      <w:r w:rsidR="00526C5E">
        <w:rPr>
          <w:lang w:val="en-GB"/>
        </w:rPr>
        <w:t>property</w:t>
      </w:r>
      <w:r w:rsidR="009D46A2">
        <w:rPr>
          <w:lang w:val="en-GB"/>
        </w:rPr>
        <w:t xml:space="preserve"> </w:t>
      </w:r>
      <w:r w:rsidR="009E03DC">
        <w:rPr>
          <w:lang w:val="en-GB"/>
        </w:rPr>
        <w:t>struck</w:t>
      </w:r>
      <w:r w:rsidR="009D46A2">
        <w:rPr>
          <w:lang w:val="en-GB"/>
        </w:rPr>
        <w:t xml:space="preserve"> </w:t>
      </w:r>
      <w:r w:rsidR="004C51EE">
        <w:rPr>
          <w:lang w:val="en-GB"/>
        </w:rPr>
        <w:t>a</w:t>
      </w:r>
      <w:r w:rsidR="009D46A2">
        <w:rPr>
          <w:lang w:val="en-GB"/>
        </w:rPr>
        <w:t xml:space="preserve"> fair balance</w:t>
      </w:r>
      <w:r w:rsidRPr="009D46A2">
        <w:rPr>
          <w:lang w:val="en-GB"/>
        </w:rPr>
        <w:t xml:space="preserve">. </w:t>
      </w:r>
      <w:r w:rsidRPr="009D46A2" w:rsidR="009D46A2">
        <w:rPr>
          <w:lang w:val="en-GB"/>
        </w:rPr>
        <w:t xml:space="preserve">The Court found that they </w:t>
      </w:r>
      <w:r w:rsidR="00526C5E">
        <w:rPr>
          <w:lang w:val="en-GB"/>
        </w:rPr>
        <w:t>did</w:t>
      </w:r>
      <w:r w:rsidRPr="009D46A2" w:rsidR="009D46A2">
        <w:rPr>
          <w:lang w:val="en-GB"/>
        </w:rPr>
        <w:t>, holding that the context was one of social and economic reform</w:t>
      </w:r>
      <w:r w:rsidRPr="009D46A2">
        <w:rPr>
          <w:lang w:val="en-GB"/>
        </w:rPr>
        <w:t xml:space="preserve"> </w:t>
      </w:r>
      <w:r w:rsidRPr="009D46A2" w:rsidR="009D46A2">
        <w:rPr>
          <w:lang w:val="en-GB"/>
        </w:rPr>
        <w:t>in which the burden borne by t</w:t>
      </w:r>
      <w:r w:rsidR="009D46A2">
        <w:rPr>
          <w:lang w:val="en-GB"/>
        </w:rPr>
        <w:t xml:space="preserve">he </w:t>
      </w:r>
      <w:r w:rsidRPr="00391E26" w:rsidR="009D46A2">
        <w:rPr>
          <w:lang w:val="en-GB"/>
        </w:rPr>
        <w:t>freeholders</w:t>
      </w:r>
      <w:r w:rsidR="009D46A2">
        <w:rPr>
          <w:lang w:val="en-GB"/>
        </w:rPr>
        <w:t xml:space="preserve"> was not unreasonable</w:t>
      </w:r>
      <w:r w:rsidRPr="009D46A2">
        <w:rPr>
          <w:lang w:val="en-GB"/>
        </w:rPr>
        <w:t xml:space="preserve">, </w:t>
      </w:r>
      <w:r w:rsidR="009D46A2">
        <w:rPr>
          <w:lang w:val="en-GB"/>
        </w:rPr>
        <w:t>even though the amounts received by the interested parties were less than the full market value of the property</w:t>
      </w:r>
      <w:r w:rsidRPr="009D46A2">
        <w:rPr>
          <w:lang w:val="en-GB"/>
        </w:rPr>
        <w:t>.</w:t>
      </w:r>
    </w:p>
    <w:p w:rsidRPr="009D46A2" w:rsidR="004E3118" w:rsidP="004E3118" w:rsidRDefault="009D46A2">
      <w:pPr>
        <w:pStyle w:val="JuPara"/>
        <w:rPr>
          <w:lang w:val="en-GB"/>
        </w:rPr>
      </w:pPr>
      <w:r w:rsidRPr="009D46A2">
        <w:rPr>
          <w:lang w:val="en-GB"/>
        </w:rPr>
        <w:t xml:space="preserve">In </w:t>
      </w:r>
      <w:r w:rsidRPr="009D46A2" w:rsidR="004E3118">
        <w:rPr>
          <w:i/>
          <w:lang w:val="en-GB" w:eastAsia="en-US"/>
        </w:rPr>
        <w:t xml:space="preserve">Lithgow </w:t>
      </w:r>
      <w:r w:rsidRPr="009D46A2">
        <w:rPr>
          <w:i/>
          <w:lang w:val="en-GB" w:eastAsia="en-US"/>
        </w:rPr>
        <w:t>and Others</w:t>
      </w:r>
      <w:r w:rsidRPr="009D46A2" w:rsidR="004E3118">
        <w:rPr>
          <w:i/>
          <w:lang w:val="en-GB" w:eastAsia="en-US"/>
        </w:rPr>
        <w:t xml:space="preserve"> </w:t>
      </w:r>
      <w:r w:rsidR="009F4EF8">
        <w:rPr>
          <w:lang w:val="en-GB" w:eastAsia="en-US"/>
        </w:rPr>
        <w:t xml:space="preserve">(cited above) </w:t>
      </w:r>
      <w:r w:rsidRPr="009D46A2">
        <w:rPr>
          <w:lang w:val="en-GB"/>
        </w:rPr>
        <w:t>the Court</w:t>
      </w:r>
      <w:r>
        <w:rPr>
          <w:lang w:val="en-GB"/>
        </w:rPr>
        <w:t xml:space="preserve"> examine</w:t>
      </w:r>
      <w:r w:rsidR="00526C5E">
        <w:rPr>
          <w:lang w:val="en-GB"/>
        </w:rPr>
        <w:t>d</w:t>
      </w:r>
      <w:r>
        <w:rPr>
          <w:lang w:val="en-GB"/>
        </w:rPr>
        <w:t xml:space="preserve"> </w:t>
      </w:r>
      <w:r w:rsidR="00391E26">
        <w:rPr>
          <w:lang w:val="en-GB"/>
        </w:rPr>
        <w:t>an issue relating to the nationalisation of</w:t>
      </w:r>
      <w:r>
        <w:rPr>
          <w:lang w:val="en-GB"/>
        </w:rPr>
        <w:t xml:space="preserve"> co</w:t>
      </w:r>
      <w:r w:rsidRPr="009D46A2">
        <w:rPr>
          <w:lang w:val="en-GB"/>
        </w:rPr>
        <w:t>mpanies engaged in the aircraft and shipbuilding industries</w:t>
      </w:r>
      <w:r w:rsidR="00391E26">
        <w:rPr>
          <w:lang w:val="en-GB"/>
        </w:rPr>
        <w:t>, as part of the economic, social and political programme run by the party that had won the elections</w:t>
      </w:r>
      <w:r w:rsidRPr="009D46A2" w:rsidR="004E3118">
        <w:rPr>
          <w:lang w:val="en-GB"/>
        </w:rPr>
        <w:t>,</w:t>
      </w:r>
      <w:r w:rsidR="00391E26">
        <w:rPr>
          <w:lang w:val="en-GB"/>
        </w:rPr>
        <w:t xml:space="preserve"> which was intended to provide </w:t>
      </w:r>
      <w:r w:rsidRPr="00391E26" w:rsidR="00391E26">
        <w:rPr>
          <w:lang w:val="en-GB"/>
        </w:rPr>
        <w:t>a sounder organisational and economic footing and bring to the</w:t>
      </w:r>
      <w:r w:rsidR="00391E26">
        <w:rPr>
          <w:lang w:val="en-GB"/>
        </w:rPr>
        <w:t xml:space="preserve"> authorities</w:t>
      </w:r>
      <w:r w:rsidRPr="00391E26" w:rsidR="00391E26">
        <w:rPr>
          <w:lang w:val="en-GB"/>
        </w:rPr>
        <w:t xml:space="preserve"> a desirably greater degree of public control and accountability</w:t>
      </w:r>
      <w:r w:rsidR="00391E26">
        <w:rPr>
          <w:lang w:val="en-GB"/>
        </w:rPr>
        <w:t>. The Court</w:t>
      </w:r>
      <w:r w:rsidRPr="009D46A2" w:rsidR="004E3118">
        <w:rPr>
          <w:lang w:val="en-GB"/>
        </w:rPr>
        <w:t xml:space="preserve"> </w:t>
      </w:r>
      <w:r>
        <w:rPr>
          <w:lang w:val="en-GB"/>
        </w:rPr>
        <w:t>held that</w:t>
      </w:r>
      <w:r w:rsidR="00391E26">
        <w:rPr>
          <w:lang w:val="en-GB"/>
        </w:rPr>
        <w:t>, in this context,</w:t>
      </w:r>
      <w:r>
        <w:rPr>
          <w:lang w:val="en-GB"/>
        </w:rPr>
        <w:t xml:space="preserve"> the arrangements for compensating the shareholders concerned were </w:t>
      </w:r>
      <w:r w:rsidR="00391E26">
        <w:rPr>
          <w:lang w:val="en-GB"/>
        </w:rPr>
        <w:t>fair and not</w:t>
      </w:r>
      <w:r>
        <w:rPr>
          <w:lang w:val="en-GB"/>
        </w:rPr>
        <w:t xml:space="preserve"> unreasonable</w:t>
      </w:r>
      <w:r w:rsidR="00391E26">
        <w:rPr>
          <w:lang w:val="en-GB"/>
        </w:rPr>
        <w:t xml:space="preserve"> as compared with the full value of the shares</w:t>
      </w:r>
      <w:r w:rsidRPr="009D46A2" w:rsidR="004E3118">
        <w:rPr>
          <w:lang w:val="en-GB"/>
        </w:rPr>
        <w:t>.</w:t>
      </w:r>
    </w:p>
    <w:p w:rsidRPr="00526C5E" w:rsidR="00526C5E" w:rsidP="00526C5E" w:rsidRDefault="00B049B0">
      <w:pPr>
        <w:pStyle w:val="JuPara"/>
        <w:rPr>
          <w:szCs w:val="24"/>
          <w:lang w:val="en-GB"/>
        </w:rPr>
      </w:pPr>
      <w:r w:rsidRPr="00B049B0">
        <w:rPr>
          <w:lang w:val="en-GB"/>
        </w:rPr>
        <w:t xml:space="preserve">The Court has held that less than full compensation may also be necessary </w:t>
      </w:r>
      <w:r w:rsidRPr="00B049B0">
        <w:rPr>
          <w:i/>
          <w:lang w:val="en-GB"/>
        </w:rPr>
        <w:t>a fortiori</w:t>
      </w:r>
      <w:r w:rsidRPr="00B049B0">
        <w:rPr>
          <w:lang w:val="en-GB"/>
        </w:rPr>
        <w:t xml:space="preserve"> where property</w:t>
      </w:r>
      <w:r w:rsidR="000C4F8F">
        <w:rPr>
          <w:lang w:val="en-GB"/>
        </w:rPr>
        <w:t xml:space="preserve"> is taken for the purposes of “</w:t>
      </w:r>
      <w:r w:rsidRPr="00B049B0">
        <w:rPr>
          <w:lang w:val="en-GB"/>
        </w:rPr>
        <w:t>such fundamental changes of a country</w:t>
      </w:r>
      <w:r w:rsidR="00E6191D">
        <w:rPr>
          <w:lang w:val="en-GB"/>
        </w:rPr>
        <w:t>’</w:t>
      </w:r>
      <w:r w:rsidRPr="00B049B0">
        <w:rPr>
          <w:lang w:val="en-GB"/>
        </w:rPr>
        <w:t>s constitutional system as the transition from monarchy to republic</w:t>
      </w:r>
      <w:r w:rsidR="000C4F8F">
        <w:rPr>
          <w:lang w:val="en-GB"/>
        </w:rPr>
        <w:t>”</w:t>
      </w:r>
      <w:r w:rsidRPr="00B049B0">
        <w:rPr>
          <w:lang w:val="en-GB"/>
        </w:rPr>
        <w:t xml:space="preserve"> </w:t>
      </w:r>
      <w:r w:rsidRPr="00B049B0" w:rsidR="004E3118">
        <w:rPr>
          <w:lang w:val="en-GB"/>
        </w:rPr>
        <w:t>(</w:t>
      </w:r>
      <w:r w:rsidRPr="00B049B0">
        <w:rPr>
          <w:lang w:val="en-GB"/>
        </w:rPr>
        <w:t xml:space="preserve">see </w:t>
      </w:r>
      <w:r w:rsidRPr="00B049B0">
        <w:rPr>
          <w:i/>
          <w:lang w:val="en-GB"/>
        </w:rPr>
        <w:t xml:space="preserve">The </w:t>
      </w:r>
      <w:r w:rsidR="00407812">
        <w:rPr>
          <w:i/>
          <w:lang w:val="en-GB"/>
        </w:rPr>
        <w:t>f</w:t>
      </w:r>
      <w:r w:rsidRPr="00B049B0">
        <w:rPr>
          <w:i/>
          <w:lang w:val="en-GB"/>
        </w:rPr>
        <w:t>ormer King of Greece</w:t>
      </w:r>
      <w:r>
        <w:rPr>
          <w:lang w:val="en-GB"/>
        </w:rPr>
        <w:t>,</w:t>
      </w:r>
      <w:r w:rsidRPr="00B049B0">
        <w:rPr>
          <w:i/>
          <w:lang w:val="en-GB"/>
        </w:rPr>
        <w:t xml:space="preserve"> </w:t>
      </w:r>
      <w:r w:rsidRPr="00B049B0">
        <w:rPr>
          <w:lang w:val="en-GB"/>
        </w:rPr>
        <w:t>cited abov</w:t>
      </w:r>
      <w:r>
        <w:rPr>
          <w:lang w:val="en-GB"/>
        </w:rPr>
        <w:t>e</w:t>
      </w:r>
      <w:r w:rsidR="00AB176B">
        <w:rPr>
          <w:lang w:val="en-GB"/>
        </w:rPr>
        <w:t>, § </w:t>
      </w:r>
      <w:r w:rsidRPr="00B049B0" w:rsidR="004E3118">
        <w:rPr>
          <w:lang w:val="en-GB"/>
        </w:rPr>
        <w:t>8</w:t>
      </w:r>
      <w:r w:rsidR="009F4EF8">
        <w:rPr>
          <w:lang w:val="en-GB"/>
        </w:rPr>
        <w:t>7</w:t>
      </w:r>
      <w:r w:rsidRPr="00B049B0" w:rsidR="004E3118">
        <w:rPr>
          <w:lang w:val="en-GB"/>
        </w:rPr>
        <w:t xml:space="preserve">). </w:t>
      </w:r>
      <w:r w:rsidRPr="00B049B0">
        <w:rPr>
          <w:lang w:val="en-GB"/>
        </w:rPr>
        <w:t>The State has a wide margin of appreciation when enacting laws in the</w:t>
      </w:r>
      <w:r w:rsidRPr="00B049B0" w:rsidR="004E3118">
        <w:rPr>
          <w:lang w:val="en-GB"/>
        </w:rPr>
        <w:t xml:space="preserve"> context</w:t>
      </w:r>
      <w:r>
        <w:rPr>
          <w:lang w:val="en-GB"/>
        </w:rPr>
        <w:t xml:space="preserve"> of a change of political and economic re</w:t>
      </w:r>
      <w:r w:rsidRPr="00B049B0" w:rsidR="004E3118">
        <w:rPr>
          <w:lang w:val="en-GB"/>
        </w:rPr>
        <w:t>gime (</w:t>
      </w:r>
      <w:r>
        <w:rPr>
          <w:lang w:val="en-GB"/>
        </w:rPr>
        <w:t>see</w:t>
      </w:r>
      <w:r w:rsidRPr="00B049B0" w:rsidR="004E3118">
        <w:rPr>
          <w:lang w:val="en-GB"/>
        </w:rPr>
        <w:t xml:space="preserve">, </w:t>
      </w:r>
      <w:r>
        <w:rPr>
          <w:lang w:val="en-GB"/>
        </w:rPr>
        <w:t>in particular,</w:t>
      </w:r>
      <w:r w:rsidRPr="00B049B0" w:rsidR="004E3118">
        <w:rPr>
          <w:lang w:val="en-GB"/>
        </w:rPr>
        <w:t xml:space="preserve"> </w:t>
      </w:r>
      <w:r w:rsidRPr="00B049B0" w:rsidR="004E3118">
        <w:rPr>
          <w:i/>
          <w:lang w:val="en-GB"/>
        </w:rPr>
        <w:t xml:space="preserve">Kopecký </w:t>
      </w:r>
      <w:r>
        <w:rPr>
          <w:i/>
          <w:lang w:val="en-GB"/>
        </w:rPr>
        <w:t>v</w:t>
      </w:r>
      <w:r w:rsidRPr="00B049B0" w:rsidR="004E3118">
        <w:rPr>
          <w:i/>
          <w:lang w:val="en-GB"/>
        </w:rPr>
        <w:t>. Slova</w:t>
      </w:r>
      <w:r>
        <w:rPr>
          <w:i/>
          <w:lang w:val="en-GB"/>
        </w:rPr>
        <w:t>kia</w:t>
      </w:r>
      <w:r w:rsidRPr="00B049B0" w:rsidR="004E3118">
        <w:rPr>
          <w:lang w:val="en-GB"/>
        </w:rPr>
        <w:t xml:space="preserve"> [GC], </w:t>
      </w:r>
      <w:r>
        <w:rPr>
          <w:lang w:val="en-GB"/>
        </w:rPr>
        <w:t>no.</w:t>
      </w:r>
      <w:r w:rsidRPr="00B049B0" w:rsidR="004E3118">
        <w:rPr>
          <w:lang w:val="en-GB"/>
        </w:rPr>
        <w:t xml:space="preserve"> 44912/98, § 35, </w:t>
      </w:r>
      <w:r>
        <w:rPr>
          <w:lang w:val="en-GB"/>
        </w:rPr>
        <w:t>ECHR</w:t>
      </w:r>
      <w:r w:rsidRPr="00B049B0" w:rsidR="004E3118">
        <w:rPr>
          <w:lang w:val="en-GB"/>
        </w:rPr>
        <w:t xml:space="preserve"> 2004-IX). </w:t>
      </w:r>
      <w:r w:rsidRPr="00026CBF" w:rsidR="006D116D">
        <w:rPr>
          <w:lang w:val="en-GB"/>
        </w:rPr>
        <w:t>The</w:t>
      </w:r>
      <w:r w:rsidRPr="00026CBF" w:rsidR="004E3118">
        <w:rPr>
          <w:lang w:val="en-GB"/>
        </w:rPr>
        <w:t xml:space="preserve"> Cour</w:t>
      </w:r>
      <w:r w:rsidRPr="00026CBF" w:rsidR="006D116D">
        <w:rPr>
          <w:lang w:val="en-GB"/>
        </w:rPr>
        <w:t xml:space="preserve">t </w:t>
      </w:r>
      <w:r w:rsidRPr="00026CBF" w:rsidR="00026CBF">
        <w:rPr>
          <w:lang w:val="en-GB"/>
        </w:rPr>
        <w:t xml:space="preserve">has </w:t>
      </w:r>
      <w:r w:rsidRPr="00026CBF" w:rsidR="006D116D">
        <w:rPr>
          <w:lang w:val="en-GB"/>
        </w:rPr>
        <w:t xml:space="preserve">reaffirmed this </w:t>
      </w:r>
      <w:r w:rsidRPr="00026CBF" w:rsidR="004E3118">
        <w:rPr>
          <w:lang w:val="en-GB"/>
        </w:rPr>
        <w:t>princip</w:t>
      </w:r>
      <w:r w:rsidRPr="00026CBF" w:rsidR="006D116D">
        <w:rPr>
          <w:lang w:val="en-GB"/>
        </w:rPr>
        <w:t>l</w:t>
      </w:r>
      <w:r w:rsidRPr="00026CBF" w:rsidR="004E3118">
        <w:rPr>
          <w:lang w:val="en-GB"/>
        </w:rPr>
        <w:t xml:space="preserve">e </w:t>
      </w:r>
      <w:r w:rsidRPr="00026CBF" w:rsidR="006D116D">
        <w:rPr>
          <w:lang w:val="en-GB"/>
        </w:rPr>
        <w:t xml:space="preserve">in </w:t>
      </w:r>
      <w:r w:rsidRPr="00026CBF" w:rsidR="004E3118">
        <w:rPr>
          <w:i/>
          <w:lang w:val="en-GB" w:eastAsia="en-US"/>
        </w:rPr>
        <w:t xml:space="preserve">Broniowski </w:t>
      </w:r>
      <w:r w:rsidRPr="00026CBF" w:rsidR="004E3118">
        <w:rPr>
          <w:lang w:val="en-GB"/>
        </w:rPr>
        <w:t>(</w:t>
      </w:r>
      <w:r w:rsidRPr="00026CBF" w:rsidR="006D116D">
        <w:rPr>
          <w:lang w:val="en-GB"/>
        </w:rPr>
        <w:t>cited above</w:t>
      </w:r>
      <w:r w:rsidRPr="00026CBF" w:rsidR="004E3118">
        <w:rPr>
          <w:lang w:val="en-GB"/>
        </w:rPr>
        <w:t xml:space="preserve">, § 182), </w:t>
      </w:r>
      <w:r w:rsidRPr="00026CBF" w:rsidR="00D00526">
        <w:rPr>
          <w:lang w:val="en-GB"/>
        </w:rPr>
        <w:t>in the context</w:t>
      </w:r>
      <w:r w:rsidRPr="00026CBF" w:rsidR="004E3118">
        <w:rPr>
          <w:lang w:val="en-GB"/>
        </w:rPr>
        <w:t xml:space="preserve"> </w:t>
      </w:r>
      <w:r w:rsidR="00026CBF">
        <w:rPr>
          <w:lang w:val="en-GB"/>
        </w:rPr>
        <w:t>of the country</w:t>
      </w:r>
      <w:r w:rsidR="00E6191D">
        <w:rPr>
          <w:lang w:val="en-GB"/>
        </w:rPr>
        <w:t>’</w:t>
      </w:r>
      <w:r w:rsidR="00026CBF">
        <w:rPr>
          <w:lang w:val="en-GB"/>
        </w:rPr>
        <w:t>s</w:t>
      </w:r>
      <w:r w:rsidRPr="00026CBF" w:rsidR="004E3118">
        <w:rPr>
          <w:lang w:val="en-GB"/>
        </w:rPr>
        <w:t xml:space="preserve"> transition </w:t>
      </w:r>
      <w:r w:rsidR="00026CBF">
        <w:rPr>
          <w:lang w:val="en-GB"/>
        </w:rPr>
        <w:t>towards a democratic re</w:t>
      </w:r>
      <w:r w:rsidRPr="00026CBF" w:rsidR="004E3118">
        <w:rPr>
          <w:lang w:val="en-GB"/>
        </w:rPr>
        <w:t xml:space="preserve">gime, </w:t>
      </w:r>
      <w:r w:rsidR="00526C5E">
        <w:rPr>
          <w:lang w:val="en-GB"/>
        </w:rPr>
        <w:t>and has specified that rules</w:t>
      </w:r>
      <w:r w:rsidRPr="00026CBF" w:rsidR="004E3118">
        <w:rPr>
          <w:lang w:val="en-GB"/>
        </w:rPr>
        <w:t xml:space="preserve"> </w:t>
      </w:r>
      <w:r w:rsidR="00526C5E">
        <w:rPr>
          <w:lang w:val="en-GB"/>
        </w:rPr>
        <w:t xml:space="preserve">regulating </w:t>
      </w:r>
      <w:r w:rsidRPr="00026CBF" w:rsidR="00526C5E">
        <w:rPr>
          <w:lang w:val="en-GB"/>
        </w:rPr>
        <w:t xml:space="preserve">ownership relations within the country </w:t>
      </w:r>
      <w:r w:rsidR="00526C5E">
        <w:rPr>
          <w:lang w:val="en-GB"/>
        </w:rPr>
        <w:t>“</w:t>
      </w:r>
      <w:r w:rsidRPr="00026CBF" w:rsidR="00026CBF">
        <w:rPr>
          <w:lang w:val="en-GB"/>
        </w:rPr>
        <w:t>involving a wide-reaching but contro</w:t>
      </w:r>
      <w:r w:rsidR="007248F4">
        <w:rPr>
          <w:lang w:val="en-GB"/>
        </w:rPr>
        <w:t>versial legislative scheme with</w:t>
      </w:r>
      <w:r w:rsidR="009E03DC">
        <w:rPr>
          <w:lang w:val="en-GB"/>
        </w:rPr>
        <w:t xml:space="preserve"> </w:t>
      </w:r>
      <w:r w:rsidRPr="00026CBF" w:rsidR="00026CBF">
        <w:rPr>
          <w:lang w:val="en-GB"/>
        </w:rPr>
        <w:t>significant economic impact for the country as a whole</w:t>
      </w:r>
      <w:r w:rsidR="00526C5E">
        <w:rPr>
          <w:lang w:val="en-GB"/>
        </w:rPr>
        <w:t>” could involv</w:t>
      </w:r>
      <w:r w:rsidRPr="00026CBF" w:rsidR="00026CBF">
        <w:rPr>
          <w:lang w:val="en-GB"/>
        </w:rPr>
        <w:t xml:space="preserve">e decisions restricting compensation for the taking or restitution of property to a level below its </w:t>
      </w:r>
      <w:r w:rsidR="00526C5E">
        <w:rPr>
          <w:lang w:val="en-GB"/>
        </w:rPr>
        <w:t>market value</w:t>
      </w:r>
      <w:r w:rsidRPr="00526C5E" w:rsidR="004E3118">
        <w:rPr>
          <w:lang w:val="en-GB"/>
        </w:rPr>
        <w:t xml:space="preserve">. </w:t>
      </w:r>
      <w:r w:rsidRPr="00D00526" w:rsidR="00D00526">
        <w:rPr>
          <w:lang w:val="en-GB"/>
        </w:rPr>
        <w:t>The Court has also reiterated these p</w:t>
      </w:r>
      <w:r w:rsidRPr="00D00526" w:rsidR="004E3118">
        <w:rPr>
          <w:lang w:val="en-GB"/>
        </w:rPr>
        <w:t>rincip</w:t>
      </w:r>
      <w:r w:rsidRPr="00D00526" w:rsidR="00D00526">
        <w:rPr>
          <w:lang w:val="en-GB"/>
        </w:rPr>
        <w:t>l</w:t>
      </w:r>
      <w:r w:rsidRPr="00D00526" w:rsidR="004E3118">
        <w:rPr>
          <w:lang w:val="en-GB"/>
        </w:rPr>
        <w:t xml:space="preserve">es </w:t>
      </w:r>
      <w:r w:rsidRPr="00D00526" w:rsidR="00D00526">
        <w:rPr>
          <w:lang w:val="en-GB"/>
        </w:rPr>
        <w:t xml:space="preserve">regarding the enactment of laws in </w:t>
      </w:r>
      <w:r w:rsidR="00ED231B">
        <w:rPr>
          <w:lang w:val="en-GB"/>
        </w:rPr>
        <w:t>“</w:t>
      </w:r>
      <w:r w:rsidRPr="00D00526" w:rsidR="00D00526">
        <w:rPr>
          <w:lang w:val="en-GB"/>
        </w:rPr>
        <w:t>the</w:t>
      </w:r>
      <w:r w:rsidRPr="00D00526" w:rsidR="004E3118">
        <w:rPr>
          <w:lang w:val="en-GB"/>
        </w:rPr>
        <w:t xml:space="preserve"> </w:t>
      </w:r>
      <w:r w:rsidRPr="00D00526" w:rsidR="00D00526">
        <w:rPr>
          <w:lang w:val="en-GB"/>
        </w:rPr>
        <w:t>exceptional context of German reunification</w:t>
      </w:r>
      <w:r w:rsidR="00ED231B">
        <w:rPr>
          <w:lang w:val="en-GB"/>
        </w:rPr>
        <w:t>”</w:t>
      </w:r>
      <w:r w:rsidRPr="00D00526" w:rsidR="00D00526">
        <w:rPr>
          <w:lang w:val="en-GB"/>
        </w:rPr>
        <w:t xml:space="preserve"> </w:t>
      </w:r>
      <w:r w:rsidRPr="00D00526" w:rsidR="004E3118">
        <w:rPr>
          <w:lang w:val="en-GB"/>
        </w:rPr>
        <w:t>(</w:t>
      </w:r>
      <w:r w:rsidRPr="00D00526" w:rsidR="00D00526">
        <w:rPr>
          <w:lang w:val="en-GB"/>
        </w:rPr>
        <w:t xml:space="preserve">see </w:t>
      </w:r>
      <w:r w:rsidRPr="004C51EE" w:rsidR="00C86E12">
        <w:rPr>
          <w:i/>
          <w:lang w:val="en-GB"/>
        </w:rPr>
        <w:t>V</w:t>
      </w:r>
      <w:r w:rsidRPr="00D00526" w:rsidR="004E3118">
        <w:rPr>
          <w:i/>
          <w:lang w:val="en-GB"/>
        </w:rPr>
        <w:t xml:space="preserve">on Maltzan </w:t>
      </w:r>
      <w:r w:rsidR="00D00526">
        <w:rPr>
          <w:i/>
          <w:lang w:val="en-GB"/>
        </w:rPr>
        <w:t>and Others</w:t>
      </w:r>
      <w:r w:rsidRPr="00D00526" w:rsidR="004E3118">
        <w:rPr>
          <w:i/>
          <w:lang w:val="en-GB"/>
        </w:rPr>
        <w:t xml:space="preserve"> </w:t>
      </w:r>
      <w:r w:rsidR="00D00526">
        <w:rPr>
          <w:i/>
          <w:lang w:val="en-GB"/>
        </w:rPr>
        <w:t>v</w:t>
      </w:r>
      <w:r w:rsidR="004C51EE">
        <w:rPr>
          <w:i/>
          <w:lang w:val="en-GB"/>
        </w:rPr>
        <w:t xml:space="preserve">. </w:t>
      </w:r>
      <w:smartTag w:uri="urn:schemas-microsoft-com:office:smarttags" w:element="country-region">
        <w:smartTag w:uri="urn:schemas-microsoft-com:office:smarttags" w:element="place">
          <w:r w:rsidR="00D00526">
            <w:rPr>
              <w:i/>
              <w:lang w:val="en-GB"/>
            </w:rPr>
            <w:t>Germany</w:t>
          </w:r>
        </w:smartTag>
      </w:smartTag>
      <w:r w:rsidRPr="00D00526" w:rsidR="004E3118">
        <w:rPr>
          <w:i/>
          <w:lang w:val="en-GB"/>
        </w:rPr>
        <w:t xml:space="preserve"> </w:t>
      </w:r>
      <w:r w:rsidR="00D00526">
        <w:rPr>
          <w:lang w:val="en-GB"/>
        </w:rPr>
        <w:t>(de</w:t>
      </w:r>
      <w:r w:rsidRPr="00D00526" w:rsidR="004E3118">
        <w:rPr>
          <w:lang w:val="en-GB"/>
        </w:rPr>
        <w:t xml:space="preserve">c.) </w:t>
      </w:r>
      <w:r w:rsidRPr="00526C5E" w:rsidR="004E3118">
        <w:rPr>
          <w:lang w:val="en-GB"/>
        </w:rPr>
        <w:t xml:space="preserve">[GC], </w:t>
      </w:r>
      <w:r w:rsidRPr="00526C5E" w:rsidR="00D00526">
        <w:rPr>
          <w:lang w:val="en-GB"/>
        </w:rPr>
        <w:t>nos.</w:t>
      </w:r>
      <w:r w:rsidR="007E6554">
        <w:rPr>
          <w:lang w:val="en-GB"/>
        </w:rPr>
        <w:t> </w:t>
      </w:r>
      <w:r w:rsidRPr="00526C5E" w:rsidR="004E3118">
        <w:rPr>
          <w:lang w:val="en-GB"/>
        </w:rPr>
        <w:t xml:space="preserve">71916/01, 71917/01 </w:t>
      </w:r>
      <w:r w:rsidRPr="00526C5E" w:rsidR="00D00526">
        <w:rPr>
          <w:lang w:val="en-GB"/>
        </w:rPr>
        <w:t>and</w:t>
      </w:r>
      <w:r w:rsidRPr="00526C5E" w:rsidR="004E3118">
        <w:rPr>
          <w:lang w:val="en-GB"/>
        </w:rPr>
        <w:t xml:space="preserve"> 10260/02, §§ 77</w:t>
      </w:r>
      <w:r w:rsidRPr="00526C5E" w:rsidR="00526C5E">
        <w:rPr>
          <w:lang w:val="en-GB"/>
        </w:rPr>
        <w:t xml:space="preserve"> and </w:t>
      </w:r>
      <w:r w:rsidRPr="00526C5E" w:rsidR="00D00526">
        <w:rPr>
          <w:lang w:val="en-GB"/>
        </w:rPr>
        <w:t>111-</w:t>
      </w:r>
      <w:r w:rsidRPr="00526C5E" w:rsidR="004E3118">
        <w:rPr>
          <w:lang w:val="en-GB"/>
        </w:rPr>
        <w:t xml:space="preserve">12, </w:t>
      </w:r>
      <w:r w:rsidRPr="00526C5E" w:rsidR="00D00526">
        <w:rPr>
          <w:lang w:val="en-GB"/>
        </w:rPr>
        <w:t>ECHR</w:t>
      </w:r>
      <w:r w:rsidRPr="00526C5E" w:rsidR="00526C5E">
        <w:rPr>
          <w:lang w:val="en-GB"/>
        </w:rPr>
        <w:t xml:space="preserve"> 2005</w:t>
      </w:r>
      <w:r w:rsidR="009F4EF8">
        <w:rPr>
          <w:lang w:val="en-GB"/>
        </w:rPr>
        <w:t>-V</w:t>
      </w:r>
      <w:r w:rsidRPr="00526C5E" w:rsidR="00526C5E">
        <w:rPr>
          <w:lang w:val="en-GB"/>
        </w:rPr>
        <w:t>, and</w:t>
      </w:r>
      <w:r w:rsidRPr="00526C5E" w:rsidR="004E3118">
        <w:rPr>
          <w:lang w:val="en-GB"/>
        </w:rPr>
        <w:t xml:space="preserve"> </w:t>
      </w:r>
      <w:r w:rsidRPr="00526C5E" w:rsidR="00526C5E">
        <w:rPr>
          <w:i/>
          <w:szCs w:val="24"/>
          <w:lang w:val="en-GB"/>
        </w:rPr>
        <w:t>Jahn and Others</w:t>
      </w:r>
      <w:r w:rsidR="00407812">
        <w:rPr>
          <w:szCs w:val="24"/>
          <w:lang w:val="en-GB"/>
        </w:rPr>
        <w:t>,</w:t>
      </w:r>
      <w:r w:rsidRPr="00526C5E" w:rsidR="00526C5E">
        <w:rPr>
          <w:i/>
          <w:szCs w:val="24"/>
          <w:lang w:val="en-GB"/>
        </w:rPr>
        <w:t xml:space="preserve"> </w:t>
      </w:r>
      <w:r w:rsidR="00B4482B">
        <w:rPr>
          <w:szCs w:val="24"/>
          <w:lang w:val="en-GB"/>
        </w:rPr>
        <w:t>cited above</w:t>
      </w:r>
      <w:r w:rsidR="00526C5E">
        <w:rPr>
          <w:szCs w:val="24"/>
          <w:lang w:val="en-GB"/>
        </w:rPr>
        <w:t>).</w:t>
      </w:r>
    </w:p>
    <w:p w:rsidRPr="000C4F8F" w:rsidR="004E3118" w:rsidP="004E3118" w:rsidRDefault="000C4F8F">
      <w:pPr>
        <w:pStyle w:val="JuPara"/>
        <w:rPr>
          <w:lang w:val="en-GB"/>
        </w:rPr>
      </w:pPr>
      <w:r w:rsidRPr="00526C5E">
        <w:rPr>
          <w:lang w:val="en-GB"/>
        </w:rPr>
        <w:t>Lastly</w:t>
      </w:r>
      <w:r w:rsidRPr="00526C5E" w:rsidR="004E3118">
        <w:rPr>
          <w:lang w:val="en-GB"/>
        </w:rPr>
        <w:t xml:space="preserve">, </w:t>
      </w:r>
      <w:r w:rsidRPr="00526C5E">
        <w:rPr>
          <w:lang w:val="en-GB"/>
        </w:rPr>
        <w:t xml:space="preserve">in </w:t>
      </w:r>
      <w:r w:rsidRPr="00526C5E" w:rsidR="004E3118">
        <w:rPr>
          <w:i/>
          <w:lang w:val="en-GB"/>
        </w:rPr>
        <w:t>Papachelas</w:t>
      </w:r>
      <w:r w:rsidR="009F4EF8">
        <w:rPr>
          <w:i/>
          <w:lang w:val="en-GB"/>
        </w:rPr>
        <w:t xml:space="preserve"> </w:t>
      </w:r>
      <w:r w:rsidR="009F4EF8">
        <w:rPr>
          <w:lang w:val="en-GB"/>
        </w:rPr>
        <w:t>(cited above</w:t>
      </w:r>
      <w:r w:rsidRPr="00526C5E" w:rsidR="004E3118">
        <w:rPr>
          <w:lang w:val="en-GB" w:eastAsia="en-US"/>
        </w:rPr>
        <w:t xml:space="preserve">), </w:t>
      </w:r>
      <w:r w:rsidRPr="00526C5E" w:rsidR="00526C5E">
        <w:rPr>
          <w:lang w:val="en-GB" w:eastAsia="en-US"/>
        </w:rPr>
        <w:t>the issue concerned the e</w:t>
      </w:r>
      <w:r w:rsidRPr="00526C5E" w:rsidR="004E3118">
        <w:rPr>
          <w:lang w:val="en-GB" w:eastAsia="en-US"/>
        </w:rPr>
        <w:t xml:space="preserve">xpropriation </w:t>
      </w:r>
      <w:r w:rsidRPr="00526C5E" w:rsidR="00526C5E">
        <w:rPr>
          <w:lang w:val="en-GB" w:eastAsia="en-US"/>
        </w:rPr>
        <w:t>of more than</w:t>
      </w:r>
      <w:r w:rsidR="00526C5E">
        <w:rPr>
          <w:lang w:val="en-GB" w:eastAsia="en-US"/>
        </w:rPr>
        <w:t xml:space="preserve"> </w:t>
      </w:r>
      <w:r w:rsidRPr="00526C5E" w:rsidR="004E3118">
        <w:rPr>
          <w:lang w:val="en-GB" w:eastAsia="en-US"/>
        </w:rPr>
        <w:t xml:space="preserve">150 </w:t>
      </w:r>
      <w:r w:rsidR="00526C5E">
        <w:rPr>
          <w:lang w:val="en-GB" w:eastAsia="en-US"/>
        </w:rPr>
        <w:t>properties</w:t>
      </w:r>
      <w:r w:rsidRPr="00526C5E" w:rsidR="004E3118">
        <w:rPr>
          <w:lang w:val="en-GB" w:eastAsia="en-US"/>
        </w:rPr>
        <w:t xml:space="preserve">, </w:t>
      </w:r>
      <w:r w:rsidR="00526C5E">
        <w:rPr>
          <w:lang w:val="en-GB" w:eastAsia="en-US"/>
        </w:rPr>
        <w:t>including part of the applicants</w:t>
      </w:r>
      <w:r w:rsidR="00E6191D">
        <w:rPr>
          <w:lang w:val="en-GB" w:eastAsia="en-US"/>
        </w:rPr>
        <w:t>’</w:t>
      </w:r>
      <w:r w:rsidR="00526C5E">
        <w:rPr>
          <w:lang w:val="en-GB" w:eastAsia="en-US"/>
        </w:rPr>
        <w:t xml:space="preserve"> property</w:t>
      </w:r>
      <w:r w:rsidRPr="00526C5E" w:rsidR="004E3118">
        <w:rPr>
          <w:lang w:val="en-GB" w:eastAsia="en-US"/>
        </w:rPr>
        <w:t xml:space="preserve">, </w:t>
      </w:r>
      <w:r w:rsidR="00526C5E">
        <w:rPr>
          <w:lang w:val="en-GB" w:eastAsia="en-US"/>
        </w:rPr>
        <w:t>for the purposes of building a major road</w:t>
      </w:r>
      <w:r w:rsidRPr="00526C5E" w:rsidR="004E3118">
        <w:rPr>
          <w:lang w:val="en-GB" w:eastAsia="en-US"/>
        </w:rPr>
        <w:t xml:space="preserve">. </w:t>
      </w:r>
      <w:r w:rsidRPr="000C4F8F">
        <w:rPr>
          <w:lang w:val="en-GB" w:eastAsia="en-US"/>
        </w:rPr>
        <w:t>The Court held that the compensation awarded to the applicants had not upset the fair balance</w:t>
      </w:r>
      <w:r w:rsidR="007248F4">
        <w:rPr>
          <w:lang w:val="en-GB" w:eastAsia="en-US"/>
        </w:rPr>
        <w:t xml:space="preserve"> between the opposing interests</w:t>
      </w:r>
      <w:r w:rsidRPr="000C4F8F" w:rsidR="004E3118">
        <w:rPr>
          <w:lang w:val="en-GB" w:eastAsia="en-US"/>
        </w:rPr>
        <w:t xml:space="preserve">, </w:t>
      </w:r>
      <w:r>
        <w:rPr>
          <w:lang w:val="en-GB" w:eastAsia="en-US"/>
        </w:rPr>
        <w:t>since it was</w:t>
      </w:r>
      <w:r w:rsidRPr="000C4F8F">
        <w:rPr>
          <w:lang w:val="en-GB" w:eastAsia="en-US"/>
        </w:rPr>
        <w:t xml:space="preserve"> </w:t>
      </w:r>
      <w:r>
        <w:rPr>
          <w:lang w:val="en-GB" w:eastAsia="en-US"/>
        </w:rPr>
        <w:t>only</w:t>
      </w:r>
      <w:r w:rsidRPr="000C4F8F">
        <w:rPr>
          <w:lang w:val="en-GB" w:eastAsia="en-US"/>
        </w:rPr>
        <w:t xml:space="preserve"> 1,</w:t>
      </w:r>
      <w:r w:rsidRPr="000C4F8F" w:rsidR="004E3118">
        <w:rPr>
          <w:lang w:val="en-GB" w:eastAsia="en-US"/>
        </w:rPr>
        <w:t>621</w:t>
      </w:r>
      <w:r w:rsidR="009512BB">
        <w:rPr>
          <w:lang w:val="en-GB" w:eastAsia="en-US"/>
        </w:rPr>
        <w:t xml:space="preserve"> </w:t>
      </w:r>
      <w:r w:rsidR="00407812">
        <w:rPr>
          <w:lang w:val="en-GB" w:eastAsia="en-US"/>
        </w:rPr>
        <w:t>Greek drachma</w:t>
      </w:r>
      <w:r w:rsidR="009F4EF8">
        <w:rPr>
          <w:lang w:val="en-GB" w:eastAsia="en-US"/>
        </w:rPr>
        <w:t>s</w:t>
      </w:r>
      <w:r w:rsidR="00407812">
        <w:rPr>
          <w:lang w:val="en-GB" w:eastAsia="en-US"/>
        </w:rPr>
        <w:t xml:space="preserve"> </w:t>
      </w:r>
      <w:r w:rsidR="00B767E4">
        <w:rPr>
          <w:lang w:val="en-GB" w:eastAsia="en-US"/>
        </w:rPr>
        <w:t xml:space="preserve">per </w:t>
      </w:r>
      <w:r w:rsidR="00D076AF">
        <w:rPr>
          <w:lang w:val="en-GB" w:eastAsia="en-US"/>
        </w:rPr>
        <w:t>square metre</w:t>
      </w:r>
      <w:r w:rsidRPr="000C4F8F" w:rsidR="004E3118">
        <w:rPr>
          <w:lang w:val="en-GB" w:eastAsia="en-US"/>
        </w:rPr>
        <w:t xml:space="preserve"> </w:t>
      </w:r>
      <w:r>
        <w:rPr>
          <w:lang w:val="en-GB" w:eastAsia="en-US"/>
        </w:rPr>
        <w:t>less than the value of the land</w:t>
      </w:r>
      <w:r w:rsidRPr="000C4F8F" w:rsidR="004E3118">
        <w:rPr>
          <w:lang w:val="en-GB" w:eastAsia="en-US"/>
        </w:rPr>
        <w:t xml:space="preserve"> </w:t>
      </w:r>
      <w:r w:rsidR="007248F4">
        <w:rPr>
          <w:lang w:val="en-GB" w:eastAsia="en-US"/>
        </w:rPr>
        <w:t>as estimated by the</w:t>
      </w:r>
      <w:r w:rsidRPr="000C4F8F" w:rsidR="004E3118">
        <w:rPr>
          <w:lang w:val="en-GB" w:eastAsia="en-US"/>
        </w:rPr>
        <w:t xml:space="preserve"> </w:t>
      </w:r>
      <w:r w:rsidRPr="000C4F8F">
        <w:rPr>
          <w:lang w:val="en-GB" w:eastAsia="en-US"/>
        </w:rPr>
        <w:t>Association of Sworn Valuers</w:t>
      </w:r>
      <w:r w:rsidRPr="000C4F8F" w:rsidR="004E3118">
        <w:rPr>
          <w:lang w:val="en-GB" w:eastAsia="en-US"/>
        </w:rPr>
        <w:t>.</w:t>
      </w:r>
    </w:p>
    <w:p w:rsidRPr="00824B80" w:rsidR="004E3118" w:rsidP="000C4F8F" w:rsidRDefault="00143E15">
      <w:pPr>
        <w:pStyle w:val="JuHalpha"/>
        <w:rPr>
          <w:lang w:val="en-GB"/>
        </w:rPr>
      </w:pPr>
      <w:r>
        <w:rPr>
          <w:rStyle w:val="JuHChar"/>
          <w:b/>
          <w:i w:val="0"/>
        </w:rPr>
        <w:t>(</w:t>
      </w:r>
      <w:r w:rsidRPr="00C2011C" w:rsidR="004C51EE">
        <w:t>β</w:t>
      </w:r>
      <w:r w:rsidR="0036220C">
        <w:rPr>
          <w:rStyle w:val="JuHChar"/>
          <w:b/>
          <w:i w:val="0"/>
        </w:rPr>
        <w:t>)</w:t>
      </w:r>
      <w:r w:rsidRPr="000C4F8F" w:rsidR="004E3118">
        <w:rPr>
          <w:rStyle w:val="JuHChar"/>
          <w:b/>
          <w:i w:val="0"/>
        </w:rPr>
        <w:t>  </w:t>
      </w:r>
      <w:r w:rsidRPr="00824B80" w:rsidR="004E3118">
        <w:rPr>
          <w:lang w:val="en-GB"/>
        </w:rPr>
        <w:t xml:space="preserve">Application </w:t>
      </w:r>
      <w:r w:rsidRPr="00824B80" w:rsidR="000C4F8F">
        <w:rPr>
          <w:lang w:val="en-GB"/>
        </w:rPr>
        <w:t>of</w:t>
      </w:r>
      <w:r w:rsidRPr="00824B80" w:rsidR="004E3118">
        <w:rPr>
          <w:lang w:val="en-GB"/>
        </w:rPr>
        <w:t xml:space="preserve"> </w:t>
      </w:r>
      <w:r w:rsidRPr="00824B80" w:rsidR="000C4F8F">
        <w:rPr>
          <w:lang w:val="en-GB"/>
        </w:rPr>
        <w:t>the foregoing</w:t>
      </w:r>
      <w:r w:rsidRPr="00824B80" w:rsidR="004E3118">
        <w:rPr>
          <w:lang w:val="en-GB"/>
        </w:rPr>
        <w:t xml:space="preserve"> princip</w:t>
      </w:r>
      <w:r w:rsidRPr="00824B80" w:rsidR="000C4F8F">
        <w:rPr>
          <w:lang w:val="en-GB"/>
        </w:rPr>
        <w:t>l</w:t>
      </w:r>
      <w:r w:rsidRPr="00824B80" w:rsidR="004E3118">
        <w:rPr>
          <w:lang w:val="en-GB"/>
        </w:rPr>
        <w:t xml:space="preserve">es </w:t>
      </w:r>
      <w:r w:rsidRPr="00824B80" w:rsidR="000C4F8F">
        <w:rPr>
          <w:lang w:val="en-GB"/>
        </w:rPr>
        <w:t>to the present</w:t>
      </w:r>
      <w:r w:rsidRPr="00824B80" w:rsidR="004E3118">
        <w:rPr>
          <w:lang w:val="en-GB"/>
        </w:rPr>
        <w:t xml:space="preserve"> cas</w:t>
      </w:r>
      <w:r w:rsidRPr="00824B80" w:rsidR="000C4F8F">
        <w:rPr>
          <w:lang w:val="en-GB"/>
        </w:rPr>
        <w:t>e</w:t>
      </w:r>
    </w:p>
    <w:p w:rsidRPr="000C4F8F" w:rsidR="000C4F8F" w:rsidP="000C4F8F" w:rsidRDefault="000C4F8F">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99</w:t>
      </w:r>
      <w:r w:rsidRPr="00C2011C">
        <w:fldChar w:fldCharType="end"/>
      </w:r>
      <w:r w:rsidRPr="00824B80">
        <w:rPr>
          <w:lang w:val="en-GB"/>
        </w:rPr>
        <w:t>.  </w:t>
      </w:r>
      <w:r w:rsidRPr="000C4F8F">
        <w:rPr>
          <w:lang w:val="en-GB"/>
        </w:rPr>
        <w:t>In the instant case, having regard to the fact that it has already been established that the interference in question satisfied the requirement of lawfulness and was not arbitrary, less than full compensation does not make the taking of the applicants</w:t>
      </w:r>
      <w:r w:rsidR="00E6191D">
        <w:rPr>
          <w:lang w:val="en-GB"/>
        </w:rPr>
        <w:t>’</w:t>
      </w:r>
      <w:r w:rsidRPr="000C4F8F">
        <w:rPr>
          <w:lang w:val="en-GB"/>
        </w:rPr>
        <w:t xml:space="preserve"> property </w:t>
      </w:r>
      <w:r w:rsidRPr="000C4F8F">
        <w:rPr>
          <w:i/>
          <w:lang w:val="en-GB"/>
        </w:rPr>
        <w:t>eo ipso</w:t>
      </w:r>
      <w:r w:rsidRPr="000C4F8F">
        <w:rPr>
          <w:lang w:val="en-GB"/>
        </w:rPr>
        <w:t xml:space="preserve"> wrongful (</w:t>
      </w:r>
      <w:r>
        <w:rPr>
          <w:lang w:val="en-GB"/>
        </w:rPr>
        <w:t>see</w:t>
      </w:r>
      <w:r w:rsidRPr="000C4F8F">
        <w:rPr>
          <w:lang w:val="en-GB"/>
        </w:rPr>
        <w:t xml:space="preserve">, </w:t>
      </w:r>
      <w:r w:rsidRPr="000C4F8F">
        <w:rPr>
          <w:i/>
          <w:lang w:val="en-GB"/>
        </w:rPr>
        <w:t>mutatis mutandis</w:t>
      </w:r>
      <w:r w:rsidRPr="000C4F8F">
        <w:rPr>
          <w:lang w:val="en-GB"/>
        </w:rPr>
        <w:t xml:space="preserve">, </w:t>
      </w:r>
      <w:r w:rsidRPr="000C4F8F">
        <w:rPr>
          <w:i/>
          <w:lang w:val="en-GB"/>
        </w:rPr>
        <w:t xml:space="preserve">The </w:t>
      </w:r>
      <w:r w:rsidR="00143E15">
        <w:rPr>
          <w:i/>
          <w:lang w:val="en-GB"/>
        </w:rPr>
        <w:t>f</w:t>
      </w:r>
      <w:r w:rsidRPr="000C4F8F">
        <w:rPr>
          <w:i/>
          <w:lang w:val="en-GB"/>
        </w:rPr>
        <w:t>ormer King of Greece and Others</w:t>
      </w:r>
      <w:r w:rsidR="001530ED">
        <w:rPr>
          <w:i/>
          <w:lang w:val="en-GB"/>
        </w:rPr>
        <w:t xml:space="preserve"> </w:t>
      </w:r>
      <w:r w:rsidR="001530ED">
        <w:rPr>
          <w:lang w:val="en-GB"/>
        </w:rPr>
        <w:t>(just satisfaction)</w:t>
      </w:r>
      <w:r>
        <w:rPr>
          <w:lang w:val="en-GB"/>
        </w:rPr>
        <w:t>,</w:t>
      </w:r>
      <w:r w:rsidRPr="000C4F8F">
        <w:rPr>
          <w:i/>
          <w:lang w:val="en-GB"/>
        </w:rPr>
        <w:t xml:space="preserve"> </w:t>
      </w:r>
      <w:r>
        <w:rPr>
          <w:lang w:val="en-GB"/>
        </w:rPr>
        <w:t>cited above</w:t>
      </w:r>
      <w:r w:rsidR="005347B8">
        <w:rPr>
          <w:lang w:val="en-GB"/>
        </w:rPr>
        <w:t xml:space="preserve">, § </w:t>
      </w:r>
      <w:r w:rsidRPr="000C4F8F">
        <w:rPr>
          <w:lang w:val="en-GB"/>
        </w:rPr>
        <w:t>78). Accordingly, it remains to be determined whether, in the context of a lawful deprivation of property, the applicants had to bear a disproportionate and excessive burden.</w:t>
      </w:r>
    </w:p>
    <w:p w:rsidRPr="00C65E64" w:rsidR="000C4F8F" w:rsidP="000C4F8F" w:rsidRDefault="000C4F8F">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100</w:t>
      </w:r>
      <w:r w:rsidRPr="00C2011C">
        <w:fldChar w:fldCharType="end"/>
      </w:r>
      <w:r w:rsidRPr="00824B80">
        <w:rPr>
          <w:lang w:val="en-GB"/>
        </w:rPr>
        <w:t>.  </w:t>
      </w:r>
      <w:r w:rsidRPr="005942C6" w:rsidR="005942C6">
        <w:rPr>
          <w:lang w:val="en-GB"/>
        </w:rPr>
        <w:t>The Court observes that the compensation awarded to the applicants was calculated on the</w:t>
      </w:r>
      <w:r w:rsidR="005942C6">
        <w:rPr>
          <w:lang w:val="en-GB"/>
        </w:rPr>
        <w:t xml:space="preserve"> basis of the criteria laid down in section</w:t>
      </w:r>
      <w:r w:rsidRPr="005942C6">
        <w:rPr>
          <w:lang w:val="en-GB"/>
        </w:rPr>
        <w:t xml:space="preserve"> 5 </w:t>
      </w:r>
      <w:r w:rsidRPr="005942C6">
        <w:rPr>
          <w:i/>
          <w:lang w:val="en-GB"/>
        </w:rPr>
        <w:t>bis</w:t>
      </w:r>
      <w:r w:rsidRPr="005942C6">
        <w:rPr>
          <w:lang w:val="en-GB"/>
        </w:rPr>
        <w:t xml:space="preserve"> </w:t>
      </w:r>
      <w:r w:rsidR="005942C6">
        <w:rPr>
          <w:lang w:val="en-GB"/>
        </w:rPr>
        <w:t>of Law no.</w:t>
      </w:r>
      <w:r w:rsidR="00210E54">
        <w:rPr>
          <w:lang w:val="en-GB"/>
        </w:rPr>
        <w:t xml:space="preserve"> </w:t>
      </w:r>
      <w:r w:rsidRPr="005942C6">
        <w:rPr>
          <w:lang w:val="en-GB"/>
        </w:rPr>
        <w:t>359</w:t>
      </w:r>
      <w:r w:rsidR="005942C6">
        <w:rPr>
          <w:lang w:val="en-GB"/>
        </w:rPr>
        <w:t>/</w:t>
      </w:r>
      <w:r w:rsidRPr="005942C6">
        <w:rPr>
          <w:lang w:val="en-GB"/>
        </w:rPr>
        <w:t xml:space="preserve">1992. </w:t>
      </w:r>
      <w:r w:rsidRPr="00C65E64" w:rsidR="00C65E64">
        <w:rPr>
          <w:lang w:val="en-GB"/>
        </w:rPr>
        <w:t xml:space="preserve">It notes that these criteria apply irrespective of the </w:t>
      </w:r>
      <w:r w:rsidR="00C65E64">
        <w:rPr>
          <w:lang w:val="en-GB"/>
        </w:rPr>
        <w:t>work</w:t>
      </w:r>
      <w:r w:rsidR="009E03DC">
        <w:rPr>
          <w:lang w:val="en-GB"/>
        </w:rPr>
        <w:t>s</w:t>
      </w:r>
      <w:r w:rsidR="00C65E64">
        <w:rPr>
          <w:lang w:val="en-GB"/>
        </w:rPr>
        <w:t xml:space="preserve"> in the pu</w:t>
      </w:r>
      <w:r w:rsidRPr="00C65E64">
        <w:rPr>
          <w:lang w:val="en-GB"/>
        </w:rPr>
        <w:t xml:space="preserve">blic </w:t>
      </w:r>
      <w:r w:rsidR="00C65E64">
        <w:rPr>
          <w:lang w:val="en-GB"/>
        </w:rPr>
        <w:t>interest</w:t>
      </w:r>
      <w:r w:rsidR="009E03DC">
        <w:rPr>
          <w:lang w:val="en-GB"/>
        </w:rPr>
        <w:t xml:space="preserve"> for which the land has been earmarked</w:t>
      </w:r>
      <w:r w:rsidR="00C65E64">
        <w:rPr>
          <w:lang w:val="en-GB"/>
        </w:rPr>
        <w:t xml:space="preserve"> and the</w:t>
      </w:r>
      <w:r w:rsidRPr="00C65E64">
        <w:rPr>
          <w:lang w:val="en-GB"/>
        </w:rPr>
        <w:t xml:space="preserve"> context</w:t>
      </w:r>
      <w:r w:rsidR="00C65E64">
        <w:rPr>
          <w:lang w:val="en-GB"/>
        </w:rPr>
        <w:t xml:space="preserve"> of the </w:t>
      </w:r>
      <w:r w:rsidRPr="00C65E64">
        <w:rPr>
          <w:lang w:val="en-GB"/>
        </w:rPr>
        <w:t xml:space="preserve">expropriation. </w:t>
      </w:r>
      <w:r w:rsidRPr="00C65E64" w:rsidR="00C65E64">
        <w:rPr>
          <w:lang w:val="en-GB"/>
        </w:rPr>
        <w:t>It</w:t>
      </w:r>
      <w:r w:rsidRPr="00C65E64">
        <w:rPr>
          <w:lang w:val="en-GB"/>
        </w:rPr>
        <w:t xml:space="preserve"> </w:t>
      </w:r>
      <w:r w:rsidR="00C65E64">
        <w:rPr>
          <w:lang w:val="en-GB"/>
        </w:rPr>
        <w:t>r</w:t>
      </w:r>
      <w:r w:rsidRPr="00C65E64" w:rsidR="00C65E64">
        <w:rPr>
          <w:lang w:val="en-GB"/>
        </w:rPr>
        <w:t>eiterates that its task is not to review the relevant legislation in the abstract; it has to confine itself, as far as possible, to examining the problems raised by the specific case before it</w:t>
      </w:r>
      <w:r w:rsidRPr="00C65E64">
        <w:rPr>
          <w:lang w:val="en-GB"/>
        </w:rPr>
        <w:t xml:space="preserve">. </w:t>
      </w:r>
      <w:r w:rsidRPr="00C65E64" w:rsidR="00C65E64">
        <w:rPr>
          <w:lang w:val="en-GB"/>
        </w:rPr>
        <w:t>To that end</w:t>
      </w:r>
      <w:r w:rsidR="00C65E64">
        <w:rPr>
          <w:lang w:val="en-GB"/>
        </w:rPr>
        <w:t>,</w:t>
      </w:r>
      <w:r w:rsidRPr="00C65E64" w:rsidR="00C65E64">
        <w:rPr>
          <w:lang w:val="en-GB"/>
        </w:rPr>
        <w:t xml:space="preserve"> in the instant case, it must examine the ab</w:t>
      </w:r>
      <w:r w:rsidR="00526C5E">
        <w:rPr>
          <w:lang w:val="en-GB"/>
        </w:rPr>
        <w:t>ove-mentioned law</w:t>
      </w:r>
      <w:r w:rsidRPr="00C65E64" w:rsidR="00C65E64">
        <w:rPr>
          <w:lang w:val="en-GB"/>
        </w:rPr>
        <w:t xml:space="preserve"> in so far as the applicants objected to </w:t>
      </w:r>
      <w:r w:rsidR="00526C5E">
        <w:rPr>
          <w:lang w:val="en-GB"/>
        </w:rPr>
        <w:t>its</w:t>
      </w:r>
      <w:r w:rsidRPr="00C65E64" w:rsidR="00C65E64">
        <w:rPr>
          <w:lang w:val="en-GB"/>
        </w:rPr>
        <w:t xml:space="preserve"> </w:t>
      </w:r>
      <w:r w:rsidR="00C65E64">
        <w:rPr>
          <w:lang w:val="en-GB"/>
        </w:rPr>
        <w:t>consequences for their property</w:t>
      </w:r>
      <w:r w:rsidRPr="00C65E64" w:rsidR="00C65E64">
        <w:rPr>
          <w:lang w:val="en-GB"/>
        </w:rPr>
        <w:t xml:space="preserve"> </w:t>
      </w:r>
      <w:r w:rsidRPr="00C65E64">
        <w:rPr>
          <w:lang w:val="en-GB"/>
        </w:rPr>
        <w:t>(</w:t>
      </w:r>
      <w:r w:rsidR="00C65E64">
        <w:rPr>
          <w:lang w:val="en-GB"/>
        </w:rPr>
        <w:t xml:space="preserve">see </w:t>
      </w:r>
      <w:r w:rsidR="004C51EE">
        <w:rPr>
          <w:i/>
          <w:lang w:val="en-GB"/>
        </w:rPr>
        <w:t>T</w:t>
      </w:r>
      <w:r w:rsidRPr="00C65E64" w:rsidR="00C65E64">
        <w:rPr>
          <w:i/>
          <w:lang w:val="en-GB"/>
        </w:rPr>
        <w:t>he Holy Monasteries</w:t>
      </w:r>
      <w:r w:rsidRPr="00C65E64">
        <w:rPr>
          <w:i/>
          <w:lang w:val="en-GB"/>
        </w:rPr>
        <w:t xml:space="preserve">, </w:t>
      </w:r>
      <w:r w:rsidR="00C65E64">
        <w:rPr>
          <w:lang w:val="en-GB"/>
        </w:rPr>
        <w:t>cited above</w:t>
      </w:r>
      <w:r w:rsidR="00526C5E">
        <w:rPr>
          <w:lang w:val="en-GB"/>
        </w:rPr>
        <w:t>, §</w:t>
      </w:r>
      <w:r w:rsidR="00210E54">
        <w:rPr>
          <w:lang w:val="en-GB"/>
        </w:rPr>
        <w:t xml:space="preserve"> </w:t>
      </w:r>
      <w:r w:rsidRPr="00C65E64">
        <w:rPr>
          <w:lang w:val="en-GB"/>
        </w:rPr>
        <w:t>55).</w:t>
      </w:r>
    </w:p>
    <w:p w:rsidRPr="003E3A76" w:rsidR="000C4F8F" w:rsidP="000C4F8F" w:rsidRDefault="000C4F8F">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101</w:t>
      </w:r>
      <w:r w:rsidRPr="00C2011C">
        <w:fldChar w:fldCharType="end"/>
      </w:r>
      <w:r w:rsidRPr="00824B80">
        <w:rPr>
          <w:lang w:val="en-GB"/>
        </w:rPr>
        <w:t>.  </w:t>
      </w:r>
      <w:r w:rsidRPr="00963ECE" w:rsidR="00963ECE">
        <w:rPr>
          <w:lang w:val="en-GB"/>
        </w:rPr>
        <w:t>In the instant case the final amount of the compensation was fixed at</w:t>
      </w:r>
      <w:r w:rsidRPr="00963ECE">
        <w:rPr>
          <w:lang w:val="en-GB"/>
        </w:rPr>
        <w:t xml:space="preserve"> </w:t>
      </w:r>
      <w:r w:rsidRPr="00963ECE" w:rsidR="00963ECE">
        <w:rPr>
          <w:lang w:val="en-GB"/>
        </w:rPr>
        <w:t>ITL</w:t>
      </w:r>
      <w:r w:rsidR="00210E54">
        <w:rPr>
          <w:lang w:val="en-GB"/>
        </w:rPr>
        <w:t xml:space="preserve"> </w:t>
      </w:r>
      <w:r w:rsidRPr="00963ECE" w:rsidR="00963ECE">
        <w:rPr>
          <w:lang w:val="en-GB"/>
        </w:rPr>
        <w:t>82,</w:t>
      </w:r>
      <w:r w:rsidRPr="00963ECE">
        <w:rPr>
          <w:lang w:val="en-GB"/>
        </w:rPr>
        <w:t xml:space="preserve">890 </w:t>
      </w:r>
      <w:r w:rsidR="00B767E4">
        <w:rPr>
          <w:lang w:val="en-GB"/>
        </w:rPr>
        <w:t xml:space="preserve">per </w:t>
      </w:r>
      <w:r w:rsidR="00D076AF">
        <w:rPr>
          <w:lang w:val="en-GB"/>
        </w:rPr>
        <w:t>square metre</w:t>
      </w:r>
      <w:r w:rsidRPr="00963ECE">
        <w:rPr>
          <w:lang w:val="en-GB"/>
        </w:rPr>
        <w:t xml:space="preserve">, </w:t>
      </w:r>
      <w:r w:rsidRPr="00963ECE" w:rsidR="00963ECE">
        <w:rPr>
          <w:lang w:val="en-GB"/>
        </w:rPr>
        <w:t>whereas the estimated market value of the land</w:t>
      </w:r>
      <w:r w:rsidRPr="00963ECE">
        <w:rPr>
          <w:lang w:val="en-GB"/>
        </w:rPr>
        <w:t xml:space="preserve"> </w:t>
      </w:r>
      <w:r w:rsidR="00963ECE">
        <w:rPr>
          <w:lang w:val="en-GB"/>
        </w:rPr>
        <w:t>at the</w:t>
      </w:r>
      <w:r w:rsidRPr="00963ECE">
        <w:rPr>
          <w:lang w:val="en-GB"/>
        </w:rPr>
        <w:t xml:space="preserve"> date</w:t>
      </w:r>
      <w:r w:rsidR="00963ECE">
        <w:rPr>
          <w:lang w:val="en-GB"/>
        </w:rPr>
        <w:t xml:space="preserve"> of the </w:t>
      </w:r>
      <w:r w:rsidRPr="00963ECE">
        <w:rPr>
          <w:lang w:val="en-GB"/>
        </w:rPr>
        <w:t xml:space="preserve">expropriation </w:t>
      </w:r>
      <w:r w:rsidR="00963ECE">
        <w:rPr>
          <w:lang w:val="en-GB"/>
        </w:rPr>
        <w:t>was</w:t>
      </w:r>
      <w:r w:rsidRPr="00963ECE">
        <w:rPr>
          <w:lang w:val="en-GB"/>
        </w:rPr>
        <w:t xml:space="preserve"> </w:t>
      </w:r>
      <w:r w:rsidR="00963ECE">
        <w:rPr>
          <w:lang w:val="en-GB"/>
        </w:rPr>
        <w:t>ITL</w:t>
      </w:r>
      <w:r w:rsidR="00210E54">
        <w:rPr>
          <w:lang w:val="en-GB"/>
        </w:rPr>
        <w:t xml:space="preserve"> </w:t>
      </w:r>
      <w:r w:rsidR="00963ECE">
        <w:rPr>
          <w:lang w:val="en-GB"/>
        </w:rPr>
        <w:t>165,</w:t>
      </w:r>
      <w:r w:rsidRPr="00963ECE">
        <w:rPr>
          <w:lang w:val="en-GB"/>
        </w:rPr>
        <w:t xml:space="preserve">755 </w:t>
      </w:r>
      <w:r w:rsidR="00B767E4">
        <w:rPr>
          <w:lang w:val="en-GB"/>
        </w:rPr>
        <w:t xml:space="preserve">per </w:t>
      </w:r>
      <w:r w:rsidR="00D076AF">
        <w:rPr>
          <w:lang w:val="en-GB"/>
        </w:rPr>
        <w:t>square metre</w:t>
      </w:r>
      <w:r w:rsidR="00963ECE">
        <w:rPr>
          <w:lang w:val="en-GB"/>
        </w:rPr>
        <w:t xml:space="preserve"> (see paragraph</w:t>
      </w:r>
      <w:r w:rsidRPr="00963ECE">
        <w:rPr>
          <w:lang w:val="en-GB"/>
        </w:rPr>
        <w:t xml:space="preserve">s 32 </w:t>
      </w:r>
      <w:r w:rsidR="00963ECE">
        <w:rPr>
          <w:lang w:val="en-GB"/>
        </w:rPr>
        <w:t>and 37 above</w:t>
      </w:r>
      <w:r w:rsidRPr="00963ECE">
        <w:rPr>
          <w:lang w:val="en-GB"/>
        </w:rPr>
        <w:t xml:space="preserve">). </w:t>
      </w:r>
      <w:r w:rsidRPr="003E3A76" w:rsidR="003E3A76">
        <w:rPr>
          <w:lang w:val="en-GB"/>
        </w:rPr>
        <w:t xml:space="preserve">Consequently, the </w:t>
      </w:r>
      <w:r w:rsidRPr="003E3A76" w:rsidR="004D02B7">
        <w:rPr>
          <w:lang w:val="en-GB"/>
        </w:rPr>
        <w:t xml:space="preserve">compensation </w:t>
      </w:r>
      <w:r w:rsidRPr="003E3A76" w:rsidR="003E3A76">
        <w:rPr>
          <w:lang w:val="en-GB"/>
        </w:rPr>
        <w:t xml:space="preserve">for </w:t>
      </w:r>
      <w:r w:rsidRPr="003E3A76" w:rsidR="004D02B7">
        <w:rPr>
          <w:lang w:val="en-GB"/>
        </w:rPr>
        <w:t xml:space="preserve">expropriation </w:t>
      </w:r>
      <w:r w:rsidRPr="003E3A76" w:rsidR="003E3A76">
        <w:rPr>
          <w:lang w:val="en-GB"/>
        </w:rPr>
        <w:t xml:space="preserve">is </w:t>
      </w:r>
      <w:r w:rsidR="00526C5E">
        <w:rPr>
          <w:lang w:val="en-GB"/>
        </w:rPr>
        <w:t>far lower than</w:t>
      </w:r>
      <w:r w:rsidRPr="003E3A76" w:rsidR="003E3A76">
        <w:rPr>
          <w:lang w:val="en-GB"/>
        </w:rPr>
        <w:t xml:space="preserve"> the market value of the property i</w:t>
      </w:r>
      <w:r w:rsidRPr="003E3A76">
        <w:rPr>
          <w:lang w:val="en-GB"/>
        </w:rPr>
        <w:t xml:space="preserve">n question. </w:t>
      </w:r>
      <w:r w:rsidRPr="003E3A76" w:rsidR="003E3A76">
        <w:rPr>
          <w:lang w:val="en-GB"/>
        </w:rPr>
        <w:t>Furthermore</w:t>
      </w:r>
      <w:r w:rsidRPr="003E3A76">
        <w:rPr>
          <w:lang w:val="en-GB"/>
        </w:rPr>
        <w:t xml:space="preserve">, </w:t>
      </w:r>
      <w:r w:rsidRPr="003E3A76" w:rsidR="003E3A76">
        <w:rPr>
          <w:lang w:val="en-GB"/>
        </w:rPr>
        <w:t xml:space="preserve">tax was subsequently deducted from it at a rate of 20% </w:t>
      </w:r>
      <w:r w:rsidRPr="003E3A76">
        <w:rPr>
          <w:lang w:val="en-GB"/>
        </w:rPr>
        <w:t>(</w:t>
      </w:r>
      <w:r w:rsidR="003E3A76">
        <w:rPr>
          <w:lang w:val="en-GB"/>
        </w:rPr>
        <w:t xml:space="preserve">see paragraph </w:t>
      </w:r>
      <w:r w:rsidRPr="003E3A76">
        <w:rPr>
          <w:lang w:val="en-GB"/>
        </w:rPr>
        <w:t xml:space="preserve">41 </w:t>
      </w:r>
      <w:r w:rsidR="003E3A76">
        <w:rPr>
          <w:lang w:val="en-GB"/>
        </w:rPr>
        <w:t>above</w:t>
      </w:r>
      <w:r w:rsidRPr="003E3A76">
        <w:rPr>
          <w:lang w:val="en-GB"/>
        </w:rPr>
        <w:t>).</w:t>
      </w:r>
    </w:p>
    <w:p w:rsidRPr="00085CBC" w:rsidR="000C4F8F" w:rsidP="000C4F8F" w:rsidRDefault="000C4F8F">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102</w:t>
      </w:r>
      <w:r w:rsidRPr="00C2011C">
        <w:fldChar w:fldCharType="end"/>
      </w:r>
      <w:r w:rsidRPr="00824B80">
        <w:rPr>
          <w:lang w:val="en-GB"/>
        </w:rPr>
        <w:t>.  </w:t>
      </w:r>
      <w:r w:rsidRPr="00085CBC" w:rsidR="00085CBC">
        <w:rPr>
          <w:lang w:val="en-GB"/>
        </w:rPr>
        <w:t xml:space="preserve">The present case concerns a </w:t>
      </w:r>
      <w:r w:rsidR="009206DE">
        <w:rPr>
          <w:lang w:val="en-GB"/>
        </w:rPr>
        <w:t>distinct</w:t>
      </w:r>
      <w:r w:rsidRPr="00085CBC" w:rsidR="00085CBC">
        <w:rPr>
          <w:lang w:val="en-GB"/>
        </w:rPr>
        <w:t xml:space="preserve"> </w:t>
      </w:r>
      <w:r w:rsidRPr="00085CBC">
        <w:rPr>
          <w:lang w:val="en-GB"/>
        </w:rPr>
        <w:t xml:space="preserve">expropriation, </w:t>
      </w:r>
      <w:r w:rsidRPr="00085CBC" w:rsidR="00085CBC">
        <w:rPr>
          <w:lang w:val="en-GB"/>
        </w:rPr>
        <w:t>and one which</w:t>
      </w:r>
      <w:r w:rsidRPr="00085CBC">
        <w:rPr>
          <w:lang w:val="en-GB"/>
        </w:rPr>
        <w:t xml:space="preserve"> </w:t>
      </w:r>
      <w:r w:rsidRPr="00085CBC" w:rsidR="00085CBC">
        <w:rPr>
          <w:lang w:val="en-GB"/>
        </w:rPr>
        <w:t xml:space="preserve">was </w:t>
      </w:r>
      <w:r w:rsidR="00455FD9">
        <w:rPr>
          <w:lang w:val="en-GB"/>
        </w:rPr>
        <w:t>neither</w:t>
      </w:r>
      <w:r w:rsidRPr="00085CBC" w:rsidR="00455FD9">
        <w:rPr>
          <w:lang w:val="en-GB"/>
        </w:rPr>
        <w:t xml:space="preserve"> </w:t>
      </w:r>
      <w:r w:rsidR="00085CBC">
        <w:rPr>
          <w:lang w:val="en-GB"/>
        </w:rPr>
        <w:t>carried out as part of a process</w:t>
      </w:r>
      <w:r w:rsidRPr="00085CBC" w:rsidR="00085CBC">
        <w:rPr>
          <w:lang w:val="en-GB"/>
        </w:rPr>
        <w:t xml:space="preserve"> of economic, social </w:t>
      </w:r>
      <w:r w:rsidR="00085CBC">
        <w:rPr>
          <w:lang w:val="en-GB"/>
        </w:rPr>
        <w:t>or political reform</w:t>
      </w:r>
      <w:r w:rsidR="00455FD9">
        <w:rPr>
          <w:lang w:val="en-GB"/>
        </w:rPr>
        <w:t xml:space="preserve"> nor linked to any other specific circumstances</w:t>
      </w:r>
      <w:r w:rsidRPr="00085CBC">
        <w:rPr>
          <w:lang w:val="en-GB"/>
        </w:rPr>
        <w:t xml:space="preserve">. </w:t>
      </w:r>
      <w:r w:rsidRPr="00085CBC" w:rsidR="00085CBC">
        <w:rPr>
          <w:lang w:val="en-GB"/>
        </w:rPr>
        <w:t>Accordingly,</w:t>
      </w:r>
      <w:r w:rsidRPr="00085CBC">
        <w:rPr>
          <w:lang w:val="en-GB"/>
        </w:rPr>
        <w:t xml:space="preserve"> </w:t>
      </w:r>
      <w:r w:rsidR="00455FD9">
        <w:rPr>
          <w:lang w:val="en-GB"/>
        </w:rPr>
        <w:t xml:space="preserve">in this case, </w:t>
      </w:r>
      <w:r w:rsidRPr="00085CBC" w:rsidR="00085CBC">
        <w:rPr>
          <w:lang w:val="en-GB"/>
        </w:rPr>
        <w:t xml:space="preserve">the Court does not discern any legitimate </w:t>
      </w:r>
      <w:r w:rsidR="00526C5E">
        <w:rPr>
          <w:lang w:val="en-GB"/>
        </w:rPr>
        <w:t>objective</w:t>
      </w:r>
      <w:r w:rsidRPr="00085CBC" w:rsidR="00085CBC">
        <w:rPr>
          <w:lang w:val="en-GB"/>
        </w:rPr>
        <w:t xml:space="preserve"> </w:t>
      </w:r>
      <w:r w:rsidR="00085CBC">
        <w:rPr>
          <w:lang w:val="en-GB"/>
        </w:rPr>
        <w:t>“</w:t>
      </w:r>
      <w:r w:rsidRPr="00085CBC" w:rsidR="00085CBC">
        <w:rPr>
          <w:lang w:val="en-GB"/>
        </w:rPr>
        <w:t>in the p</w:t>
      </w:r>
      <w:r w:rsidR="00085CBC">
        <w:rPr>
          <w:lang w:val="en-GB"/>
        </w:rPr>
        <w:t xml:space="preserve">ublic interest” capable of justifying </w:t>
      </w:r>
      <w:r w:rsidR="00526C5E">
        <w:rPr>
          <w:lang w:val="en-GB"/>
        </w:rPr>
        <w:t xml:space="preserve">less than </w:t>
      </w:r>
      <w:r w:rsidR="00085CBC">
        <w:rPr>
          <w:lang w:val="en-GB"/>
        </w:rPr>
        <w:t>reimbursement</w:t>
      </w:r>
      <w:r w:rsidRPr="00085CBC">
        <w:rPr>
          <w:lang w:val="en-GB"/>
        </w:rPr>
        <w:t xml:space="preserve"> </w:t>
      </w:r>
      <w:r w:rsidR="00526C5E">
        <w:rPr>
          <w:lang w:val="en-GB"/>
        </w:rPr>
        <w:t>of</w:t>
      </w:r>
      <w:r w:rsidR="00085CBC">
        <w:rPr>
          <w:lang w:val="en-GB"/>
        </w:rPr>
        <w:t xml:space="preserve"> the market value</w:t>
      </w:r>
      <w:r w:rsidRPr="00085CBC">
        <w:rPr>
          <w:lang w:val="en-GB"/>
        </w:rPr>
        <w:t>.</w:t>
      </w:r>
    </w:p>
    <w:p w:rsidRPr="005B0532" w:rsidR="000C4F8F" w:rsidP="000C4F8F" w:rsidRDefault="000C4F8F">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103</w:t>
      </w:r>
      <w:r w:rsidRPr="00C2011C">
        <w:fldChar w:fldCharType="end"/>
      </w:r>
      <w:r w:rsidRPr="00824B80">
        <w:rPr>
          <w:lang w:val="en-GB"/>
        </w:rPr>
        <w:t>.  </w:t>
      </w:r>
      <w:r w:rsidRPr="005B0532" w:rsidR="005B0532">
        <w:rPr>
          <w:lang w:val="en-GB"/>
        </w:rPr>
        <w:t>Having regard to all the foregoing considerations, the Court considers that the compensation awarded to the applicants was inadequ</w:t>
      </w:r>
      <w:r w:rsidR="005B0532">
        <w:rPr>
          <w:lang w:val="en-GB"/>
        </w:rPr>
        <w:t>a</w:t>
      </w:r>
      <w:r w:rsidRPr="005B0532" w:rsidR="005B0532">
        <w:rPr>
          <w:lang w:val="en-GB"/>
        </w:rPr>
        <w:t>te</w:t>
      </w:r>
      <w:r w:rsidRPr="005B0532">
        <w:rPr>
          <w:lang w:val="en-GB"/>
        </w:rPr>
        <w:t xml:space="preserve">, </w:t>
      </w:r>
      <w:r w:rsidRPr="005B0532" w:rsidR="005B0532">
        <w:rPr>
          <w:lang w:val="en-GB"/>
        </w:rPr>
        <w:t xml:space="preserve">given the low amount </w:t>
      </w:r>
      <w:r w:rsidR="00526C5E">
        <w:rPr>
          <w:lang w:val="en-GB"/>
        </w:rPr>
        <w:t xml:space="preserve">awarded </w:t>
      </w:r>
      <w:r w:rsidRPr="005B0532" w:rsidR="005B0532">
        <w:rPr>
          <w:lang w:val="en-GB"/>
        </w:rPr>
        <w:t xml:space="preserve">and the lack of </w:t>
      </w:r>
      <w:r w:rsidR="005B0532">
        <w:rPr>
          <w:lang w:val="en-GB"/>
        </w:rPr>
        <w:t>public-interest grounds capable of</w:t>
      </w:r>
      <w:r w:rsidRPr="005B0532">
        <w:rPr>
          <w:lang w:val="en-GB"/>
        </w:rPr>
        <w:t xml:space="preserve"> </w:t>
      </w:r>
      <w:r w:rsidR="00526C5E">
        <w:rPr>
          <w:lang w:val="en-GB"/>
        </w:rPr>
        <w:t>justifying</w:t>
      </w:r>
      <w:r w:rsidR="005B0532">
        <w:rPr>
          <w:lang w:val="en-GB"/>
        </w:rPr>
        <w:t xml:space="preserve"> less than compensation </w:t>
      </w:r>
      <w:r w:rsidR="004D02B7">
        <w:rPr>
          <w:lang w:val="en-GB"/>
        </w:rPr>
        <w:t>at</w:t>
      </w:r>
      <w:r w:rsidR="005B0532">
        <w:rPr>
          <w:lang w:val="en-GB"/>
        </w:rPr>
        <w:t xml:space="preserve"> the market value of the property</w:t>
      </w:r>
      <w:r w:rsidRPr="005B0532">
        <w:rPr>
          <w:lang w:val="en-GB"/>
        </w:rPr>
        <w:t xml:space="preserve">. </w:t>
      </w:r>
      <w:r w:rsidRPr="005B0532" w:rsidR="005B0532">
        <w:rPr>
          <w:lang w:val="en-GB"/>
        </w:rPr>
        <w:t>Accordingly, the applicants</w:t>
      </w:r>
      <w:r w:rsidRPr="005B0532">
        <w:rPr>
          <w:lang w:val="en-GB"/>
        </w:rPr>
        <w:t xml:space="preserve"> </w:t>
      </w:r>
      <w:r w:rsidRPr="005B0532" w:rsidR="005B0532">
        <w:rPr>
          <w:lang w:val="en-GB"/>
        </w:rPr>
        <w:t xml:space="preserve">have had to bear a disproportionate and </w:t>
      </w:r>
      <w:r w:rsidRPr="005B0532">
        <w:rPr>
          <w:lang w:val="en-GB"/>
        </w:rPr>
        <w:t xml:space="preserve">excessive </w:t>
      </w:r>
      <w:r w:rsidRPr="005B0532" w:rsidR="005B0532">
        <w:rPr>
          <w:lang w:val="en-GB"/>
        </w:rPr>
        <w:t>burden which cannot be justified by a</w:t>
      </w:r>
      <w:r w:rsidR="005B0532">
        <w:rPr>
          <w:lang w:val="en-GB"/>
        </w:rPr>
        <w:t xml:space="preserve"> legitimate aim in the public interest pursued by the authorities</w:t>
      </w:r>
      <w:r w:rsidRPr="005B0532">
        <w:rPr>
          <w:lang w:val="en-GB"/>
        </w:rPr>
        <w:t>.</w:t>
      </w:r>
    </w:p>
    <w:p w:rsidRPr="005B0532" w:rsidR="000C4F8F" w:rsidP="000C4F8F" w:rsidRDefault="00216886">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104</w:t>
      </w:r>
      <w:r>
        <w:rPr>
          <w:lang w:val="en-GB"/>
        </w:rPr>
        <w:fldChar w:fldCharType="end"/>
      </w:r>
      <w:r>
        <w:rPr>
          <w:lang w:val="en-GB"/>
        </w:rPr>
        <w:t>.  </w:t>
      </w:r>
      <w:r w:rsidRPr="005B0532" w:rsidR="005B0532">
        <w:rPr>
          <w:lang w:val="en-GB"/>
        </w:rPr>
        <w:t>Consequently, there has been a violation of</w:t>
      </w:r>
      <w:r w:rsidR="005B0532">
        <w:rPr>
          <w:lang w:val="en-GB"/>
        </w:rPr>
        <w:t xml:space="preserve"> A</w:t>
      </w:r>
      <w:r w:rsidRPr="005B0532" w:rsidR="005B0532">
        <w:rPr>
          <w:lang w:val="en-GB"/>
        </w:rPr>
        <w:t>rticle 1</w:t>
      </w:r>
      <w:r w:rsidR="005B0532">
        <w:rPr>
          <w:lang w:val="en-GB"/>
        </w:rPr>
        <w:t xml:space="preserve"> of Protocol No. </w:t>
      </w:r>
      <w:r w:rsidRPr="005B0532" w:rsidR="005B0532">
        <w:rPr>
          <w:lang w:val="en-GB"/>
        </w:rPr>
        <w:t>1</w:t>
      </w:r>
      <w:r w:rsidRPr="005B0532" w:rsidR="000C4F8F">
        <w:rPr>
          <w:lang w:val="en-GB"/>
        </w:rPr>
        <w:t>.</w:t>
      </w:r>
    </w:p>
    <w:p w:rsidRPr="00195E36" w:rsidR="000C4F8F" w:rsidP="00210E54" w:rsidRDefault="00195E36">
      <w:pPr>
        <w:pStyle w:val="JuHA0"/>
        <w:ind w:left="629" w:hanging="397"/>
        <w:rPr>
          <w:lang w:val="en-GB"/>
        </w:rPr>
      </w:pPr>
      <w:r w:rsidRPr="00195E36">
        <w:rPr>
          <w:lang w:val="en-GB"/>
        </w:rPr>
        <w:t>B.</w:t>
      </w:r>
      <w:r w:rsidR="00967E1F">
        <w:rPr>
          <w:lang w:val="en-GB"/>
        </w:rPr>
        <w:t>  </w:t>
      </w:r>
      <w:r w:rsidRPr="00195E36" w:rsidR="002E2B9D">
        <w:rPr>
          <w:lang w:val="en-GB"/>
        </w:rPr>
        <w:t>The “retrospective” application of section</w:t>
      </w:r>
      <w:r w:rsidRPr="00195E36" w:rsidR="000C4F8F">
        <w:rPr>
          <w:lang w:val="en-GB"/>
        </w:rPr>
        <w:t xml:space="preserve"> 5 </w:t>
      </w:r>
      <w:r w:rsidRPr="00195E36" w:rsidR="000C4F8F">
        <w:rPr>
          <w:i/>
          <w:lang w:val="en-GB"/>
        </w:rPr>
        <w:t>bis</w:t>
      </w:r>
      <w:r w:rsidRPr="00195E36" w:rsidR="000C4F8F">
        <w:rPr>
          <w:lang w:val="en-GB"/>
        </w:rPr>
        <w:t xml:space="preserve"> </w:t>
      </w:r>
      <w:r w:rsidRPr="00195E36" w:rsidR="002E2B9D">
        <w:rPr>
          <w:lang w:val="en-GB"/>
        </w:rPr>
        <w:t>of Law no.</w:t>
      </w:r>
      <w:r>
        <w:rPr>
          <w:lang w:val="en-GB"/>
        </w:rPr>
        <w:t> </w:t>
      </w:r>
      <w:r w:rsidRPr="00195E36" w:rsidR="000C4F8F">
        <w:rPr>
          <w:lang w:val="en-GB"/>
        </w:rPr>
        <w:t>359</w:t>
      </w:r>
      <w:r w:rsidRPr="00195E36" w:rsidR="002E2B9D">
        <w:rPr>
          <w:lang w:val="en-GB"/>
        </w:rPr>
        <w:t>/</w:t>
      </w:r>
      <w:r w:rsidRPr="00195E36" w:rsidR="000C4F8F">
        <w:rPr>
          <w:lang w:val="en-GB"/>
        </w:rPr>
        <w:t>1992</w:t>
      </w:r>
    </w:p>
    <w:p w:rsidRPr="00E003C6" w:rsidR="006C340C" w:rsidP="006C340C" w:rsidRDefault="006C340C">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105</w:t>
      </w:r>
      <w:r w:rsidRPr="00C2011C">
        <w:fldChar w:fldCharType="end"/>
      </w:r>
      <w:r w:rsidRPr="00824B80">
        <w:rPr>
          <w:lang w:val="en-GB"/>
        </w:rPr>
        <w:t>.  </w:t>
      </w:r>
      <w:r w:rsidRPr="00E003C6" w:rsidR="00E003C6">
        <w:rPr>
          <w:lang w:val="en-GB"/>
        </w:rPr>
        <w:t>The applicants alleged that section</w:t>
      </w:r>
      <w:r w:rsidRPr="00E003C6">
        <w:rPr>
          <w:lang w:val="en-GB"/>
        </w:rPr>
        <w:t xml:space="preserve"> 5 </w:t>
      </w:r>
      <w:r w:rsidRPr="00E003C6">
        <w:rPr>
          <w:i/>
          <w:lang w:val="en-GB"/>
        </w:rPr>
        <w:t xml:space="preserve">bis </w:t>
      </w:r>
      <w:r w:rsidRPr="00E003C6" w:rsidR="00E003C6">
        <w:rPr>
          <w:lang w:val="en-GB"/>
        </w:rPr>
        <w:t>of Law no.</w:t>
      </w:r>
      <w:r w:rsidRPr="00E003C6">
        <w:rPr>
          <w:lang w:val="en-GB"/>
        </w:rPr>
        <w:t xml:space="preserve"> 359</w:t>
      </w:r>
      <w:r w:rsidRPr="00E003C6" w:rsidR="00E003C6">
        <w:rPr>
          <w:lang w:val="en-GB"/>
        </w:rPr>
        <w:t xml:space="preserve">/1992 </w:t>
      </w:r>
      <w:r w:rsidR="009E03DC">
        <w:rPr>
          <w:lang w:val="en-GB"/>
        </w:rPr>
        <w:t xml:space="preserve">had </w:t>
      </w:r>
      <w:r w:rsidRPr="00E003C6" w:rsidR="00E003C6">
        <w:rPr>
          <w:lang w:val="en-GB"/>
        </w:rPr>
        <w:t>infringed their right to the peaceful enjoyme</w:t>
      </w:r>
      <w:r w:rsidR="00E003C6">
        <w:rPr>
          <w:lang w:val="en-GB"/>
        </w:rPr>
        <w:t>nt of their possessions</w:t>
      </w:r>
      <w:r w:rsidRPr="00E003C6">
        <w:rPr>
          <w:lang w:val="en-GB"/>
        </w:rPr>
        <w:t xml:space="preserve">, </w:t>
      </w:r>
      <w:r w:rsidR="00E003C6">
        <w:rPr>
          <w:lang w:val="en-GB"/>
        </w:rPr>
        <w:t>in breach of A</w:t>
      </w:r>
      <w:r w:rsidRPr="00E003C6">
        <w:rPr>
          <w:lang w:val="en-GB"/>
        </w:rPr>
        <w:t xml:space="preserve">rticle 1 </w:t>
      </w:r>
      <w:r w:rsidR="00E003C6">
        <w:rPr>
          <w:lang w:val="en-GB"/>
        </w:rPr>
        <w:t>of Protocol</w:t>
      </w:r>
      <w:r w:rsidRPr="00E003C6">
        <w:rPr>
          <w:lang w:val="en-GB"/>
        </w:rPr>
        <w:t xml:space="preserve"> </w:t>
      </w:r>
      <w:r w:rsidR="00E003C6">
        <w:rPr>
          <w:lang w:val="en-GB"/>
        </w:rPr>
        <w:t>No.</w:t>
      </w:r>
      <w:r w:rsidRPr="00E003C6">
        <w:rPr>
          <w:lang w:val="en-GB"/>
        </w:rPr>
        <w:t xml:space="preserve"> 1.</w:t>
      </w:r>
    </w:p>
    <w:p w:rsidR="00967E1F" w:rsidP="00124007" w:rsidRDefault="006C340C">
      <w:pPr>
        <w:pStyle w:val="JuH1"/>
        <w:outlineLvl w:val="0"/>
        <w:rPr>
          <w:lang w:val="en-GB"/>
        </w:rPr>
      </w:pPr>
      <w:r w:rsidRPr="00824B80">
        <w:rPr>
          <w:lang w:val="en-GB"/>
        </w:rPr>
        <w:t>1.  The Chamber judgment</w:t>
      </w:r>
    </w:p>
    <w:p w:rsidRPr="000D73AA" w:rsidR="006C340C" w:rsidP="006C340C" w:rsidRDefault="006C340C">
      <w:pPr>
        <w:pStyle w:val="JuPara"/>
        <w:rPr>
          <w:lang w:val="en-GB"/>
        </w:rPr>
      </w:pPr>
      <w:r>
        <w:fldChar w:fldCharType="begin"/>
      </w:r>
      <w:r w:rsidRPr="00824B80">
        <w:rPr>
          <w:lang w:val="en-GB"/>
        </w:rPr>
        <w:instrText xml:space="preserve"> SEQ level0 \*arabic </w:instrText>
      </w:r>
      <w:r>
        <w:fldChar w:fldCharType="separate"/>
      </w:r>
      <w:r w:rsidR="008B3B68">
        <w:rPr>
          <w:noProof/>
          <w:lang w:val="en-GB"/>
        </w:rPr>
        <w:t>106</w:t>
      </w:r>
      <w:r>
        <w:fldChar w:fldCharType="end"/>
      </w:r>
      <w:r w:rsidRPr="00824B80">
        <w:rPr>
          <w:lang w:val="en-GB"/>
        </w:rPr>
        <w:t>.  </w:t>
      </w:r>
      <w:r w:rsidRPr="000D73AA" w:rsidR="00E003C6">
        <w:rPr>
          <w:lang w:val="en-GB"/>
        </w:rPr>
        <w:t>The Chamber considered that the issu</w:t>
      </w:r>
      <w:r w:rsidRPr="000D73AA">
        <w:rPr>
          <w:lang w:val="en-GB"/>
        </w:rPr>
        <w:t>e</w:t>
      </w:r>
      <w:r w:rsidRPr="000D73AA" w:rsidR="00E003C6">
        <w:rPr>
          <w:lang w:val="en-GB"/>
        </w:rPr>
        <w:t xml:space="preserve"> </w:t>
      </w:r>
      <w:r w:rsidRPr="000D73AA" w:rsidR="000D73AA">
        <w:rPr>
          <w:lang w:val="en-GB"/>
        </w:rPr>
        <w:t>raised by the applicants relating to interference by the legislature</w:t>
      </w:r>
      <w:r w:rsidRPr="000D73AA">
        <w:rPr>
          <w:lang w:val="en-GB"/>
        </w:rPr>
        <w:t xml:space="preserve"> </w:t>
      </w:r>
      <w:r w:rsidRPr="000D73AA" w:rsidR="000D73AA">
        <w:rPr>
          <w:lang w:val="en-GB"/>
        </w:rPr>
        <w:t>fell under A</w:t>
      </w:r>
      <w:r w:rsidRPr="000D73AA">
        <w:rPr>
          <w:lang w:val="en-GB"/>
        </w:rPr>
        <w:t xml:space="preserve">rticle 6 </w:t>
      </w:r>
      <w:r w:rsidRPr="000D73AA" w:rsidR="000D73AA">
        <w:rPr>
          <w:lang w:val="en-GB"/>
        </w:rPr>
        <w:t>of the</w:t>
      </w:r>
      <w:r w:rsidRPr="000D73AA">
        <w:rPr>
          <w:lang w:val="en-GB"/>
        </w:rPr>
        <w:t xml:space="preserve"> Convention</w:t>
      </w:r>
      <w:r w:rsidRPr="000D73AA" w:rsidR="000D73AA">
        <w:rPr>
          <w:lang w:val="en-GB"/>
        </w:rPr>
        <w:t xml:space="preserve"> and considered it </w:t>
      </w:r>
      <w:r w:rsidR="000D73AA">
        <w:rPr>
          <w:lang w:val="en-GB"/>
        </w:rPr>
        <w:t>unnecessary to examine separately whether there had also been a breach of A</w:t>
      </w:r>
      <w:r w:rsidRPr="000D73AA">
        <w:rPr>
          <w:lang w:val="en-GB"/>
        </w:rPr>
        <w:t>rticle 1</w:t>
      </w:r>
      <w:r w:rsidR="000D73AA">
        <w:rPr>
          <w:lang w:val="en-GB"/>
        </w:rPr>
        <w:t xml:space="preserve"> of</w:t>
      </w:r>
      <w:r w:rsidRPr="000D73AA">
        <w:rPr>
          <w:lang w:val="en-GB"/>
        </w:rPr>
        <w:t xml:space="preserve"> Protocol</w:t>
      </w:r>
      <w:r w:rsidR="000D73AA">
        <w:rPr>
          <w:lang w:val="en-GB"/>
        </w:rPr>
        <w:t xml:space="preserve"> No.</w:t>
      </w:r>
      <w:r w:rsidRPr="000D73AA">
        <w:rPr>
          <w:lang w:val="en-GB"/>
        </w:rPr>
        <w:t xml:space="preserve"> 1.</w:t>
      </w:r>
    </w:p>
    <w:p w:rsidRPr="008D66F9" w:rsidR="006C340C" w:rsidP="00124007" w:rsidRDefault="006C340C">
      <w:pPr>
        <w:pStyle w:val="JuH1"/>
        <w:outlineLvl w:val="0"/>
        <w:rPr>
          <w:lang w:val="en-GB"/>
        </w:rPr>
      </w:pPr>
      <w:r w:rsidRPr="00824B80">
        <w:rPr>
          <w:lang w:val="en-GB"/>
        </w:rPr>
        <w:t>2.  </w:t>
      </w:r>
      <w:r w:rsidRPr="008D66F9" w:rsidR="008D66F9">
        <w:rPr>
          <w:lang w:val="en-GB"/>
        </w:rPr>
        <w:t>Submissions of those appearing before the Court</w:t>
      </w:r>
    </w:p>
    <w:p w:rsidR="00967E1F" w:rsidP="006C340C" w:rsidRDefault="00143E15">
      <w:pPr>
        <w:pStyle w:val="JuHa"/>
        <w:rPr>
          <w:lang w:val="en-GB"/>
        </w:rPr>
      </w:pPr>
      <w:r>
        <w:rPr>
          <w:lang w:val="en-GB"/>
        </w:rPr>
        <w:t>(</w:t>
      </w:r>
      <w:r w:rsidRPr="00824B80" w:rsidR="006C340C">
        <w:rPr>
          <w:lang w:val="en-GB"/>
        </w:rPr>
        <w:t>a)  </w:t>
      </w:r>
      <w:r w:rsidRPr="00824B80" w:rsidR="008D66F9">
        <w:rPr>
          <w:lang w:val="en-GB"/>
        </w:rPr>
        <w:t>The applicant</w:t>
      </w:r>
      <w:r w:rsidRPr="00824B80" w:rsidR="006C340C">
        <w:rPr>
          <w:lang w:val="en-GB"/>
        </w:rPr>
        <w:t>s</w:t>
      </w:r>
    </w:p>
    <w:p w:rsidRPr="008D66F9" w:rsidR="006C340C" w:rsidP="006C340C" w:rsidRDefault="006C340C">
      <w:pPr>
        <w:pStyle w:val="JuPara"/>
        <w:rPr>
          <w:lang w:val="en-GB"/>
        </w:rPr>
      </w:pPr>
      <w:r w:rsidRPr="00C2011C">
        <w:fldChar w:fldCharType="begin"/>
      </w:r>
      <w:r w:rsidRPr="00824B80">
        <w:rPr>
          <w:lang w:val="en-GB"/>
        </w:rPr>
        <w:instrText xml:space="preserve"> SEQ level0 \*arabic </w:instrText>
      </w:r>
      <w:r w:rsidRPr="00C2011C">
        <w:fldChar w:fldCharType="separate"/>
      </w:r>
      <w:r w:rsidR="008B3B68">
        <w:rPr>
          <w:noProof/>
          <w:lang w:val="en-GB"/>
        </w:rPr>
        <w:t>107</w:t>
      </w:r>
      <w:r w:rsidRPr="00C2011C">
        <w:fldChar w:fldCharType="end"/>
      </w:r>
      <w:r w:rsidRPr="00824B80">
        <w:rPr>
          <w:lang w:val="en-GB"/>
        </w:rPr>
        <w:t>.  </w:t>
      </w:r>
      <w:r w:rsidRPr="008D66F9" w:rsidR="008D66F9">
        <w:rPr>
          <w:lang w:val="en-GB"/>
        </w:rPr>
        <w:t>The applicants reiterated that, prior to the entry into force of section</w:t>
      </w:r>
      <w:r w:rsidRPr="008D66F9">
        <w:rPr>
          <w:lang w:val="en-GB"/>
        </w:rPr>
        <w:t> 5</w:t>
      </w:r>
      <w:r w:rsidR="00210E54">
        <w:rPr>
          <w:lang w:val="en-GB"/>
        </w:rPr>
        <w:t xml:space="preserve"> </w:t>
      </w:r>
      <w:r w:rsidRPr="008D66F9">
        <w:rPr>
          <w:i/>
          <w:lang w:val="en-GB"/>
        </w:rPr>
        <w:t>bis</w:t>
      </w:r>
      <w:r w:rsidRPr="008D66F9">
        <w:rPr>
          <w:lang w:val="en-GB"/>
        </w:rPr>
        <w:t xml:space="preserve"> </w:t>
      </w:r>
      <w:r w:rsidRPr="008D66F9" w:rsidR="008D66F9">
        <w:rPr>
          <w:lang w:val="en-GB"/>
        </w:rPr>
        <w:t>of Law no.</w:t>
      </w:r>
      <w:r w:rsidR="00210E54">
        <w:rPr>
          <w:lang w:val="en-GB"/>
        </w:rPr>
        <w:t xml:space="preserve"> </w:t>
      </w:r>
      <w:r w:rsidRPr="008D66F9">
        <w:rPr>
          <w:lang w:val="en-GB"/>
        </w:rPr>
        <w:t>359</w:t>
      </w:r>
      <w:r w:rsidRPr="008D66F9" w:rsidR="008D66F9">
        <w:rPr>
          <w:lang w:val="en-GB"/>
        </w:rPr>
        <w:t>/</w:t>
      </w:r>
      <w:r w:rsidRPr="008D66F9">
        <w:rPr>
          <w:lang w:val="en-GB"/>
        </w:rPr>
        <w:t xml:space="preserve">1992, </w:t>
      </w:r>
      <w:r w:rsidRPr="008D66F9" w:rsidR="008D66F9">
        <w:rPr>
          <w:lang w:val="en-GB"/>
        </w:rPr>
        <w:t>their land had already been expropriated and they had brou</w:t>
      </w:r>
      <w:r w:rsidR="008D66F9">
        <w:rPr>
          <w:lang w:val="en-GB"/>
        </w:rPr>
        <w:t xml:space="preserve">ght legal proceedings seeking compensation to which they could legitimately expect to be entitled under Law no. </w:t>
      </w:r>
      <w:r w:rsidRPr="008D66F9">
        <w:rPr>
          <w:lang w:val="en-GB"/>
        </w:rPr>
        <w:t>2359</w:t>
      </w:r>
      <w:r w:rsidR="008D66F9">
        <w:rPr>
          <w:lang w:val="en-GB"/>
        </w:rPr>
        <w:t>/</w:t>
      </w:r>
      <w:r w:rsidRPr="008D66F9">
        <w:rPr>
          <w:lang w:val="en-GB"/>
        </w:rPr>
        <w:t xml:space="preserve">1865. </w:t>
      </w:r>
      <w:r w:rsidRPr="008D66F9" w:rsidR="008D66F9">
        <w:rPr>
          <w:lang w:val="en-GB"/>
        </w:rPr>
        <w:t>As the law in question was applicable to ex</w:t>
      </w:r>
      <w:r w:rsidRPr="008D66F9">
        <w:rPr>
          <w:lang w:val="en-GB"/>
        </w:rPr>
        <w:t>propriation</w:t>
      </w:r>
      <w:r w:rsidRPr="008D66F9" w:rsidR="008D66F9">
        <w:rPr>
          <w:lang w:val="en-GB"/>
        </w:rPr>
        <w:t xml:space="preserve">s </w:t>
      </w:r>
      <w:r w:rsidR="009E03DC">
        <w:rPr>
          <w:lang w:val="en-GB"/>
        </w:rPr>
        <w:t xml:space="preserve">that were </w:t>
      </w:r>
      <w:r w:rsidRPr="008D66F9" w:rsidR="008D66F9">
        <w:rPr>
          <w:lang w:val="en-GB"/>
        </w:rPr>
        <w:t>under way and to the related proceedings</w:t>
      </w:r>
      <w:r w:rsidRPr="008D66F9">
        <w:rPr>
          <w:lang w:val="en-GB"/>
        </w:rPr>
        <w:t xml:space="preserve">, </w:t>
      </w:r>
      <w:r w:rsidRPr="008D66F9" w:rsidR="008D66F9">
        <w:rPr>
          <w:lang w:val="en-GB"/>
        </w:rPr>
        <w:t>including the ones concerning them</w:t>
      </w:r>
      <w:r w:rsidRPr="008D66F9">
        <w:rPr>
          <w:lang w:val="en-GB"/>
        </w:rPr>
        <w:t xml:space="preserve">, </w:t>
      </w:r>
      <w:r w:rsidR="008D66F9">
        <w:rPr>
          <w:lang w:val="en-GB"/>
        </w:rPr>
        <w:t xml:space="preserve">it had </w:t>
      </w:r>
      <w:r w:rsidR="009E03DC">
        <w:rPr>
          <w:lang w:val="en-GB"/>
        </w:rPr>
        <w:t xml:space="preserve">had </w:t>
      </w:r>
      <w:r w:rsidR="008D66F9">
        <w:rPr>
          <w:lang w:val="en-GB"/>
        </w:rPr>
        <w:t>the effect of depriving them of a substantial part of the compensation to which they were entitled</w:t>
      </w:r>
      <w:r w:rsidRPr="008D66F9">
        <w:rPr>
          <w:lang w:val="en-GB"/>
        </w:rPr>
        <w:t xml:space="preserve">. </w:t>
      </w:r>
      <w:r w:rsidRPr="008D66F9" w:rsidR="008D66F9">
        <w:rPr>
          <w:lang w:val="en-GB"/>
        </w:rPr>
        <w:t>The enactment of that law therefore amount</w:t>
      </w:r>
      <w:r w:rsidR="00E22BB8">
        <w:rPr>
          <w:lang w:val="en-GB"/>
        </w:rPr>
        <w:t>ed</w:t>
      </w:r>
      <w:r w:rsidRPr="008D66F9" w:rsidR="008D66F9">
        <w:rPr>
          <w:lang w:val="en-GB"/>
        </w:rPr>
        <w:t xml:space="preserve"> to an interfere</w:t>
      </w:r>
      <w:r w:rsidR="008D66F9">
        <w:rPr>
          <w:lang w:val="en-GB"/>
        </w:rPr>
        <w:t>nce with the applicants</w:t>
      </w:r>
      <w:r w:rsidR="00E6191D">
        <w:rPr>
          <w:lang w:val="en-GB"/>
        </w:rPr>
        <w:t>’</w:t>
      </w:r>
      <w:r w:rsidR="008D66F9">
        <w:rPr>
          <w:lang w:val="en-GB"/>
        </w:rPr>
        <w:t xml:space="preserve"> right to the peaceful enjoyment of their possessions</w:t>
      </w:r>
      <w:r w:rsidR="00007045">
        <w:rPr>
          <w:lang w:val="en-GB"/>
        </w:rPr>
        <w:t xml:space="preserve"> that was incompatible with A</w:t>
      </w:r>
      <w:r w:rsidRPr="00007045" w:rsidR="00007045">
        <w:rPr>
          <w:lang w:val="en-GB"/>
        </w:rPr>
        <w:t xml:space="preserve">rticle 1 </w:t>
      </w:r>
      <w:r w:rsidR="00007045">
        <w:rPr>
          <w:lang w:val="en-GB"/>
        </w:rPr>
        <w:t>of</w:t>
      </w:r>
      <w:r w:rsidRPr="00007045" w:rsidR="00007045">
        <w:rPr>
          <w:lang w:val="en-GB"/>
        </w:rPr>
        <w:t xml:space="preserve"> Protocol</w:t>
      </w:r>
      <w:r w:rsidR="00007045">
        <w:rPr>
          <w:lang w:val="en-GB"/>
        </w:rPr>
        <w:t xml:space="preserve"> No. </w:t>
      </w:r>
      <w:r w:rsidRPr="00007045" w:rsidR="00007045">
        <w:rPr>
          <w:lang w:val="en-GB"/>
        </w:rPr>
        <w:t>1</w:t>
      </w:r>
      <w:r w:rsidR="008D66F9">
        <w:rPr>
          <w:lang w:val="en-GB"/>
        </w:rPr>
        <w:t>.</w:t>
      </w:r>
    </w:p>
    <w:p w:rsidR="00967E1F" w:rsidP="00124007" w:rsidRDefault="00143E15">
      <w:pPr>
        <w:pStyle w:val="JuHa"/>
        <w:outlineLvl w:val="0"/>
        <w:rPr>
          <w:lang w:val="en-GB"/>
        </w:rPr>
      </w:pPr>
      <w:r>
        <w:rPr>
          <w:lang w:val="en-GB"/>
        </w:rPr>
        <w:t>(</w:t>
      </w:r>
      <w:r w:rsidRPr="00824B80" w:rsidR="006C340C">
        <w:rPr>
          <w:lang w:val="en-GB"/>
        </w:rPr>
        <w:t>b)  </w:t>
      </w:r>
      <w:r w:rsidRPr="00824B80" w:rsidR="00647F35">
        <w:rPr>
          <w:lang w:val="en-GB"/>
        </w:rPr>
        <w:t>The Govern</w:t>
      </w:r>
      <w:r w:rsidRPr="00824B80" w:rsidR="006C340C">
        <w:rPr>
          <w:lang w:val="en-GB"/>
        </w:rPr>
        <w:t>ment</w:t>
      </w:r>
    </w:p>
    <w:p w:rsidRPr="00E21B3A" w:rsidR="006C340C" w:rsidP="006C340C" w:rsidRDefault="00E22BB8">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108</w:t>
      </w:r>
      <w:r>
        <w:rPr>
          <w:lang w:val="en-GB"/>
        </w:rPr>
        <w:fldChar w:fldCharType="end"/>
      </w:r>
      <w:r>
        <w:rPr>
          <w:lang w:val="en-GB"/>
        </w:rPr>
        <w:t>.  </w:t>
      </w:r>
      <w:r w:rsidRPr="00647F35" w:rsidR="00647F35">
        <w:rPr>
          <w:lang w:val="en-GB"/>
        </w:rPr>
        <w:t xml:space="preserve">The Government </w:t>
      </w:r>
      <w:r w:rsidRPr="00F426FC" w:rsidR="00F426FC">
        <w:rPr>
          <w:lang w:val="en-GB"/>
        </w:rPr>
        <w:t>denied that the new law had been of retrospective application</w:t>
      </w:r>
      <w:r>
        <w:rPr>
          <w:lang w:val="en-GB"/>
        </w:rPr>
        <w:t>.</w:t>
      </w:r>
      <w:r w:rsidRPr="00F426FC" w:rsidR="006C340C">
        <w:rPr>
          <w:lang w:val="en-GB"/>
        </w:rPr>
        <w:t xml:space="preserve"> </w:t>
      </w:r>
      <w:r w:rsidRPr="00F426FC" w:rsidR="00F426FC">
        <w:rPr>
          <w:lang w:val="en-GB"/>
        </w:rPr>
        <w:t xml:space="preserve">In any event, </w:t>
      </w:r>
      <w:r w:rsidR="009F4EF8">
        <w:rPr>
          <w:lang w:val="en-GB"/>
        </w:rPr>
        <w:t>they</w:t>
      </w:r>
      <w:r w:rsidRPr="00F426FC" w:rsidR="00F426FC">
        <w:rPr>
          <w:lang w:val="en-GB"/>
        </w:rPr>
        <w:t xml:space="preserve"> submitted that the</w:t>
      </w:r>
      <w:r w:rsidRPr="00F426FC" w:rsidR="006C340C">
        <w:rPr>
          <w:lang w:val="en-GB"/>
        </w:rPr>
        <w:t xml:space="preserve"> Convention </w:t>
      </w:r>
      <w:r w:rsidRPr="00F426FC" w:rsidR="00F426FC">
        <w:rPr>
          <w:lang w:val="en-GB"/>
        </w:rPr>
        <w:t xml:space="preserve">did not prohibit the retrospective application of laws and </w:t>
      </w:r>
      <w:r w:rsidR="009E03DC">
        <w:rPr>
          <w:lang w:val="en-GB"/>
        </w:rPr>
        <w:t>that, even</w:t>
      </w:r>
      <w:r w:rsidRPr="00F426FC" w:rsidR="00F426FC">
        <w:rPr>
          <w:lang w:val="en-GB"/>
        </w:rPr>
        <w:t xml:space="preserve"> assuming tha</w:t>
      </w:r>
      <w:r w:rsidR="00F426FC">
        <w:rPr>
          <w:lang w:val="en-GB"/>
        </w:rPr>
        <w:t>t there had been i</w:t>
      </w:r>
      <w:r w:rsidR="007B5D41">
        <w:rPr>
          <w:lang w:val="en-GB"/>
        </w:rPr>
        <w:t>nterference by the legislature,</w:t>
      </w:r>
      <w:r w:rsidR="000E7E5D">
        <w:rPr>
          <w:lang w:val="en-GB"/>
        </w:rPr>
        <w:t xml:space="preserve"> </w:t>
      </w:r>
      <w:r w:rsidR="00F426FC">
        <w:rPr>
          <w:lang w:val="en-GB"/>
        </w:rPr>
        <w:t>that interference</w:t>
      </w:r>
      <w:r w:rsidR="009E03DC">
        <w:rPr>
          <w:lang w:val="en-GB"/>
        </w:rPr>
        <w:t xml:space="preserve"> therefore</w:t>
      </w:r>
      <w:r w:rsidR="00F426FC">
        <w:rPr>
          <w:lang w:val="en-GB"/>
        </w:rPr>
        <w:t xml:space="preserve"> fell within the margin of appre</w:t>
      </w:r>
      <w:r w:rsidRPr="00F426FC" w:rsidR="006C340C">
        <w:rPr>
          <w:lang w:val="en-GB"/>
        </w:rPr>
        <w:t xml:space="preserve">ciation </w:t>
      </w:r>
      <w:r w:rsidR="00F426FC">
        <w:rPr>
          <w:lang w:val="en-GB"/>
        </w:rPr>
        <w:t>left to the States and was justified</w:t>
      </w:r>
      <w:r w:rsidRPr="00F426FC" w:rsidR="006C340C">
        <w:rPr>
          <w:lang w:val="en-GB"/>
        </w:rPr>
        <w:t>.</w:t>
      </w:r>
      <w:r w:rsidR="00210E54">
        <w:rPr>
          <w:lang w:val="en-GB"/>
        </w:rPr>
        <w:t xml:space="preserve"> </w:t>
      </w:r>
      <w:r w:rsidRPr="00E21B3A" w:rsidR="00E21B3A">
        <w:rPr>
          <w:lang w:val="en-GB"/>
        </w:rPr>
        <w:t>With regard to a fair balance, they pointed out that the</w:t>
      </w:r>
      <w:r w:rsidR="00E21B3A">
        <w:rPr>
          <w:lang w:val="en-GB"/>
        </w:rPr>
        <w:t xml:space="preserve"> applicants</w:t>
      </w:r>
      <w:r w:rsidR="00E6191D">
        <w:rPr>
          <w:lang w:val="en-GB"/>
        </w:rPr>
        <w:t>’</w:t>
      </w:r>
      <w:r w:rsidRPr="00E21B3A" w:rsidR="00E21B3A">
        <w:rPr>
          <w:lang w:val="en-GB"/>
        </w:rPr>
        <w:t xml:space="preserve"> right to compensat</w:t>
      </w:r>
      <w:r w:rsidR="00E21B3A">
        <w:rPr>
          <w:lang w:val="en-GB"/>
        </w:rPr>
        <w:t>i</w:t>
      </w:r>
      <w:r w:rsidRPr="00E21B3A" w:rsidR="00E21B3A">
        <w:rPr>
          <w:lang w:val="en-GB"/>
        </w:rPr>
        <w:t xml:space="preserve">on </w:t>
      </w:r>
      <w:r w:rsidR="00E21B3A">
        <w:rPr>
          <w:lang w:val="en-GB"/>
        </w:rPr>
        <w:t>had not been called into</w:t>
      </w:r>
      <w:r w:rsidRPr="00E21B3A" w:rsidR="006C340C">
        <w:rPr>
          <w:lang w:val="en-GB"/>
        </w:rPr>
        <w:t xml:space="preserve"> question, </w:t>
      </w:r>
      <w:r w:rsidR="00E21B3A">
        <w:rPr>
          <w:lang w:val="en-GB"/>
        </w:rPr>
        <w:t xml:space="preserve">and that the provision in question had been limited to restricting the </w:t>
      </w:r>
      <w:r w:rsidR="009F4EF8">
        <w:rPr>
          <w:lang w:val="en-GB"/>
        </w:rPr>
        <w:t>amount</w:t>
      </w:r>
      <w:r w:rsidR="00E21B3A">
        <w:rPr>
          <w:lang w:val="en-GB"/>
        </w:rPr>
        <w:t xml:space="preserve"> of compensation</w:t>
      </w:r>
      <w:r>
        <w:rPr>
          <w:lang w:val="en-GB"/>
        </w:rPr>
        <w:t xml:space="preserve"> payable</w:t>
      </w:r>
      <w:r w:rsidRPr="00E21B3A" w:rsidR="006C340C">
        <w:rPr>
          <w:lang w:val="en-GB"/>
        </w:rPr>
        <w:t>.</w:t>
      </w:r>
    </w:p>
    <w:p w:rsidRPr="00143E15" w:rsidR="00967E1F" w:rsidP="00124007" w:rsidRDefault="00143E15">
      <w:pPr>
        <w:pStyle w:val="JuH1"/>
        <w:ind w:left="431" w:firstLine="0"/>
        <w:outlineLvl w:val="0"/>
        <w:rPr>
          <w:lang w:val="en-GB"/>
        </w:rPr>
      </w:pPr>
      <w:r w:rsidRPr="00143E15">
        <w:rPr>
          <w:lang w:val="en-GB"/>
        </w:rPr>
        <w:t>3.  </w:t>
      </w:r>
      <w:r w:rsidRPr="00143E15" w:rsidR="002B6DC0">
        <w:rPr>
          <w:lang w:val="en-GB"/>
        </w:rPr>
        <w:t>The Court</w:t>
      </w:r>
      <w:r w:rsidR="00E6191D">
        <w:rPr>
          <w:lang w:val="en-GB"/>
        </w:rPr>
        <w:t>’</w:t>
      </w:r>
      <w:r w:rsidRPr="00143E15" w:rsidR="002B6DC0">
        <w:rPr>
          <w:lang w:val="en-GB"/>
        </w:rPr>
        <w:t>s assessment</w:t>
      </w:r>
    </w:p>
    <w:p w:rsidR="00C45041" w:rsidP="002B6DC0" w:rsidRDefault="00C45041">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109</w:t>
      </w:r>
      <w:r>
        <w:rPr>
          <w:lang w:val="en-GB"/>
        </w:rPr>
        <w:fldChar w:fldCharType="end"/>
      </w:r>
      <w:r>
        <w:rPr>
          <w:lang w:val="en-GB"/>
        </w:rPr>
        <w:t>.  In relation to their complaint of the retrospective a</w:t>
      </w:r>
      <w:r w:rsidR="009F4EF8">
        <w:rPr>
          <w:lang w:val="en-GB"/>
        </w:rPr>
        <w:t>pplication to their case of</w:t>
      </w:r>
      <w:r>
        <w:rPr>
          <w:lang w:val="en-GB"/>
        </w:rPr>
        <w:t xml:space="preserve"> Law</w:t>
      </w:r>
      <w:r w:rsidR="009F4EF8">
        <w:rPr>
          <w:lang w:val="en-GB"/>
        </w:rPr>
        <w:t xml:space="preserve"> no. 359/1992</w:t>
      </w:r>
      <w:r>
        <w:rPr>
          <w:lang w:val="en-GB"/>
        </w:rPr>
        <w:t>, the applicants alleged that the</w:t>
      </w:r>
      <w:r w:rsidR="00AB176B">
        <w:rPr>
          <w:lang w:val="en-GB"/>
        </w:rPr>
        <w:t>y had been deprived of the</w:t>
      </w:r>
      <w:r>
        <w:rPr>
          <w:lang w:val="en-GB"/>
        </w:rPr>
        <w:t xml:space="preserve"> right to compensation provided for in the legislation previously applicable to cases of expropriation of land.</w:t>
      </w:r>
    </w:p>
    <w:p w:rsidR="00C45041" w:rsidP="002B6DC0" w:rsidRDefault="00C45041">
      <w:pPr>
        <w:pStyle w:val="JuPara"/>
        <w:rPr>
          <w:lang w:val="en-GB"/>
        </w:rPr>
      </w:pPr>
      <w:r>
        <w:rPr>
          <w:lang w:val="en-GB"/>
        </w:rPr>
        <w:t xml:space="preserve">The </w:t>
      </w:r>
      <w:r w:rsidR="0036220C">
        <w:rPr>
          <w:lang w:val="en-GB"/>
        </w:rPr>
        <w:t>Court</w:t>
      </w:r>
      <w:r w:rsidRPr="002B6DC0" w:rsidR="002B6DC0">
        <w:rPr>
          <w:lang w:val="en-GB"/>
        </w:rPr>
        <w:t xml:space="preserve"> considers that the </w:t>
      </w:r>
      <w:r>
        <w:rPr>
          <w:lang w:val="en-GB"/>
        </w:rPr>
        <w:t>applicants</w:t>
      </w:r>
      <w:r w:rsidR="00E6191D">
        <w:rPr>
          <w:lang w:val="en-GB"/>
        </w:rPr>
        <w:t>’</w:t>
      </w:r>
      <w:r>
        <w:rPr>
          <w:lang w:val="en-GB"/>
        </w:rPr>
        <w:t xml:space="preserve"> complaint in this regard </w:t>
      </w:r>
      <w:r w:rsidR="00451D1A">
        <w:rPr>
          <w:lang w:val="en-GB"/>
        </w:rPr>
        <w:t>is subsumed by</w:t>
      </w:r>
      <w:r>
        <w:rPr>
          <w:lang w:val="en-GB"/>
        </w:rPr>
        <w:t xml:space="preserve"> the one raised regarding the inadequacy of the</w:t>
      </w:r>
      <w:r w:rsidR="00967E1F">
        <w:rPr>
          <w:lang w:val="en-GB"/>
        </w:rPr>
        <w:t xml:space="preserve"> </w:t>
      </w:r>
      <w:r>
        <w:rPr>
          <w:lang w:val="en-GB"/>
        </w:rPr>
        <w:t>expropriation compensation (see paragraphs 7</w:t>
      </w:r>
      <w:r w:rsidR="0036220C">
        <w:rPr>
          <w:lang w:val="en-GB"/>
        </w:rPr>
        <w:t>8</w:t>
      </w:r>
      <w:r>
        <w:rPr>
          <w:lang w:val="en-GB"/>
        </w:rPr>
        <w:t>-10</w:t>
      </w:r>
      <w:r w:rsidR="0036220C">
        <w:rPr>
          <w:lang w:val="en-GB"/>
        </w:rPr>
        <w:t>4 above</w:t>
      </w:r>
      <w:r>
        <w:rPr>
          <w:lang w:val="en-GB"/>
        </w:rPr>
        <w:t>) and the one they raised regarding interference by the legislature in the judicial process (see paragraphs 1</w:t>
      </w:r>
      <w:r w:rsidR="0036220C">
        <w:rPr>
          <w:lang w:val="en-GB"/>
        </w:rPr>
        <w:t>11</w:t>
      </w:r>
      <w:r>
        <w:rPr>
          <w:lang w:val="en-GB"/>
        </w:rPr>
        <w:t>-</w:t>
      </w:r>
      <w:r w:rsidR="007B5D41">
        <w:rPr>
          <w:lang w:val="en-GB"/>
        </w:rPr>
        <w:t>3</w:t>
      </w:r>
      <w:r w:rsidR="0036220C">
        <w:rPr>
          <w:lang w:val="en-GB"/>
        </w:rPr>
        <w:t>3 below)</w:t>
      </w:r>
      <w:r>
        <w:rPr>
          <w:lang w:val="en-GB"/>
        </w:rPr>
        <w:t>.</w:t>
      </w:r>
    </w:p>
    <w:p w:rsidRPr="002B6DC0" w:rsidR="002B6DC0" w:rsidP="002B6DC0" w:rsidRDefault="00C45041">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110</w:t>
      </w:r>
      <w:r>
        <w:rPr>
          <w:lang w:val="en-GB"/>
        </w:rPr>
        <w:fldChar w:fldCharType="end"/>
      </w:r>
      <w:r>
        <w:rPr>
          <w:lang w:val="en-GB"/>
        </w:rPr>
        <w:t>.  </w:t>
      </w:r>
      <w:r w:rsidRPr="002B6DC0" w:rsidR="002B6DC0">
        <w:rPr>
          <w:lang w:val="en-GB"/>
        </w:rPr>
        <w:t xml:space="preserve">Accordingly, </w:t>
      </w:r>
      <w:r w:rsidR="00451D1A">
        <w:rPr>
          <w:lang w:val="en-GB"/>
        </w:rPr>
        <w:t>having regard to the conclusion</w:t>
      </w:r>
      <w:r w:rsidR="00950FAA">
        <w:rPr>
          <w:lang w:val="en-GB"/>
        </w:rPr>
        <w:t>s</w:t>
      </w:r>
      <w:r w:rsidR="00451D1A">
        <w:rPr>
          <w:lang w:val="en-GB"/>
        </w:rPr>
        <w:t xml:space="preserve"> </w:t>
      </w:r>
      <w:r w:rsidR="00B700BD">
        <w:rPr>
          <w:lang w:val="en-GB"/>
        </w:rPr>
        <w:t>set out</w:t>
      </w:r>
      <w:r w:rsidR="00451D1A">
        <w:rPr>
          <w:lang w:val="en-GB"/>
        </w:rPr>
        <w:t xml:space="preserve"> in paragraph</w:t>
      </w:r>
      <w:r w:rsidR="005347B8">
        <w:rPr>
          <w:lang w:val="en-GB"/>
        </w:rPr>
        <w:t>s </w:t>
      </w:r>
      <w:r w:rsidR="00451D1A">
        <w:rPr>
          <w:lang w:val="en-GB"/>
        </w:rPr>
        <w:t>10</w:t>
      </w:r>
      <w:r w:rsidR="00950FAA">
        <w:rPr>
          <w:lang w:val="en-GB"/>
        </w:rPr>
        <w:t>4</w:t>
      </w:r>
      <w:r w:rsidR="00451D1A">
        <w:rPr>
          <w:lang w:val="en-GB"/>
        </w:rPr>
        <w:t xml:space="preserve"> and 1</w:t>
      </w:r>
      <w:r w:rsidR="009206DE">
        <w:rPr>
          <w:lang w:val="en-GB"/>
        </w:rPr>
        <w:t>3</w:t>
      </w:r>
      <w:r w:rsidR="00950FAA">
        <w:rPr>
          <w:lang w:val="en-GB"/>
        </w:rPr>
        <w:t>3</w:t>
      </w:r>
      <w:r w:rsidR="00451D1A">
        <w:rPr>
          <w:lang w:val="en-GB"/>
        </w:rPr>
        <w:t>, the C</w:t>
      </w:r>
      <w:r w:rsidR="00696446">
        <w:rPr>
          <w:lang w:val="en-GB"/>
        </w:rPr>
        <w:t>ourt</w:t>
      </w:r>
      <w:r w:rsidR="00451D1A">
        <w:rPr>
          <w:lang w:val="en-GB"/>
        </w:rPr>
        <w:t xml:space="preserve"> does not</w:t>
      </w:r>
      <w:r w:rsidRPr="002B6DC0" w:rsidR="002B6DC0">
        <w:rPr>
          <w:lang w:val="en-GB"/>
        </w:rPr>
        <w:t xml:space="preserve"> consider</w:t>
      </w:r>
      <w:r w:rsidR="00451D1A">
        <w:rPr>
          <w:lang w:val="en-GB"/>
        </w:rPr>
        <w:t xml:space="preserve"> it necessary to examine separately under Article 1 of Protocol No. 1 the complain</w:t>
      </w:r>
      <w:r w:rsidR="00B700BD">
        <w:rPr>
          <w:lang w:val="en-GB"/>
        </w:rPr>
        <w:t>t</w:t>
      </w:r>
      <w:r w:rsidR="00451D1A">
        <w:rPr>
          <w:lang w:val="en-GB"/>
        </w:rPr>
        <w:t xml:space="preserve"> based on interference by the legislature</w:t>
      </w:r>
      <w:r w:rsidR="002B6DC0">
        <w:rPr>
          <w:lang w:val="en-GB"/>
        </w:rPr>
        <w:t>.</w:t>
      </w:r>
    </w:p>
    <w:p w:rsidRPr="00824B80" w:rsidR="00824B80" w:rsidP="000C575D" w:rsidRDefault="00824B80">
      <w:pPr>
        <w:pStyle w:val="JuHIRoman"/>
      </w:pPr>
      <w:r w:rsidRPr="0076757E">
        <w:t>II.  </w:t>
      </w:r>
      <w:r w:rsidRPr="00824B80">
        <w:t xml:space="preserve">ALLEGED VIOLATION OF ARTICLE 6 § 1 OF THE CONVENTION </w:t>
      </w:r>
      <w:r w:rsidR="00BE6974">
        <w:t>ON ACCOUNT OF</w:t>
      </w:r>
      <w:r w:rsidRPr="00824B80">
        <w:t xml:space="preserve"> THE </w:t>
      </w:r>
      <w:r w:rsidR="00BE6974">
        <w:t>UN</w:t>
      </w:r>
      <w:r w:rsidRPr="00824B80">
        <w:t>FAIRNESS OF THE PROCEEDINGS</w:t>
      </w:r>
    </w:p>
    <w:p w:rsidR="00824B80" w:rsidP="00824B80" w:rsidRDefault="00B700BD">
      <w:pPr>
        <w:pStyle w:val="JuParaChar1Char"/>
        <w:rPr>
          <w:color w:val="000000"/>
        </w:rPr>
      </w:pPr>
      <w:r>
        <w:rPr>
          <w:color w:val="000000"/>
        </w:rPr>
        <w:fldChar w:fldCharType="begin"/>
      </w:r>
      <w:r>
        <w:rPr>
          <w:color w:val="000000"/>
        </w:rPr>
        <w:instrText xml:space="preserve"> SEQ level0 \*arabic </w:instrText>
      </w:r>
      <w:r>
        <w:rPr>
          <w:color w:val="000000"/>
        </w:rPr>
        <w:fldChar w:fldCharType="separate"/>
      </w:r>
      <w:r w:rsidR="008B3B68">
        <w:rPr>
          <w:noProof/>
          <w:color w:val="000000"/>
        </w:rPr>
        <w:t>111</w:t>
      </w:r>
      <w:r>
        <w:rPr>
          <w:color w:val="000000"/>
        </w:rPr>
        <w:fldChar w:fldCharType="end"/>
      </w:r>
      <w:r>
        <w:rPr>
          <w:color w:val="000000"/>
        </w:rPr>
        <w:t>.  </w:t>
      </w:r>
      <w:r w:rsidRPr="00824B80" w:rsidR="00824B80">
        <w:rPr>
          <w:color w:val="000000"/>
        </w:rPr>
        <w:t xml:space="preserve">The applicants alleged that the enactment and application </w:t>
      </w:r>
      <w:r w:rsidRPr="00824B80">
        <w:t xml:space="preserve">to their case </w:t>
      </w:r>
      <w:r w:rsidRPr="00824B80" w:rsidR="00824B80">
        <w:rPr>
          <w:color w:val="000000"/>
        </w:rPr>
        <w:t>of section</w:t>
      </w:r>
      <w:r w:rsidR="00210E54">
        <w:rPr>
          <w:color w:val="000000"/>
        </w:rPr>
        <w:t xml:space="preserve"> </w:t>
      </w:r>
      <w:r w:rsidRPr="00824B80" w:rsidR="00824B80">
        <w:rPr>
          <w:color w:val="000000"/>
        </w:rPr>
        <w:t xml:space="preserve">5 </w:t>
      </w:r>
      <w:r w:rsidRPr="00824B80" w:rsidR="00824B80">
        <w:rPr>
          <w:i/>
          <w:color w:val="000000"/>
        </w:rPr>
        <w:t xml:space="preserve">bis </w:t>
      </w:r>
      <w:r w:rsidRPr="00824B80" w:rsidR="00824B80">
        <w:t>of Law no.</w:t>
      </w:r>
      <w:r w:rsidR="00210E54">
        <w:t xml:space="preserve"> </w:t>
      </w:r>
      <w:r w:rsidRPr="00824B80" w:rsidR="00824B80">
        <w:t xml:space="preserve">359/1992 amounted to interference by the legislature in breach of </w:t>
      </w:r>
      <w:r w:rsidR="00824B80">
        <w:t>their right to a fair hearing</w:t>
      </w:r>
      <w:r w:rsidRPr="00824B80" w:rsidR="00824B80">
        <w:t xml:space="preserve"> </w:t>
      </w:r>
      <w:r w:rsidR="00824B80">
        <w:t>as guaranteed by A</w:t>
      </w:r>
      <w:r w:rsidRPr="00824B80" w:rsidR="00824B80">
        <w:rPr>
          <w:color w:val="000000"/>
        </w:rPr>
        <w:t>rticle</w:t>
      </w:r>
      <w:r w:rsidR="00210E54">
        <w:rPr>
          <w:color w:val="000000"/>
        </w:rPr>
        <w:t> </w:t>
      </w:r>
      <w:r w:rsidRPr="00824B80" w:rsidR="00824B80">
        <w:rPr>
          <w:color w:val="000000"/>
        </w:rPr>
        <w:t xml:space="preserve">6 § 1 </w:t>
      </w:r>
      <w:r w:rsidR="00824B80">
        <w:rPr>
          <w:color w:val="000000"/>
        </w:rPr>
        <w:t xml:space="preserve">of the </w:t>
      </w:r>
      <w:r w:rsidRPr="00824B80" w:rsidR="00824B80">
        <w:rPr>
          <w:color w:val="000000"/>
        </w:rPr>
        <w:t>Convention</w:t>
      </w:r>
      <w:r w:rsidR="00824B80">
        <w:rPr>
          <w:color w:val="000000"/>
        </w:rPr>
        <w:t>, the relevant parts of which provide</w:t>
      </w:r>
      <w:r w:rsidRPr="00824B80" w:rsidR="00824B80">
        <w:rPr>
          <w:color w:val="000000"/>
        </w:rPr>
        <w:t>:</w:t>
      </w:r>
    </w:p>
    <w:p w:rsidR="00824B80" w:rsidP="00824B80" w:rsidRDefault="00824B80">
      <w:pPr>
        <w:pStyle w:val="JuQuotChar1"/>
      </w:pPr>
      <w:r w:rsidRPr="00824B80">
        <w:t xml:space="preserve">“In the determination of his civil rights and obligations </w:t>
      </w:r>
      <w:r w:rsidR="00B9248D">
        <w:t>...</w:t>
      </w:r>
      <w:r w:rsidRPr="00824B80">
        <w:t xml:space="preserve">, everyone is entitled to a fair </w:t>
      </w:r>
      <w:r w:rsidR="00B9248D">
        <w:t>...</w:t>
      </w:r>
      <w:r w:rsidRPr="00824B80">
        <w:t xml:space="preserve"> hearing </w:t>
      </w:r>
      <w:r>
        <w:t xml:space="preserve">within a reasonable time by [a] </w:t>
      </w:r>
      <w:r w:rsidR="00B9248D">
        <w:t>...</w:t>
      </w:r>
      <w:r w:rsidR="00A3566A">
        <w:t xml:space="preserve"> tribunal </w:t>
      </w:r>
      <w:r w:rsidR="00B9248D">
        <w:t>...</w:t>
      </w:r>
      <w:r w:rsidRPr="00824B80">
        <w:t>”</w:t>
      </w:r>
    </w:p>
    <w:p w:rsidRPr="00BE0920" w:rsidR="00824B80" w:rsidP="00126D84" w:rsidRDefault="00126D84">
      <w:pPr>
        <w:pStyle w:val="JuH1"/>
        <w:rPr>
          <w:lang w:val="en-GB"/>
        </w:rPr>
      </w:pPr>
      <w:r w:rsidRPr="00BE0920">
        <w:rPr>
          <w:lang w:val="en-GB"/>
        </w:rPr>
        <w:t>1.</w:t>
      </w:r>
      <w:r w:rsidRPr="00BE0920" w:rsidR="00824B80">
        <w:rPr>
          <w:lang w:val="en-GB"/>
        </w:rPr>
        <w:t>  The Chamber judgment</w:t>
      </w:r>
    </w:p>
    <w:p w:rsidR="00967E1F" w:rsidP="00824B80" w:rsidRDefault="00824B80">
      <w:pPr>
        <w:pStyle w:val="JuParaChar1"/>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112</w:t>
      </w:r>
      <w:r w:rsidRPr="00C2011C">
        <w:fldChar w:fldCharType="end"/>
      </w:r>
      <w:r w:rsidRPr="0076757E">
        <w:rPr>
          <w:lang w:val="en-GB"/>
        </w:rPr>
        <w:t xml:space="preserve">.  The Chamber held that the proceedings instituted by the applicants seeking compensation for the expropriation had been unfair because the domestic courts had </w:t>
      </w:r>
      <w:r w:rsidR="007B5D41">
        <w:rPr>
          <w:lang w:val="en-GB"/>
        </w:rPr>
        <w:t>based themselves</w:t>
      </w:r>
      <w:r w:rsidRPr="0076757E">
        <w:rPr>
          <w:lang w:val="en-GB"/>
        </w:rPr>
        <w:t xml:space="preserve"> on the impugned provision when deciding the matter of compensation for expropriation which had been referred to them. </w:t>
      </w:r>
      <w:r w:rsidRPr="00824B80">
        <w:rPr>
          <w:lang w:val="en-GB"/>
        </w:rPr>
        <w:t>It held that this had amounted to</w:t>
      </w:r>
      <w:r>
        <w:rPr>
          <w:lang w:val="en-GB"/>
        </w:rPr>
        <w:t xml:space="preserve"> </w:t>
      </w:r>
      <w:r w:rsidRPr="00824B80">
        <w:rPr>
          <w:lang w:val="en-GB"/>
        </w:rPr>
        <w:t xml:space="preserve">interference by the legislature </w:t>
      </w:r>
      <w:r w:rsidR="001A7C64">
        <w:rPr>
          <w:lang w:val="en-GB"/>
        </w:rPr>
        <w:t>in</w:t>
      </w:r>
      <w:r w:rsidRPr="00824B80">
        <w:rPr>
          <w:lang w:val="en-GB"/>
        </w:rPr>
        <w:t xml:space="preserve"> the judicial process </w:t>
      </w:r>
      <w:r w:rsidR="00BE6974">
        <w:rPr>
          <w:lang w:val="en-GB"/>
        </w:rPr>
        <w:t>with a view</w:t>
      </w:r>
      <w:r w:rsidRPr="00824B80">
        <w:rPr>
          <w:lang w:val="en-GB"/>
        </w:rPr>
        <w:t xml:space="preserve"> to influenc</w:t>
      </w:r>
      <w:r w:rsidR="00BE6974">
        <w:rPr>
          <w:lang w:val="en-GB"/>
        </w:rPr>
        <w:t>ing</w:t>
      </w:r>
      <w:r w:rsidRPr="00824B80">
        <w:rPr>
          <w:lang w:val="en-GB"/>
        </w:rPr>
        <w:t xml:space="preserve"> the determination of the dispute.</w:t>
      </w:r>
    </w:p>
    <w:p w:rsidRPr="001A7C64" w:rsidR="00824B80" w:rsidP="00124007" w:rsidRDefault="00126D84">
      <w:pPr>
        <w:pStyle w:val="JuH1"/>
        <w:outlineLvl w:val="0"/>
        <w:rPr>
          <w:lang w:val="en-GB"/>
        </w:rPr>
      </w:pPr>
      <w:r>
        <w:rPr>
          <w:lang w:val="en-GB"/>
        </w:rPr>
        <w:t>2</w:t>
      </w:r>
      <w:r w:rsidRPr="0076757E" w:rsidR="00824B80">
        <w:rPr>
          <w:lang w:val="en-GB"/>
        </w:rPr>
        <w:t>.  </w:t>
      </w:r>
      <w:r w:rsidRPr="001A7C64" w:rsidR="001A7C64">
        <w:rPr>
          <w:lang w:val="en-GB"/>
        </w:rPr>
        <w:t>Submissions of those appearing before the Court</w:t>
      </w:r>
    </w:p>
    <w:p w:rsidRPr="0076757E" w:rsidR="00824B80" w:rsidP="00824B80" w:rsidRDefault="00143E15">
      <w:pPr>
        <w:pStyle w:val="JuHa"/>
        <w:rPr>
          <w:lang w:val="en-GB"/>
        </w:rPr>
      </w:pPr>
      <w:r>
        <w:rPr>
          <w:lang w:val="en-GB"/>
        </w:rPr>
        <w:t>(</w:t>
      </w:r>
      <w:r w:rsidRPr="0076757E" w:rsidR="00824B80">
        <w:rPr>
          <w:lang w:val="en-GB"/>
        </w:rPr>
        <w:t>a)  </w:t>
      </w:r>
      <w:r w:rsidRPr="0076757E" w:rsidR="001A7C64">
        <w:rPr>
          <w:lang w:val="en-GB"/>
        </w:rPr>
        <w:t>The applican</w:t>
      </w:r>
      <w:r w:rsidRPr="0076757E" w:rsidR="00824B80">
        <w:rPr>
          <w:lang w:val="en-GB"/>
        </w:rPr>
        <w:t>ts</w:t>
      </w:r>
    </w:p>
    <w:p w:rsidR="00967E1F" w:rsidP="00824B80" w:rsidRDefault="00824B80">
      <w:pPr>
        <w:pStyle w:val="JuParaChar1"/>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113</w:t>
      </w:r>
      <w:r w:rsidRPr="00C2011C">
        <w:fldChar w:fldCharType="end"/>
      </w:r>
      <w:r w:rsidRPr="0076757E">
        <w:rPr>
          <w:lang w:val="en-GB"/>
        </w:rPr>
        <w:t>.  </w:t>
      </w:r>
      <w:r w:rsidRPr="0076757E" w:rsidR="001A7C64">
        <w:rPr>
          <w:lang w:val="en-GB"/>
        </w:rPr>
        <w:t xml:space="preserve">The applicants complained of an interference by the legislature in the judicial process on account of the enactment and </w:t>
      </w:r>
      <w:r w:rsidRPr="0076757E">
        <w:rPr>
          <w:lang w:val="en-GB"/>
        </w:rPr>
        <w:t xml:space="preserve">application </w:t>
      </w:r>
      <w:r w:rsidRPr="0076757E" w:rsidR="001A7C64">
        <w:rPr>
          <w:lang w:val="en-GB"/>
        </w:rPr>
        <w:t>to their case of section</w:t>
      </w:r>
      <w:r w:rsidRPr="0076757E">
        <w:rPr>
          <w:lang w:val="en-GB"/>
        </w:rPr>
        <w:t xml:space="preserve"> 5 </w:t>
      </w:r>
      <w:r w:rsidRPr="0076757E">
        <w:rPr>
          <w:i/>
          <w:lang w:val="en-GB"/>
        </w:rPr>
        <w:t>bis</w:t>
      </w:r>
      <w:r w:rsidRPr="0076757E">
        <w:rPr>
          <w:lang w:val="en-GB"/>
        </w:rPr>
        <w:t xml:space="preserve"> </w:t>
      </w:r>
      <w:r w:rsidRPr="0076757E" w:rsidR="001A7C64">
        <w:rPr>
          <w:lang w:val="en-GB"/>
        </w:rPr>
        <w:t>of Law no.</w:t>
      </w:r>
      <w:r w:rsidRPr="0076757E">
        <w:rPr>
          <w:lang w:val="en-GB"/>
        </w:rPr>
        <w:t xml:space="preserve"> 359</w:t>
      </w:r>
      <w:r w:rsidRPr="0076757E" w:rsidR="001A7C64">
        <w:rPr>
          <w:lang w:val="en-GB"/>
        </w:rPr>
        <w:t>/</w:t>
      </w:r>
      <w:r w:rsidRPr="0076757E">
        <w:rPr>
          <w:lang w:val="en-GB"/>
        </w:rPr>
        <w:t xml:space="preserve">1992. </w:t>
      </w:r>
      <w:r w:rsidRPr="001A7C64" w:rsidR="001A7C64">
        <w:rPr>
          <w:lang w:val="en-GB"/>
        </w:rPr>
        <w:t xml:space="preserve">They complained, among other things, that they had not had a fair </w:t>
      </w:r>
      <w:r w:rsidR="00BE6974">
        <w:rPr>
          <w:lang w:val="en-GB"/>
        </w:rPr>
        <w:t>hearing</w:t>
      </w:r>
      <w:r w:rsidRPr="001A7C64" w:rsidR="001A7C64">
        <w:rPr>
          <w:lang w:val="en-GB"/>
        </w:rPr>
        <w:t xml:space="preserve"> </w:t>
      </w:r>
      <w:r w:rsidR="001A7C64">
        <w:rPr>
          <w:lang w:val="en-GB"/>
        </w:rPr>
        <w:t>because</w:t>
      </w:r>
      <w:r w:rsidR="00BE6974">
        <w:rPr>
          <w:lang w:val="en-GB"/>
        </w:rPr>
        <w:t>, when</w:t>
      </w:r>
      <w:r w:rsidR="001A7C64">
        <w:rPr>
          <w:lang w:val="en-GB"/>
        </w:rPr>
        <w:t xml:space="preserve"> the amount of their </w:t>
      </w:r>
      <w:r w:rsidR="00BE6974">
        <w:rPr>
          <w:lang w:val="en-GB"/>
        </w:rPr>
        <w:t xml:space="preserve">expropriation </w:t>
      </w:r>
      <w:r w:rsidR="001A7C64">
        <w:rPr>
          <w:lang w:val="en-GB"/>
        </w:rPr>
        <w:t>compensation</w:t>
      </w:r>
      <w:r w:rsidR="00BE6974">
        <w:rPr>
          <w:lang w:val="en-GB"/>
        </w:rPr>
        <w:t xml:space="preserve"> was determined</w:t>
      </w:r>
      <w:r w:rsidR="00A44731">
        <w:rPr>
          <w:lang w:val="en-GB"/>
        </w:rPr>
        <w:t>,</w:t>
      </w:r>
      <w:r w:rsidR="001A7C64">
        <w:rPr>
          <w:lang w:val="en-GB"/>
        </w:rPr>
        <w:t xml:space="preserve"> </w:t>
      </w:r>
      <w:r w:rsidR="00BE6974">
        <w:rPr>
          <w:lang w:val="en-GB"/>
        </w:rPr>
        <w:t>the question</w:t>
      </w:r>
      <w:r w:rsidRPr="001A7C64" w:rsidR="001A7C64">
        <w:rPr>
          <w:lang w:val="en-GB"/>
        </w:rPr>
        <w:t xml:space="preserve"> submitted to the national courts had been settled by the legislature and not by the judiciary</w:t>
      </w:r>
      <w:r w:rsidRPr="001A7C64">
        <w:rPr>
          <w:lang w:val="en-GB"/>
        </w:rPr>
        <w:t>.</w:t>
      </w:r>
    </w:p>
    <w:p w:rsidRPr="00F61464" w:rsidR="00824B80" w:rsidP="00824B80" w:rsidRDefault="00824B80">
      <w:pPr>
        <w:pStyle w:val="JuParaChar1"/>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114</w:t>
      </w:r>
      <w:r w:rsidRPr="00C2011C">
        <w:fldChar w:fldCharType="end"/>
      </w:r>
      <w:r w:rsidRPr="0076757E">
        <w:rPr>
          <w:lang w:val="en-GB"/>
        </w:rPr>
        <w:t>.  </w:t>
      </w:r>
      <w:r w:rsidRPr="00F61464" w:rsidR="00A44731">
        <w:rPr>
          <w:lang w:val="en-GB"/>
        </w:rPr>
        <w:t>In that connection the applicants pointed out that the provision in question</w:t>
      </w:r>
      <w:r w:rsidR="00BE6974">
        <w:rPr>
          <w:lang w:val="en-GB"/>
        </w:rPr>
        <w:t xml:space="preserve"> had</w:t>
      </w:r>
      <w:r w:rsidRPr="00F61464" w:rsidR="00A44731">
        <w:rPr>
          <w:lang w:val="en-GB"/>
        </w:rPr>
        <w:t xml:space="preserve"> introduced criteria for calculating </w:t>
      </w:r>
      <w:r w:rsidRPr="00F61464" w:rsidR="00F61464">
        <w:rPr>
          <w:lang w:val="en-GB"/>
        </w:rPr>
        <w:t xml:space="preserve">expropriation </w:t>
      </w:r>
      <w:r w:rsidRPr="00F61464" w:rsidR="00A44731">
        <w:rPr>
          <w:lang w:val="en-GB"/>
        </w:rPr>
        <w:t>compensation</w:t>
      </w:r>
      <w:r w:rsidRPr="00F61464" w:rsidR="00F61464">
        <w:rPr>
          <w:lang w:val="en-GB"/>
        </w:rPr>
        <w:t xml:space="preserve"> which reduced by at l</w:t>
      </w:r>
      <w:r w:rsidRPr="00F61464" w:rsidR="00A44731">
        <w:rPr>
          <w:lang w:val="en-GB"/>
        </w:rPr>
        <w:t>east</w:t>
      </w:r>
      <w:r w:rsidR="009F4EF8">
        <w:rPr>
          <w:lang w:val="en-GB"/>
        </w:rPr>
        <w:t xml:space="preserve"> 50</w:t>
      </w:r>
      <w:r w:rsidRPr="00F61464">
        <w:rPr>
          <w:lang w:val="en-GB"/>
        </w:rPr>
        <w:t xml:space="preserve">% </w:t>
      </w:r>
      <w:r w:rsidRPr="00F61464" w:rsidR="00F61464">
        <w:rPr>
          <w:lang w:val="en-GB"/>
        </w:rPr>
        <w:t>the amount to which they had been entitle</w:t>
      </w:r>
      <w:r w:rsidR="00F61464">
        <w:rPr>
          <w:lang w:val="en-GB"/>
        </w:rPr>
        <w:t>d under the law in force when the compensation proceedings</w:t>
      </w:r>
      <w:r w:rsidRPr="00F61464">
        <w:rPr>
          <w:lang w:val="en-GB"/>
        </w:rPr>
        <w:t xml:space="preserve"> </w:t>
      </w:r>
      <w:r w:rsidR="000A01C9">
        <w:rPr>
          <w:lang w:val="en-GB"/>
        </w:rPr>
        <w:t xml:space="preserve">were </w:t>
      </w:r>
      <w:r w:rsidR="00F61464">
        <w:rPr>
          <w:lang w:val="en-GB"/>
        </w:rPr>
        <w:t>instituted in the Reggio di</w:t>
      </w:r>
      <w:r w:rsidRPr="00F61464">
        <w:rPr>
          <w:lang w:val="en-GB"/>
        </w:rPr>
        <w:t xml:space="preserve"> Calabr</w:t>
      </w:r>
      <w:r w:rsidR="00F61464">
        <w:rPr>
          <w:lang w:val="en-GB"/>
        </w:rPr>
        <w:t>ia Court of App</w:t>
      </w:r>
      <w:r w:rsidRPr="00F61464">
        <w:rPr>
          <w:lang w:val="en-GB"/>
        </w:rPr>
        <w:t>e</w:t>
      </w:r>
      <w:r w:rsidR="00F61464">
        <w:rPr>
          <w:lang w:val="en-GB"/>
        </w:rPr>
        <w:t>al</w:t>
      </w:r>
      <w:r w:rsidR="004C1AB2">
        <w:rPr>
          <w:lang w:val="en-GB"/>
        </w:rPr>
        <w:t xml:space="preserve"> and the land was expropriated</w:t>
      </w:r>
      <w:r w:rsidRPr="00F61464">
        <w:rPr>
          <w:lang w:val="en-GB"/>
        </w:rPr>
        <w:t>.</w:t>
      </w:r>
    </w:p>
    <w:p w:rsidRPr="004C1AB2" w:rsidR="004C1AB2" w:rsidP="004C1AB2" w:rsidRDefault="00824B80">
      <w:pPr>
        <w:pStyle w:val="JuParaChar1CharCharCharCharChar"/>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115</w:t>
      </w:r>
      <w:r w:rsidRPr="00C2011C">
        <w:fldChar w:fldCharType="end"/>
      </w:r>
      <w:r w:rsidRPr="0076757E">
        <w:rPr>
          <w:lang w:val="en-GB"/>
        </w:rPr>
        <w:t>.  </w:t>
      </w:r>
      <w:r w:rsidRPr="004C1AB2" w:rsidR="004C1AB2">
        <w:rPr>
          <w:lang w:val="en-GB"/>
        </w:rPr>
        <w:t xml:space="preserve">Regarding the law applicable prior to the entry into force of the impugned provision, the applicants pointed out that Laws nos. 865/1971 and 385/1980 </w:t>
      </w:r>
      <w:r w:rsidR="004C1AB2">
        <w:rPr>
          <w:lang w:val="en-GB"/>
        </w:rPr>
        <w:t>had been declared unconstitutional and, accordingly, had been</w:t>
      </w:r>
      <w:r w:rsidRPr="004C1AB2" w:rsidR="004C1AB2">
        <w:rPr>
          <w:lang w:val="en-GB"/>
        </w:rPr>
        <w:t xml:space="preserve"> </w:t>
      </w:r>
      <w:r w:rsidR="004C1AB2">
        <w:rPr>
          <w:lang w:val="en-GB"/>
        </w:rPr>
        <w:t>repealed with retrospective effect</w:t>
      </w:r>
      <w:r w:rsidRPr="004C1AB2" w:rsidR="004C1AB2">
        <w:rPr>
          <w:lang w:val="en-GB"/>
        </w:rPr>
        <w:t xml:space="preserve">. They could not therefore be regarded as applicable to the case in question. The only provision applicable prior to the entry into force of section 5 </w:t>
      </w:r>
      <w:r w:rsidRPr="004C1AB2" w:rsidR="004C1AB2">
        <w:rPr>
          <w:i/>
          <w:lang w:val="en-GB"/>
        </w:rPr>
        <w:t xml:space="preserve">bis </w:t>
      </w:r>
      <w:r w:rsidRPr="004C1AB2" w:rsidR="004C1AB2">
        <w:rPr>
          <w:lang w:val="en-GB"/>
        </w:rPr>
        <w:t xml:space="preserve">was section 39 of the </w:t>
      </w:r>
      <w:r w:rsidRPr="004C1AB2" w:rsidR="004C51EE">
        <w:rPr>
          <w:lang w:val="en-GB"/>
        </w:rPr>
        <w:t xml:space="preserve">Law </w:t>
      </w:r>
      <w:r w:rsidR="004C51EE">
        <w:rPr>
          <w:lang w:val="en-GB"/>
        </w:rPr>
        <w:t xml:space="preserve">of </w:t>
      </w:r>
      <w:r w:rsidRPr="004C1AB2" w:rsidR="004C1AB2">
        <w:rPr>
          <w:lang w:val="en-GB"/>
        </w:rPr>
        <w:t xml:space="preserve">1865, </w:t>
      </w:r>
      <w:r w:rsidR="004C1AB2">
        <w:rPr>
          <w:lang w:val="en-GB"/>
        </w:rPr>
        <w:t>which guaranteed the applicants full compensation</w:t>
      </w:r>
      <w:r w:rsidRPr="004C1AB2" w:rsidR="004C1AB2">
        <w:rPr>
          <w:lang w:val="en-GB"/>
        </w:rPr>
        <w:t xml:space="preserve"> (</w:t>
      </w:r>
      <w:r w:rsidR="004C1AB2">
        <w:rPr>
          <w:lang w:val="en-GB"/>
        </w:rPr>
        <w:t>see paragraph</w:t>
      </w:r>
      <w:r w:rsidR="004C51EE">
        <w:rPr>
          <w:lang w:val="en-GB"/>
        </w:rPr>
        <w:t>s 47</w:t>
      </w:r>
      <w:r w:rsidRPr="004C1AB2" w:rsidR="004C1AB2">
        <w:rPr>
          <w:lang w:val="en-GB"/>
        </w:rPr>
        <w:t>-56</w:t>
      </w:r>
      <w:r w:rsidR="004C1AB2">
        <w:rPr>
          <w:lang w:val="en-GB"/>
        </w:rPr>
        <w:t xml:space="preserve"> above</w:t>
      </w:r>
      <w:r w:rsidRPr="004C1AB2" w:rsidR="004C1AB2">
        <w:rPr>
          <w:lang w:val="en-GB"/>
        </w:rPr>
        <w:t>).</w:t>
      </w:r>
    </w:p>
    <w:p w:rsidRPr="00B53889" w:rsidR="00824B80" w:rsidP="00B53889" w:rsidRDefault="004C1AB2">
      <w:pPr>
        <w:pStyle w:val="JuParaChar1CharCharCharCharChar"/>
        <w:rPr>
          <w:lang w:val="en-GB"/>
        </w:rPr>
      </w:pPr>
      <w:r w:rsidRPr="00C2011C">
        <w:fldChar w:fldCharType="begin"/>
      </w:r>
      <w:r w:rsidRPr="00B53889">
        <w:rPr>
          <w:lang w:val="en-GB"/>
        </w:rPr>
        <w:instrText xml:space="preserve"> SEQ level0 \*arabic </w:instrText>
      </w:r>
      <w:r w:rsidRPr="00C2011C">
        <w:fldChar w:fldCharType="separate"/>
      </w:r>
      <w:r w:rsidR="008B3B68">
        <w:rPr>
          <w:noProof/>
          <w:lang w:val="en-GB"/>
        </w:rPr>
        <w:t>116</w:t>
      </w:r>
      <w:r w:rsidRPr="00C2011C">
        <w:fldChar w:fldCharType="end"/>
      </w:r>
      <w:r w:rsidRPr="00B53889">
        <w:rPr>
          <w:lang w:val="en-GB"/>
        </w:rPr>
        <w:t>.  </w:t>
      </w:r>
      <w:r w:rsidR="007B5D41">
        <w:rPr>
          <w:lang w:val="en-GB"/>
        </w:rPr>
        <w:t>T</w:t>
      </w:r>
      <w:r w:rsidRPr="00B53889" w:rsidR="00B53889">
        <w:rPr>
          <w:lang w:val="en-GB"/>
        </w:rPr>
        <w:t>he applicants</w:t>
      </w:r>
      <w:r w:rsidR="007B5D41">
        <w:rPr>
          <w:lang w:val="en-GB"/>
        </w:rPr>
        <w:t xml:space="preserve"> pointed out that the</w:t>
      </w:r>
      <w:r w:rsidRPr="00B53889" w:rsidR="00B53889">
        <w:rPr>
          <w:lang w:val="en-GB"/>
        </w:rPr>
        <w:t xml:space="preserve"> impugned provision had been</w:t>
      </w:r>
      <w:r w:rsidRPr="00B53889">
        <w:rPr>
          <w:lang w:val="en-GB"/>
        </w:rPr>
        <w:t xml:space="preserve"> inspir</w:t>
      </w:r>
      <w:r w:rsidRPr="00B53889" w:rsidR="00B53889">
        <w:rPr>
          <w:lang w:val="en-GB"/>
        </w:rPr>
        <w:t>ed merely by financial considerations, which could not be regarded as serving</w:t>
      </w:r>
      <w:r w:rsidRPr="00B53889">
        <w:rPr>
          <w:lang w:val="en-GB"/>
        </w:rPr>
        <w:t xml:space="preserve"> </w:t>
      </w:r>
      <w:r w:rsidRPr="00B53889" w:rsidR="00B53889">
        <w:rPr>
          <w:lang w:val="en-GB"/>
        </w:rPr>
        <w:t>a vital public interest justifying retrospective application</w:t>
      </w:r>
      <w:r w:rsidR="00B53889">
        <w:rPr>
          <w:lang w:val="en-GB"/>
        </w:rPr>
        <w:t>,</w:t>
      </w:r>
      <w:r w:rsidRPr="00B53889" w:rsidR="00B53889">
        <w:rPr>
          <w:lang w:val="en-GB"/>
        </w:rPr>
        <w:t xml:space="preserve"> and</w:t>
      </w:r>
      <w:r w:rsidR="00B53889">
        <w:rPr>
          <w:lang w:val="en-GB"/>
        </w:rPr>
        <w:t xml:space="preserve"> </w:t>
      </w:r>
      <w:r w:rsidRPr="00B53889" w:rsidR="00B53889">
        <w:rPr>
          <w:lang w:val="en-GB"/>
        </w:rPr>
        <w:t xml:space="preserve">had been </w:t>
      </w:r>
      <w:r w:rsidR="007B5D41">
        <w:rPr>
          <w:lang w:val="en-GB"/>
        </w:rPr>
        <w:t>enacted</w:t>
      </w:r>
      <w:r w:rsidR="00B53889">
        <w:rPr>
          <w:lang w:val="en-GB"/>
        </w:rPr>
        <w:t xml:space="preserve"> with the sole purpose of settling</w:t>
      </w:r>
      <w:r w:rsidRPr="00B53889" w:rsidR="00B53889">
        <w:rPr>
          <w:lang w:val="en-GB"/>
        </w:rPr>
        <w:t xml:space="preserve"> pending proceedings in a manner advantageous to the respondent authorities</w:t>
      </w:r>
      <w:r w:rsidRPr="00B53889" w:rsidR="00824B80">
        <w:rPr>
          <w:lang w:val="en-GB"/>
        </w:rPr>
        <w:t>.</w:t>
      </w:r>
    </w:p>
    <w:p w:rsidR="00967E1F" w:rsidP="00824B80" w:rsidRDefault="00B53889">
      <w:pPr>
        <w:pStyle w:val="JuParaChar1"/>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117</w:t>
      </w:r>
      <w:r>
        <w:rPr>
          <w:lang w:val="en-GB"/>
        </w:rPr>
        <w:fldChar w:fldCharType="end"/>
      </w:r>
      <w:r>
        <w:rPr>
          <w:lang w:val="en-GB"/>
        </w:rPr>
        <w:t>.  </w:t>
      </w:r>
      <w:r w:rsidR="009F4EF8">
        <w:rPr>
          <w:lang w:val="en-GB"/>
        </w:rPr>
        <w:t>T</w:t>
      </w:r>
      <w:r w:rsidRPr="00F61464" w:rsidR="00F61464">
        <w:rPr>
          <w:lang w:val="en-GB"/>
        </w:rPr>
        <w:t xml:space="preserve">he applicants </w:t>
      </w:r>
      <w:r w:rsidR="009F4EF8">
        <w:rPr>
          <w:lang w:val="en-GB"/>
        </w:rPr>
        <w:t xml:space="preserve">then </w:t>
      </w:r>
      <w:r w:rsidRPr="00F61464" w:rsidR="00F61464">
        <w:rPr>
          <w:lang w:val="en-GB"/>
        </w:rPr>
        <w:t xml:space="preserve">observed that section 5 </w:t>
      </w:r>
      <w:r w:rsidRPr="00F61464" w:rsidR="00F61464">
        <w:rPr>
          <w:i/>
          <w:lang w:val="en-GB"/>
        </w:rPr>
        <w:t>bis</w:t>
      </w:r>
      <w:r w:rsidRPr="00F61464" w:rsidR="00F61464">
        <w:rPr>
          <w:lang w:val="en-GB"/>
        </w:rPr>
        <w:t xml:space="preserve"> had been declared constitutional by the </w:t>
      </w:r>
      <w:smartTag w:uri="urn:schemas-microsoft-com:office:smarttags" w:element="Street">
        <w:smartTag w:uri="urn:schemas-microsoft-com:office:smarttags" w:element="address">
          <w:r w:rsidR="00F61464" w:rsidRPr="00F61464">
            <w:rPr>
              <w:lang w:val="en-GB"/>
            </w:rPr>
            <w:t>Constitutional Court</w:t>
          </w:r>
        </w:smartTag>
      </w:smartTag>
      <w:r w:rsidRPr="00F61464" w:rsidR="00F61464">
        <w:rPr>
          <w:lang w:val="en-GB"/>
        </w:rPr>
        <w:t xml:space="preserve"> because it was a temporary measure designed to deal with a specific situation.</w:t>
      </w:r>
      <w:r w:rsidRPr="00F61464" w:rsidR="00824B80">
        <w:rPr>
          <w:lang w:val="en-GB"/>
        </w:rPr>
        <w:t xml:space="preserve"> </w:t>
      </w:r>
      <w:r>
        <w:rPr>
          <w:lang w:val="en-GB"/>
        </w:rPr>
        <w:t>However, t</w:t>
      </w:r>
      <w:r w:rsidRPr="00F61464" w:rsidR="00F61464">
        <w:rPr>
          <w:lang w:val="en-GB"/>
        </w:rPr>
        <w:t>he provision had been in force until</w:t>
      </w:r>
      <w:r w:rsidRPr="00F61464" w:rsidR="00824B80">
        <w:rPr>
          <w:lang w:val="en-GB"/>
        </w:rPr>
        <w:t xml:space="preserve"> </w:t>
      </w:r>
      <w:smartTag w:uri="urn:schemas-microsoft-com:office:smarttags" w:element="date">
        <w:smartTagPr>
          <w:attr w:name="Month" w:val="6"/>
          <w:attr w:name="Day" w:val="30"/>
          <w:attr w:name="Year" w:val="2003"/>
        </w:smartTagPr>
        <w:r w:rsidR="00824B80" w:rsidRPr="00F61464">
          <w:rPr>
            <w:lang w:val="en-GB"/>
          </w:rPr>
          <w:t xml:space="preserve">30 </w:t>
        </w:r>
        <w:r w:rsidR="00F61464">
          <w:rPr>
            <w:lang w:val="en-GB"/>
          </w:rPr>
          <w:t>June</w:t>
        </w:r>
        <w:r w:rsidR="00824B80" w:rsidRPr="00F61464">
          <w:rPr>
            <w:lang w:val="en-GB"/>
          </w:rPr>
          <w:t xml:space="preserve"> 2003</w:t>
        </w:r>
      </w:smartTag>
      <w:r w:rsidRPr="00F61464" w:rsidR="00824B80">
        <w:rPr>
          <w:lang w:val="en-GB"/>
        </w:rPr>
        <w:t xml:space="preserve"> </w:t>
      </w:r>
      <w:r w:rsidRPr="00F61464" w:rsidR="00F61464">
        <w:rPr>
          <w:lang w:val="en-GB"/>
        </w:rPr>
        <w:t xml:space="preserve">and </w:t>
      </w:r>
      <w:r w:rsidR="00F61464">
        <w:rPr>
          <w:lang w:val="en-GB"/>
        </w:rPr>
        <w:t>had</w:t>
      </w:r>
      <w:r w:rsidRPr="00F61464" w:rsidR="00F61464">
        <w:rPr>
          <w:lang w:val="en-GB"/>
        </w:rPr>
        <w:t xml:space="preserve"> now</w:t>
      </w:r>
      <w:r w:rsidR="00F61464">
        <w:rPr>
          <w:lang w:val="en-GB"/>
        </w:rPr>
        <w:t xml:space="preserve"> been</w:t>
      </w:r>
      <w:r w:rsidRPr="00F61464" w:rsidR="00F61464">
        <w:rPr>
          <w:lang w:val="en-GB"/>
        </w:rPr>
        <w:t xml:space="preserve"> incorporated into the</w:t>
      </w:r>
      <w:r w:rsidRPr="00F61464" w:rsidR="00824B80">
        <w:rPr>
          <w:lang w:val="en-GB"/>
        </w:rPr>
        <w:t xml:space="preserve"> </w:t>
      </w:r>
      <w:r w:rsidR="00F61464">
        <w:rPr>
          <w:lang w:val="en-GB"/>
        </w:rPr>
        <w:t xml:space="preserve">Code of Expropriation </w:t>
      </w:r>
      <w:r w:rsidR="00BE6974">
        <w:rPr>
          <w:lang w:val="en-GB"/>
        </w:rPr>
        <w:t>Laws</w:t>
      </w:r>
      <w:r w:rsidRPr="00F61464" w:rsidR="00824B80">
        <w:rPr>
          <w:lang w:val="en-GB"/>
        </w:rPr>
        <w:t xml:space="preserve">, </w:t>
      </w:r>
      <w:r w:rsidR="00F61464">
        <w:rPr>
          <w:lang w:val="en-GB"/>
        </w:rPr>
        <w:t xml:space="preserve">which had been in force since that </w:t>
      </w:r>
      <w:r w:rsidRPr="00F61464" w:rsidR="00824B80">
        <w:rPr>
          <w:lang w:val="en-GB"/>
        </w:rPr>
        <w:t>date.</w:t>
      </w:r>
    </w:p>
    <w:p w:rsidR="00967E1F" w:rsidP="00124007" w:rsidRDefault="00143E15">
      <w:pPr>
        <w:pStyle w:val="JuHa"/>
        <w:outlineLvl w:val="0"/>
        <w:rPr>
          <w:lang w:val="en-GB"/>
        </w:rPr>
      </w:pPr>
      <w:r>
        <w:rPr>
          <w:lang w:val="en-GB"/>
        </w:rPr>
        <w:t>(</w:t>
      </w:r>
      <w:r w:rsidRPr="0076757E" w:rsidR="00824B80">
        <w:rPr>
          <w:lang w:val="en-GB"/>
        </w:rPr>
        <w:t>b)  </w:t>
      </w:r>
      <w:r w:rsidRPr="0076757E" w:rsidR="00F61464">
        <w:rPr>
          <w:lang w:val="en-GB"/>
        </w:rPr>
        <w:t>The Govern</w:t>
      </w:r>
      <w:r w:rsidRPr="0076757E" w:rsidR="00824B80">
        <w:rPr>
          <w:lang w:val="en-GB"/>
        </w:rPr>
        <w:t>ment</w:t>
      </w:r>
    </w:p>
    <w:p w:rsidRPr="00D3292D" w:rsidR="00824B80" w:rsidP="00824B80" w:rsidRDefault="00824B80">
      <w:pPr>
        <w:pStyle w:val="JuParaChar1"/>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118</w:t>
      </w:r>
      <w:r w:rsidRPr="00C2011C">
        <w:fldChar w:fldCharType="end"/>
      </w:r>
      <w:r w:rsidRPr="0076757E">
        <w:rPr>
          <w:lang w:val="en-GB"/>
        </w:rPr>
        <w:t>.  </w:t>
      </w:r>
      <w:r w:rsidRPr="00D3292D" w:rsidR="00D3292D">
        <w:rPr>
          <w:lang w:val="en-GB"/>
        </w:rPr>
        <w:t>In their letter requesting that the case be referred to the Grand Chamber and</w:t>
      </w:r>
      <w:r w:rsidR="007B5D41">
        <w:rPr>
          <w:lang w:val="en-GB"/>
        </w:rPr>
        <w:t xml:space="preserve"> in</w:t>
      </w:r>
      <w:r w:rsidRPr="00D3292D" w:rsidR="00D3292D">
        <w:rPr>
          <w:lang w:val="en-GB"/>
        </w:rPr>
        <w:t xml:space="preserve"> their written and oral ob</w:t>
      </w:r>
      <w:r w:rsidR="00BE6974">
        <w:rPr>
          <w:lang w:val="en-GB"/>
        </w:rPr>
        <w:t>servations to the Grand Chamber</w:t>
      </w:r>
      <w:r w:rsidR="004C51EE">
        <w:rPr>
          <w:lang w:val="en-GB"/>
        </w:rPr>
        <w:t>,</w:t>
      </w:r>
      <w:r w:rsidRPr="00D3292D" w:rsidR="00D3292D">
        <w:rPr>
          <w:lang w:val="en-GB"/>
        </w:rPr>
        <w:t xml:space="preserve"> the Government strongly </w:t>
      </w:r>
      <w:r w:rsidR="00D3292D">
        <w:rPr>
          <w:lang w:val="en-GB"/>
        </w:rPr>
        <w:t>disputed</w:t>
      </w:r>
      <w:r w:rsidRPr="00D3292D" w:rsidR="00D3292D">
        <w:rPr>
          <w:lang w:val="en-GB"/>
        </w:rPr>
        <w:t xml:space="preserve"> the Chambe</w:t>
      </w:r>
      <w:r w:rsidR="00D3292D">
        <w:rPr>
          <w:lang w:val="en-GB"/>
        </w:rPr>
        <w:t xml:space="preserve">r judgment on this </w:t>
      </w:r>
      <w:r w:rsidR="007B5D41">
        <w:rPr>
          <w:lang w:val="en-GB"/>
        </w:rPr>
        <w:t>issue</w:t>
      </w:r>
      <w:r w:rsidRPr="00D3292D">
        <w:rPr>
          <w:lang w:val="en-GB"/>
        </w:rPr>
        <w:t>.</w:t>
      </w:r>
    </w:p>
    <w:p w:rsidR="003D3B64" w:rsidP="003D3B64" w:rsidRDefault="00824B80">
      <w:pPr>
        <w:pStyle w:val="JuPara"/>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119</w:t>
      </w:r>
      <w:r w:rsidRPr="00C2011C">
        <w:fldChar w:fldCharType="end"/>
      </w:r>
      <w:r w:rsidRPr="0076757E">
        <w:rPr>
          <w:lang w:val="en-GB"/>
        </w:rPr>
        <w:t>.  </w:t>
      </w:r>
      <w:r w:rsidRPr="00F426FC" w:rsidR="003D3B64">
        <w:rPr>
          <w:lang w:val="en-GB"/>
        </w:rPr>
        <w:t>As a preliminary point, they denied that the new law had been of retrospective application since it was limited, after modifying the</w:t>
      </w:r>
      <w:r w:rsidR="00C37358">
        <w:rPr>
          <w:lang w:val="en-GB"/>
        </w:rPr>
        <w:t xml:space="preserve"> existing</w:t>
      </w:r>
      <w:r w:rsidRPr="00F426FC" w:rsidR="003D3B64">
        <w:rPr>
          <w:lang w:val="en-GB"/>
        </w:rPr>
        <w:t xml:space="preserve"> legal position, t</w:t>
      </w:r>
      <w:r w:rsidR="003D3B64">
        <w:rPr>
          <w:lang w:val="en-GB"/>
        </w:rPr>
        <w:t>o making it immediately</w:t>
      </w:r>
      <w:r w:rsidRPr="00F426FC" w:rsidR="003D3B64">
        <w:rPr>
          <w:lang w:val="en-GB"/>
        </w:rPr>
        <w:t xml:space="preserve"> applicable</w:t>
      </w:r>
      <w:r w:rsidR="003D3B64">
        <w:rPr>
          <w:lang w:val="en-GB"/>
        </w:rPr>
        <w:t xml:space="preserve"> to</w:t>
      </w:r>
      <w:r w:rsidRPr="00F426FC" w:rsidR="003D3B64">
        <w:rPr>
          <w:lang w:val="en-GB"/>
        </w:rPr>
        <w:t xml:space="preserve"> </w:t>
      </w:r>
      <w:r w:rsidR="003D3B64">
        <w:rPr>
          <w:lang w:val="en-GB"/>
        </w:rPr>
        <w:t>pending cases in accordance with a</w:t>
      </w:r>
      <w:r w:rsidRPr="00F426FC" w:rsidR="003D3B64">
        <w:rPr>
          <w:lang w:val="en-GB"/>
        </w:rPr>
        <w:t xml:space="preserve"> </w:t>
      </w:r>
      <w:r w:rsidR="003D3B64">
        <w:rPr>
          <w:lang w:val="en-GB"/>
        </w:rPr>
        <w:t xml:space="preserve">commonly applied </w:t>
      </w:r>
      <w:r w:rsidRPr="00F426FC" w:rsidR="003D3B64">
        <w:rPr>
          <w:lang w:val="en-GB"/>
        </w:rPr>
        <w:t>princip</w:t>
      </w:r>
      <w:r w:rsidR="003D3B64">
        <w:rPr>
          <w:lang w:val="en-GB"/>
        </w:rPr>
        <w:t>l</w:t>
      </w:r>
      <w:r w:rsidRPr="00F426FC" w:rsidR="003D3B64">
        <w:rPr>
          <w:lang w:val="en-GB"/>
        </w:rPr>
        <w:t>e. In any event, the Government submitted that the Convention did not prohibit the retrospective application of laws and therefore, assuming tha</w:t>
      </w:r>
      <w:r w:rsidR="003D3B64">
        <w:rPr>
          <w:lang w:val="en-GB"/>
        </w:rPr>
        <w:t>t there had been interference by the legislature, that interference fell within the margin of appre</w:t>
      </w:r>
      <w:r w:rsidRPr="00F426FC" w:rsidR="003D3B64">
        <w:rPr>
          <w:lang w:val="en-GB"/>
        </w:rPr>
        <w:t xml:space="preserve">ciation </w:t>
      </w:r>
      <w:r w:rsidR="003D3B64">
        <w:rPr>
          <w:lang w:val="en-GB"/>
        </w:rPr>
        <w:t>left to the States and was justified</w:t>
      </w:r>
      <w:r w:rsidRPr="00F426FC" w:rsidR="003D3B64">
        <w:rPr>
          <w:lang w:val="en-GB"/>
        </w:rPr>
        <w:t>.</w:t>
      </w:r>
    </w:p>
    <w:p w:rsidRPr="00B30A1F" w:rsidR="003D3B64" w:rsidP="003D3B64" w:rsidRDefault="003D3B64">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120</w:t>
      </w:r>
      <w:r>
        <w:rPr>
          <w:lang w:val="en-GB"/>
        </w:rPr>
        <w:fldChar w:fldCharType="end"/>
      </w:r>
      <w:r>
        <w:rPr>
          <w:lang w:val="en-GB"/>
        </w:rPr>
        <w:t>.  </w:t>
      </w:r>
      <w:r w:rsidRPr="00B30A1F">
        <w:rPr>
          <w:lang w:val="en-GB"/>
        </w:rPr>
        <w:t>The Government then observed that at the time of occupation of the land and the expropriation order (in March 1981 and March 1983 respectively) the criteria introduced by Law no. 865/1971 and incorporated into Law no. 385</w:t>
      </w:r>
      <w:r>
        <w:rPr>
          <w:lang w:val="en-GB"/>
        </w:rPr>
        <w:t>/</w:t>
      </w:r>
      <w:r w:rsidRPr="00B30A1F">
        <w:rPr>
          <w:lang w:val="en-GB"/>
        </w:rPr>
        <w:t>1980</w:t>
      </w:r>
      <w:r>
        <w:rPr>
          <w:lang w:val="en-GB"/>
        </w:rPr>
        <w:t xml:space="preserve"> were still in force</w:t>
      </w:r>
      <w:r w:rsidRPr="00B30A1F">
        <w:rPr>
          <w:lang w:val="en-GB"/>
        </w:rPr>
        <w:t xml:space="preserve">, </w:t>
      </w:r>
      <w:r>
        <w:rPr>
          <w:lang w:val="en-GB"/>
        </w:rPr>
        <w:t>since the decis</w:t>
      </w:r>
      <w:r w:rsidRPr="00B30A1F">
        <w:rPr>
          <w:lang w:val="en-GB"/>
        </w:rPr>
        <w:t>ion d</w:t>
      </w:r>
      <w:r>
        <w:rPr>
          <w:lang w:val="en-GB"/>
        </w:rPr>
        <w:t xml:space="preserve">eclaring the law unconstitutional was not made until </w:t>
      </w:r>
      <w:r w:rsidRPr="00B30A1F">
        <w:rPr>
          <w:lang w:val="en-GB"/>
        </w:rPr>
        <w:t xml:space="preserve">15 </w:t>
      </w:r>
      <w:r>
        <w:rPr>
          <w:lang w:val="en-GB"/>
        </w:rPr>
        <w:t>July</w:t>
      </w:r>
      <w:r w:rsidRPr="00B30A1F">
        <w:rPr>
          <w:lang w:val="en-GB"/>
        </w:rPr>
        <w:t xml:space="preserve"> 1983.</w:t>
      </w:r>
    </w:p>
    <w:p w:rsidRPr="00697885" w:rsidR="003D3B64" w:rsidP="003D3B64" w:rsidRDefault="003D3B64">
      <w:pPr>
        <w:pStyle w:val="JuPara"/>
        <w:rPr>
          <w:lang w:val="en-GB"/>
        </w:rPr>
      </w:pPr>
      <w:r w:rsidRPr="00666F8C">
        <w:rPr>
          <w:lang w:val="en-GB"/>
        </w:rPr>
        <w:t>The compensation criteria declared unconstitutional were less favourable to the applicants than those introdu</w:t>
      </w:r>
      <w:r>
        <w:rPr>
          <w:lang w:val="en-GB"/>
        </w:rPr>
        <w:t>ced by section</w:t>
      </w:r>
      <w:r w:rsidRPr="00666F8C">
        <w:rPr>
          <w:lang w:val="en-GB"/>
        </w:rPr>
        <w:t xml:space="preserve"> 5 </w:t>
      </w:r>
      <w:r w:rsidRPr="00666F8C">
        <w:rPr>
          <w:i/>
          <w:lang w:val="en-GB"/>
        </w:rPr>
        <w:t>bis</w:t>
      </w:r>
      <w:r w:rsidRPr="00666F8C">
        <w:rPr>
          <w:lang w:val="en-GB"/>
        </w:rPr>
        <w:t xml:space="preserve"> </w:t>
      </w:r>
      <w:r>
        <w:rPr>
          <w:lang w:val="en-GB"/>
        </w:rPr>
        <w:t>of Law no.</w:t>
      </w:r>
      <w:r w:rsidRPr="00666F8C">
        <w:rPr>
          <w:lang w:val="en-GB"/>
        </w:rPr>
        <w:t> 359</w:t>
      </w:r>
      <w:r>
        <w:rPr>
          <w:lang w:val="en-GB"/>
        </w:rPr>
        <w:t>/</w:t>
      </w:r>
      <w:r w:rsidRPr="00666F8C">
        <w:rPr>
          <w:lang w:val="en-GB"/>
        </w:rPr>
        <w:t xml:space="preserve">1992. </w:t>
      </w:r>
      <w:r w:rsidRPr="00274DBE">
        <w:rPr>
          <w:lang w:val="en-GB"/>
        </w:rPr>
        <w:t>Had the context been one of succeeding laws, with the pre</w:t>
      </w:r>
      <w:r w:rsidR="003D64AD">
        <w:rPr>
          <w:lang w:val="en-GB"/>
        </w:rPr>
        <w:t>ceding</w:t>
      </w:r>
      <w:r w:rsidRPr="00274DBE">
        <w:rPr>
          <w:lang w:val="en-GB"/>
        </w:rPr>
        <w:t xml:space="preserve"> law being repealed by the more recent one, it would be the provisions declar</w:t>
      </w:r>
      <w:r>
        <w:rPr>
          <w:lang w:val="en-GB"/>
        </w:rPr>
        <w:t xml:space="preserve">ed unconstitutional that applied in the present case, given that the right to compensation arose at the time of the </w:t>
      </w:r>
      <w:r w:rsidRPr="00274DBE">
        <w:rPr>
          <w:lang w:val="en-GB"/>
        </w:rPr>
        <w:t xml:space="preserve">expropriation. </w:t>
      </w:r>
      <w:r w:rsidRPr="00FE2B89">
        <w:rPr>
          <w:lang w:val="en-GB"/>
        </w:rPr>
        <w:t>In that event it could therefore be argued that</w:t>
      </w:r>
      <w:r>
        <w:rPr>
          <w:lang w:val="en-GB"/>
        </w:rPr>
        <w:t>,</w:t>
      </w:r>
      <w:r w:rsidRPr="00FE2B89">
        <w:rPr>
          <w:lang w:val="en-GB"/>
        </w:rPr>
        <w:t xml:space="preserve"> in the absence of a</w:t>
      </w:r>
      <w:r w:rsidR="00696446">
        <w:rPr>
          <w:lang w:val="en-GB"/>
        </w:rPr>
        <w:t xml:space="preserve"> legislative</w:t>
      </w:r>
      <w:r w:rsidRPr="00FE2B89">
        <w:rPr>
          <w:lang w:val="en-GB"/>
        </w:rPr>
        <w:t xml:space="preserve"> amendment to the detriment of the expropriated party, that is, in the absence </w:t>
      </w:r>
      <w:r>
        <w:rPr>
          <w:lang w:val="en-GB"/>
        </w:rPr>
        <w:t>of</w:t>
      </w:r>
      <w:r w:rsidRPr="00FE2B89">
        <w:rPr>
          <w:lang w:val="en-GB"/>
        </w:rPr>
        <w:t xml:space="preserve"> </w:t>
      </w:r>
      <w:r>
        <w:rPr>
          <w:lang w:val="en-GB"/>
        </w:rPr>
        <w:t>adverse effects deriving from section</w:t>
      </w:r>
      <w:r w:rsidRPr="00FE2B89">
        <w:rPr>
          <w:lang w:val="en-GB"/>
        </w:rPr>
        <w:t xml:space="preserve"> 5 </w:t>
      </w:r>
      <w:r w:rsidRPr="00FE2B89">
        <w:rPr>
          <w:i/>
          <w:lang w:val="en-GB"/>
        </w:rPr>
        <w:t>bis</w:t>
      </w:r>
      <w:r w:rsidRPr="00FE2B89">
        <w:rPr>
          <w:lang w:val="en-GB"/>
        </w:rPr>
        <w:t xml:space="preserve"> </w:t>
      </w:r>
      <w:r>
        <w:rPr>
          <w:lang w:val="en-GB"/>
        </w:rPr>
        <w:t>of Law no.</w:t>
      </w:r>
      <w:r w:rsidR="00210E54">
        <w:rPr>
          <w:lang w:val="en-GB"/>
        </w:rPr>
        <w:t xml:space="preserve"> </w:t>
      </w:r>
      <w:r w:rsidRPr="00FE2B89">
        <w:rPr>
          <w:lang w:val="en-GB"/>
        </w:rPr>
        <w:t>359</w:t>
      </w:r>
      <w:r>
        <w:rPr>
          <w:lang w:val="en-GB"/>
        </w:rPr>
        <w:t>/1</w:t>
      </w:r>
      <w:r w:rsidRPr="00FE2B89">
        <w:rPr>
          <w:lang w:val="en-GB"/>
        </w:rPr>
        <w:t xml:space="preserve">992, </w:t>
      </w:r>
      <w:r>
        <w:rPr>
          <w:lang w:val="en-GB"/>
        </w:rPr>
        <w:t xml:space="preserve">the new law </w:t>
      </w:r>
      <w:r w:rsidR="007B5D41">
        <w:rPr>
          <w:lang w:val="en-GB"/>
        </w:rPr>
        <w:t>did</w:t>
      </w:r>
      <w:r>
        <w:rPr>
          <w:lang w:val="en-GB"/>
        </w:rPr>
        <w:t xml:space="preserve"> not amount to an interference with the applicants</w:t>
      </w:r>
      <w:r w:rsidR="00E6191D">
        <w:rPr>
          <w:lang w:val="en-GB"/>
        </w:rPr>
        <w:t>’</w:t>
      </w:r>
      <w:r>
        <w:rPr>
          <w:lang w:val="en-GB"/>
        </w:rPr>
        <w:t xml:space="preserve"> rights</w:t>
      </w:r>
      <w:r w:rsidRPr="00FE2B89">
        <w:rPr>
          <w:lang w:val="en-GB"/>
        </w:rPr>
        <w:t>.</w:t>
      </w:r>
    </w:p>
    <w:p w:rsidR="003D3B64" w:rsidP="003D3B64" w:rsidRDefault="003D3B64">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121</w:t>
      </w:r>
      <w:r>
        <w:rPr>
          <w:lang w:val="en-GB"/>
        </w:rPr>
        <w:fldChar w:fldCharType="end"/>
      </w:r>
      <w:r>
        <w:rPr>
          <w:lang w:val="en-GB"/>
        </w:rPr>
        <w:t>.  </w:t>
      </w:r>
      <w:r w:rsidRPr="00697885">
        <w:rPr>
          <w:lang w:val="en-GB"/>
        </w:rPr>
        <w:t xml:space="preserve">However, the Government accepted that the present case </w:t>
      </w:r>
      <w:r w:rsidR="007B5D41">
        <w:rPr>
          <w:lang w:val="en-GB"/>
        </w:rPr>
        <w:t>did</w:t>
      </w:r>
      <w:r w:rsidRPr="00697885">
        <w:rPr>
          <w:lang w:val="en-GB"/>
        </w:rPr>
        <w:t xml:space="preserve"> not concern </w:t>
      </w:r>
      <w:r>
        <w:rPr>
          <w:lang w:val="en-GB"/>
        </w:rPr>
        <w:t xml:space="preserve">legislation that </w:t>
      </w:r>
      <w:r w:rsidR="007B5D41">
        <w:rPr>
          <w:lang w:val="en-GB"/>
        </w:rPr>
        <w:t xml:space="preserve">had been introduced to repeal </w:t>
      </w:r>
      <w:r w:rsidR="003D64AD">
        <w:rPr>
          <w:lang w:val="en-GB"/>
        </w:rPr>
        <w:t>the preceding</w:t>
      </w:r>
      <w:r w:rsidR="007B5D41">
        <w:rPr>
          <w:lang w:val="en-GB"/>
        </w:rPr>
        <w:t xml:space="preserve"> legislation</w:t>
      </w:r>
      <w:r>
        <w:rPr>
          <w:lang w:val="en-GB"/>
        </w:rPr>
        <w:t xml:space="preserve"> </w:t>
      </w:r>
      <w:r w:rsidR="003D64AD">
        <w:rPr>
          <w:lang w:val="en-GB"/>
        </w:rPr>
        <w:t>or laws succeeding each other in time</w:t>
      </w:r>
      <w:r w:rsidRPr="00697885">
        <w:rPr>
          <w:lang w:val="en-GB"/>
        </w:rPr>
        <w:t xml:space="preserve">. They reiterated in that connection that the judgments of the </w:t>
      </w:r>
      <w:smartTag w:uri="urn:schemas-microsoft-com:office:smarttags" w:element="Street">
        <w:smartTag w:uri="urn:schemas-microsoft-com:office:smarttags" w:element="address">
          <w:r w:rsidRPr="00697885">
            <w:rPr>
              <w:lang w:val="en-GB"/>
            </w:rPr>
            <w:t>Constitutional Court</w:t>
          </w:r>
        </w:smartTag>
      </w:smartTag>
      <w:r w:rsidRPr="00697885">
        <w:rPr>
          <w:lang w:val="en-GB"/>
        </w:rPr>
        <w:t xml:space="preserve"> were of </w:t>
      </w:r>
      <w:r>
        <w:rPr>
          <w:lang w:val="en-GB"/>
        </w:rPr>
        <w:t>“</w:t>
      </w:r>
      <w:r w:rsidRPr="00697885">
        <w:rPr>
          <w:lang w:val="en-GB"/>
        </w:rPr>
        <w:t>retrospective</w:t>
      </w:r>
      <w:r>
        <w:rPr>
          <w:lang w:val="en-GB"/>
        </w:rPr>
        <w:t>”</w:t>
      </w:r>
      <w:r w:rsidRPr="00697885">
        <w:rPr>
          <w:lang w:val="en-GB"/>
        </w:rPr>
        <w:t xml:space="preserve"> scope: laws d</w:t>
      </w:r>
      <w:r>
        <w:rPr>
          <w:lang w:val="en-GB"/>
        </w:rPr>
        <w:t>eclared unconstitutional</w:t>
      </w:r>
      <w:r w:rsidRPr="00697885">
        <w:rPr>
          <w:lang w:val="en-GB"/>
        </w:rPr>
        <w:t xml:space="preserve"> </w:t>
      </w:r>
      <w:r>
        <w:rPr>
          <w:lang w:val="en-GB"/>
        </w:rPr>
        <w:t>became ineffective and the laws previously in force were “revived”</w:t>
      </w:r>
      <w:r w:rsidRPr="00697885">
        <w:rPr>
          <w:lang w:val="en-GB"/>
        </w:rPr>
        <w:t xml:space="preserve"> (</w:t>
      </w:r>
      <w:r>
        <w:rPr>
          <w:lang w:val="en-GB"/>
        </w:rPr>
        <w:t>see paragraph</w:t>
      </w:r>
      <w:r w:rsidRPr="00697885">
        <w:rPr>
          <w:lang w:val="en-GB"/>
        </w:rPr>
        <w:t>s 4</w:t>
      </w:r>
      <w:r w:rsidR="00DD1C0A">
        <w:rPr>
          <w:lang w:val="en-GB"/>
        </w:rPr>
        <w:t>7</w:t>
      </w:r>
      <w:r w:rsidRPr="00697885">
        <w:rPr>
          <w:lang w:val="en-GB"/>
        </w:rPr>
        <w:t xml:space="preserve">-56 </w:t>
      </w:r>
      <w:r>
        <w:rPr>
          <w:lang w:val="en-GB"/>
        </w:rPr>
        <w:t>above</w:t>
      </w:r>
      <w:r w:rsidRPr="00697885">
        <w:rPr>
          <w:lang w:val="en-GB"/>
        </w:rPr>
        <w:t xml:space="preserve">). </w:t>
      </w:r>
      <w:r w:rsidRPr="00543910">
        <w:rPr>
          <w:lang w:val="en-GB"/>
        </w:rPr>
        <w:t xml:space="preserve">They thus acknowledged that the judgments of the </w:t>
      </w:r>
      <w:smartTag w:uri="urn:schemas-microsoft-com:office:smarttags" w:element="Street">
        <w:smartTag w:uri="urn:schemas-microsoft-com:office:smarttags" w:element="address">
          <w:r w:rsidRPr="00543910">
            <w:rPr>
              <w:lang w:val="en-GB"/>
            </w:rPr>
            <w:t>Constitutional Court</w:t>
          </w:r>
        </w:smartTag>
      </w:smartTag>
      <w:r w:rsidRPr="00543910">
        <w:rPr>
          <w:lang w:val="en-GB"/>
        </w:rPr>
        <w:t xml:space="preserve"> had had the effect of annulling the two laws in question </w:t>
      </w:r>
      <w:r>
        <w:rPr>
          <w:lang w:val="en-GB"/>
        </w:rPr>
        <w:t>from the outset</w:t>
      </w:r>
      <w:r w:rsidRPr="00543910">
        <w:rPr>
          <w:lang w:val="en-GB"/>
        </w:rPr>
        <w:t xml:space="preserve">, </w:t>
      </w:r>
      <w:r>
        <w:rPr>
          <w:lang w:val="en-GB"/>
        </w:rPr>
        <w:t xml:space="preserve">and </w:t>
      </w:r>
      <w:r w:rsidR="007B5D41">
        <w:rPr>
          <w:lang w:val="en-GB"/>
        </w:rPr>
        <w:t>this</w:t>
      </w:r>
      <w:r>
        <w:rPr>
          <w:lang w:val="en-GB"/>
        </w:rPr>
        <w:t xml:space="preserve"> had “revived” the provision of the general</w:t>
      </w:r>
      <w:r w:rsidRPr="00543910">
        <w:rPr>
          <w:lang w:val="en-GB"/>
        </w:rPr>
        <w:t xml:space="preserve"> expropriation</w:t>
      </w:r>
      <w:r>
        <w:rPr>
          <w:lang w:val="en-GB"/>
        </w:rPr>
        <w:t xml:space="preserve"> law of 1865, which had immediately come back into force</w:t>
      </w:r>
      <w:r w:rsidRPr="00543910">
        <w:rPr>
          <w:lang w:val="en-GB"/>
        </w:rPr>
        <w:t xml:space="preserve">. The Government observed that the domestic courts could accordingly </w:t>
      </w:r>
      <w:r>
        <w:rPr>
          <w:lang w:val="en-GB"/>
        </w:rPr>
        <w:t>re</w:t>
      </w:r>
      <w:r w:rsidRPr="00543910">
        <w:rPr>
          <w:lang w:val="en-GB"/>
        </w:rPr>
        <w:t xml:space="preserve">apply </w:t>
      </w:r>
      <w:r>
        <w:rPr>
          <w:lang w:val="en-GB"/>
        </w:rPr>
        <w:t>the compensation criteria</w:t>
      </w:r>
      <w:r w:rsidRPr="00543910">
        <w:rPr>
          <w:lang w:val="en-GB"/>
        </w:rPr>
        <w:t xml:space="preserve"> </w:t>
      </w:r>
      <w:r>
        <w:rPr>
          <w:lang w:val="en-GB"/>
        </w:rPr>
        <w:t>laid down in the</w:t>
      </w:r>
      <w:r w:rsidRPr="00543910">
        <w:rPr>
          <w:lang w:val="en-GB"/>
        </w:rPr>
        <w:t xml:space="preserve"> </w:t>
      </w:r>
      <w:r w:rsidR="004C51EE">
        <w:rPr>
          <w:lang w:val="en-GB"/>
        </w:rPr>
        <w:t>Law</w:t>
      </w:r>
      <w:r w:rsidRPr="00543910" w:rsidR="004C51EE">
        <w:rPr>
          <w:lang w:val="en-GB"/>
        </w:rPr>
        <w:t xml:space="preserve"> </w:t>
      </w:r>
      <w:r w:rsidR="004C51EE">
        <w:rPr>
          <w:lang w:val="en-GB"/>
        </w:rPr>
        <w:t xml:space="preserve">of </w:t>
      </w:r>
      <w:r w:rsidRPr="00543910">
        <w:rPr>
          <w:lang w:val="en-GB"/>
        </w:rPr>
        <w:t>1865.</w:t>
      </w:r>
    </w:p>
    <w:p w:rsidR="00A20B92" w:rsidP="003D3B64" w:rsidRDefault="00A20B92">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122</w:t>
      </w:r>
      <w:r>
        <w:rPr>
          <w:lang w:val="en-GB"/>
        </w:rPr>
        <w:fldChar w:fldCharType="end"/>
      </w:r>
      <w:r>
        <w:rPr>
          <w:lang w:val="en-GB"/>
        </w:rPr>
        <w:t>.  Nevertheless</w:t>
      </w:r>
      <w:r w:rsidRPr="009047D8">
        <w:rPr>
          <w:lang w:val="en-GB"/>
        </w:rPr>
        <w:t>, the Government argued that the law of which the applicants complained was part of a political process that had started in 1971</w:t>
      </w:r>
      <w:r>
        <w:rPr>
          <w:lang w:val="en-GB"/>
        </w:rPr>
        <w:t xml:space="preserve"> and sought to depart from the</w:t>
      </w:r>
      <w:r w:rsidRPr="009047D8">
        <w:rPr>
          <w:lang w:val="en-GB"/>
        </w:rPr>
        <w:t xml:space="preserve"> gen</w:t>
      </w:r>
      <w:r w:rsidR="007B5D41">
        <w:rPr>
          <w:lang w:val="en-GB"/>
        </w:rPr>
        <w:t>eral e</w:t>
      </w:r>
      <w:r w:rsidRPr="009047D8">
        <w:rPr>
          <w:lang w:val="en-GB"/>
        </w:rPr>
        <w:t xml:space="preserve">xpropriation </w:t>
      </w:r>
      <w:r w:rsidR="007B5D41">
        <w:rPr>
          <w:lang w:val="en-GB"/>
        </w:rPr>
        <w:t>law</w:t>
      </w:r>
      <w:r w:rsidRPr="009047D8">
        <w:rPr>
          <w:lang w:val="en-GB"/>
        </w:rPr>
        <w:t xml:space="preserve"> of 1865 </w:t>
      </w:r>
      <w:r>
        <w:rPr>
          <w:lang w:val="en-GB"/>
        </w:rPr>
        <w:t xml:space="preserve">in order to go beyond the </w:t>
      </w:r>
      <w:r w:rsidR="007B5D41">
        <w:rPr>
          <w:lang w:val="en-GB"/>
        </w:rPr>
        <w:t>out</w:t>
      </w:r>
      <w:r>
        <w:rPr>
          <w:lang w:val="en-GB"/>
        </w:rPr>
        <w:t>dated principles of a</w:t>
      </w:r>
      <w:r w:rsidRPr="009047D8">
        <w:rPr>
          <w:lang w:val="en-GB"/>
        </w:rPr>
        <w:t xml:space="preserve"> </w:t>
      </w:r>
      <w:r>
        <w:rPr>
          <w:lang w:val="en-GB"/>
        </w:rPr>
        <w:t>liberal economy</w:t>
      </w:r>
      <w:r w:rsidRPr="009047D8">
        <w:rPr>
          <w:lang w:val="en-GB"/>
        </w:rPr>
        <w:t xml:space="preserve">. From that standpoint, the declarations of unconstitutionality had created a </w:t>
      </w:r>
      <w:r>
        <w:rPr>
          <w:lang w:val="en-GB"/>
        </w:rPr>
        <w:t>“</w:t>
      </w:r>
      <w:r w:rsidRPr="009047D8">
        <w:rPr>
          <w:lang w:val="en-GB"/>
        </w:rPr>
        <w:t>vacuum</w:t>
      </w:r>
      <w:r>
        <w:rPr>
          <w:lang w:val="en-GB"/>
        </w:rPr>
        <w:t>”</w:t>
      </w:r>
      <w:r w:rsidR="004951F3">
        <w:rPr>
          <w:lang w:val="en-GB"/>
        </w:rPr>
        <w:t>,</w:t>
      </w:r>
      <w:r w:rsidRPr="009047D8">
        <w:rPr>
          <w:lang w:val="en-GB"/>
        </w:rPr>
        <w:t xml:space="preserve"> since the fact that the </w:t>
      </w:r>
      <w:r w:rsidR="004C51EE">
        <w:rPr>
          <w:lang w:val="en-GB"/>
        </w:rPr>
        <w:t xml:space="preserve">Law of </w:t>
      </w:r>
      <w:r w:rsidRPr="009047D8">
        <w:rPr>
          <w:lang w:val="en-GB"/>
        </w:rPr>
        <w:t xml:space="preserve">1865 </w:t>
      </w:r>
      <w:r>
        <w:rPr>
          <w:lang w:val="en-GB"/>
        </w:rPr>
        <w:t xml:space="preserve">had come back into force did not correspond to the political, economic and social </w:t>
      </w:r>
      <w:r w:rsidR="007B5D41">
        <w:rPr>
          <w:lang w:val="en-GB"/>
        </w:rPr>
        <w:t>demands</w:t>
      </w:r>
      <w:r>
        <w:rPr>
          <w:lang w:val="en-GB"/>
        </w:rPr>
        <w:t xml:space="preserve"> guiding the legislature</w:t>
      </w:r>
      <w:r w:rsidRPr="009047D8">
        <w:rPr>
          <w:lang w:val="en-GB"/>
        </w:rPr>
        <w:t xml:space="preserve">. </w:t>
      </w:r>
      <w:r w:rsidRPr="00DF6FE7">
        <w:rPr>
          <w:lang w:val="en-GB"/>
        </w:rPr>
        <w:t xml:space="preserve">From that point of view, section 5 </w:t>
      </w:r>
      <w:r w:rsidRPr="00DF6FE7">
        <w:rPr>
          <w:i/>
          <w:lang w:val="en-GB"/>
        </w:rPr>
        <w:t>bis</w:t>
      </w:r>
      <w:r w:rsidRPr="00DF6FE7">
        <w:rPr>
          <w:lang w:val="en-GB"/>
        </w:rPr>
        <w:t xml:space="preserve"> of Law no. 359</w:t>
      </w:r>
      <w:r>
        <w:rPr>
          <w:lang w:val="en-GB"/>
        </w:rPr>
        <w:t>/</w:t>
      </w:r>
      <w:r w:rsidRPr="00DF6FE7">
        <w:rPr>
          <w:lang w:val="en-GB"/>
        </w:rPr>
        <w:t xml:space="preserve">1992 </w:t>
      </w:r>
      <w:r w:rsidR="00F160FE">
        <w:rPr>
          <w:lang w:val="en-GB"/>
        </w:rPr>
        <w:t>had</w:t>
      </w:r>
      <w:r>
        <w:rPr>
          <w:lang w:val="en-GB"/>
        </w:rPr>
        <w:t xml:space="preserve"> therefore </w:t>
      </w:r>
      <w:r w:rsidR="00F160FE">
        <w:rPr>
          <w:lang w:val="en-GB"/>
        </w:rPr>
        <w:t>remedied</w:t>
      </w:r>
      <w:r>
        <w:rPr>
          <w:lang w:val="en-GB"/>
        </w:rPr>
        <w:t xml:space="preserve"> a </w:t>
      </w:r>
      <w:r w:rsidR="00F160FE">
        <w:rPr>
          <w:lang w:val="en-GB"/>
        </w:rPr>
        <w:t>loophole</w:t>
      </w:r>
      <w:r w:rsidRPr="00DF6FE7">
        <w:rPr>
          <w:lang w:val="en-GB"/>
        </w:rPr>
        <w:t>.</w:t>
      </w:r>
    </w:p>
    <w:p w:rsidR="00F160FE" w:rsidP="003D3B64" w:rsidRDefault="00F160FE">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123</w:t>
      </w:r>
      <w:r>
        <w:rPr>
          <w:lang w:val="en-GB"/>
        </w:rPr>
        <w:fldChar w:fldCharType="end"/>
      </w:r>
      <w:r>
        <w:rPr>
          <w:lang w:val="en-GB"/>
        </w:rPr>
        <w:t>.  </w:t>
      </w:r>
      <w:r w:rsidRPr="00DF6FE7">
        <w:rPr>
          <w:lang w:val="en-GB"/>
        </w:rPr>
        <w:t xml:space="preserve">The Government observed that section 5 </w:t>
      </w:r>
      <w:r w:rsidRPr="00DF6FE7">
        <w:rPr>
          <w:i/>
          <w:lang w:val="en-GB"/>
        </w:rPr>
        <w:t>bis</w:t>
      </w:r>
      <w:r w:rsidRPr="00DF6FE7">
        <w:rPr>
          <w:lang w:val="en-GB"/>
        </w:rPr>
        <w:t xml:space="preserve"> of Law no. 359/1992 had </w:t>
      </w:r>
      <w:r>
        <w:rPr>
          <w:lang w:val="en-GB"/>
        </w:rPr>
        <w:t xml:space="preserve">almost certainly </w:t>
      </w:r>
      <w:r w:rsidRPr="00DF6FE7">
        <w:rPr>
          <w:lang w:val="en-GB"/>
        </w:rPr>
        <w:t xml:space="preserve">been inspired by budgetary </w:t>
      </w:r>
      <w:r>
        <w:rPr>
          <w:lang w:val="en-GB"/>
        </w:rPr>
        <w:t xml:space="preserve">considerations and </w:t>
      </w:r>
      <w:r w:rsidR="00305558">
        <w:rPr>
          <w:lang w:val="en-GB"/>
        </w:rPr>
        <w:t>answered</w:t>
      </w:r>
      <w:r>
        <w:rPr>
          <w:lang w:val="en-GB"/>
        </w:rPr>
        <w:t xml:space="preserve"> the need to</w:t>
      </w:r>
      <w:r w:rsidRPr="00DF6FE7">
        <w:rPr>
          <w:lang w:val="en-GB"/>
        </w:rPr>
        <w:t xml:space="preserve"> </w:t>
      </w:r>
      <w:r>
        <w:rPr>
          <w:lang w:val="en-GB"/>
        </w:rPr>
        <w:t>control public</w:t>
      </w:r>
      <w:r w:rsidRPr="00DF6FE7">
        <w:rPr>
          <w:lang w:val="en-GB"/>
        </w:rPr>
        <w:t xml:space="preserve"> finances. </w:t>
      </w:r>
      <w:r w:rsidRPr="00824B80">
        <w:rPr>
          <w:lang w:val="en-GB"/>
        </w:rPr>
        <w:t>The Court could not criticise such considerations.</w:t>
      </w:r>
    </w:p>
    <w:p w:rsidR="00824B80" w:rsidP="00824B80" w:rsidRDefault="00F160FE">
      <w:pPr>
        <w:pStyle w:val="JuParaChar1"/>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124</w:t>
      </w:r>
      <w:r>
        <w:rPr>
          <w:lang w:val="en-GB"/>
        </w:rPr>
        <w:fldChar w:fldCharType="end"/>
      </w:r>
      <w:r>
        <w:rPr>
          <w:lang w:val="en-GB"/>
        </w:rPr>
        <w:t>.  Lastly</w:t>
      </w:r>
      <w:r w:rsidRPr="00E21B3A">
        <w:rPr>
          <w:lang w:val="en-GB"/>
        </w:rPr>
        <w:t xml:space="preserve">, the Government </w:t>
      </w:r>
      <w:r>
        <w:rPr>
          <w:lang w:val="en-GB"/>
        </w:rPr>
        <w:t xml:space="preserve">contended that </w:t>
      </w:r>
      <w:r w:rsidRPr="00E21B3A">
        <w:rPr>
          <w:lang w:val="en-GB"/>
        </w:rPr>
        <w:t xml:space="preserve">section 5 </w:t>
      </w:r>
      <w:r w:rsidRPr="00E21B3A">
        <w:rPr>
          <w:i/>
          <w:lang w:val="en-GB"/>
        </w:rPr>
        <w:t>bis</w:t>
      </w:r>
      <w:r w:rsidR="00D74BD5">
        <w:rPr>
          <w:lang w:val="en-GB"/>
        </w:rPr>
        <w:t xml:space="preserve"> of Law no. </w:t>
      </w:r>
      <w:r w:rsidRPr="00E21B3A">
        <w:rPr>
          <w:lang w:val="en-GB"/>
        </w:rPr>
        <w:t>359</w:t>
      </w:r>
      <w:r>
        <w:rPr>
          <w:lang w:val="en-GB"/>
        </w:rPr>
        <w:t>/</w:t>
      </w:r>
      <w:r w:rsidRPr="00E21B3A">
        <w:rPr>
          <w:lang w:val="en-GB"/>
        </w:rPr>
        <w:t xml:space="preserve">1992 </w:t>
      </w:r>
      <w:r>
        <w:rPr>
          <w:lang w:val="en-GB"/>
        </w:rPr>
        <w:t>had not been enacted in order to influence the determination of the proceedings instituted by the applicants</w:t>
      </w:r>
      <w:r w:rsidRPr="00E21B3A">
        <w:rPr>
          <w:lang w:val="en-GB"/>
        </w:rPr>
        <w:t>.</w:t>
      </w:r>
    </w:p>
    <w:p w:rsidRPr="00E21B3A" w:rsidR="00F160FE" w:rsidP="00F160FE" w:rsidRDefault="00F160FE">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125</w:t>
      </w:r>
      <w:r>
        <w:rPr>
          <w:lang w:val="en-GB"/>
        </w:rPr>
        <w:fldChar w:fldCharType="end"/>
      </w:r>
      <w:r>
        <w:rPr>
          <w:lang w:val="en-GB"/>
        </w:rPr>
        <w:t>.  They concluded that the application of the impugned provision to the applicants</w:t>
      </w:r>
      <w:r w:rsidR="00E6191D">
        <w:rPr>
          <w:lang w:val="en-GB"/>
        </w:rPr>
        <w:t>’</w:t>
      </w:r>
      <w:r>
        <w:rPr>
          <w:lang w:val="en-GB"/>
        </w:rPr>
        <w:t xml:space="preserve"> case</w:t>
      </w:r>
      <w:r w:rsidRPr="00E21B3A">
        <w:rPr>
          <w:lang w:val="en-GB"/>
        </w:rPr>
        <w:t xml:space="preserve"> </w:t>
      </w:r>
      <w:r>
        <w:rPr>
          <w:lang w:val="en-GB"/>
        </w:rPr>
        <w:t xml:space="preserve">did not raise an issue under the Convention. In </w:t>
      </w:r>
      <w:r w:rsidRPr="00E21B3A">
        <w:rPr>
          <w:lang w:val="en-GB"/>
        </w:rPr>
        <w:t>support of their submissions, the</w:t>
      </w:r>
      <w:r>
        <w:rPr>
          <w:lang w:val="en-GB"/>
        </w:rPr>
        <w:t xml:space="preserve"> Govern</w:t>
      </w:r>
      <w:r w:rsidRPr="00E21B3A">
        <w:rPr>
          <w:lang w:val="en-GB"/>
        </w:rPr>
        <w:t xml:space="preserve">ment referred specifically to the judgments </w:t>
      </w:r>
      <w:r w:rsidR="00126D84">
        <w:rPr>
          <w:lang w:val="en-GB"/>
        </w:rPr>
        <w:t>in</w:t>
      </w:r>
      <w:r w:rsidRPr="00E21B3A">
        <w:rPr>
          <w:lang w:val="en-GB"/>
        </w:rPr>
        <w:t xml:space="preserve"> </w:t>
      </w:r>
      <w:r w:rsidRPr="00E21B3A">
        <w:rPr>
          <w:i/>
          <w:lang w:val="en-GB" w:eastAsia="en-US"/>
        </w:rPr>
        <w:t>Forrer-Niedenthal v. Germany</w:t>
      </w:r>
      <w:r w:rsidRPr="00E21B3A">
        <w:rPr>
          <w:lang w:val="en-GB" w:eastAsia="en-US"/>
        </w:rPr>
        <w:t xml:space="preserve"> (no. 47316/99, 20 February 2003)</w:t>
      </w:r>
      <w:r w:rsidR="00126D84">
        <w:rPr>
          <w:lang w:val="en-GB" w:eastAsia="en-US"/>
        </w:rPr>
        <w:t>,</w:t>
      </w:r>
      <w:r w:rsidRPr="00E21B3A">
        <w:rPr>
          <w:lang w:val="en-GB" w:eastAsia="en-US"/>
        </w:rPr>
        <w:t xml:space="preserve"> </w:t>
      </w:r>
      <w:r w:rsidR="004951F3">
        <w:rPr>
          <w:i/>
          <w:lang w:val="en-GB" w:eastAsia="en-US"/>
        </w:rPr>
        <w:t xml:space="preserve">OGIS-Institut Stanislas </w:t>
      </w:r>
      <w:r>
        <w:rPr>
          <w:i/>
          <w:lang w:val="en-GB" w:eastAsia="en-US"/>
        </w:rPr>
        <w:t>and Others</w:t>
      </w:r>
      <w:r w:rsidRPr="00E21B3A">
        <w:rPr>
          <w:i/>
          <w:lang w:val="en-GB" w:eastAsia="en-US"/>
        </w:rPr>
        <w:t xml:space="preserve"> </w:t>
      </w:r>
      <w:r>
        <w:rPr>
          <w:i/>
          <w:lang w:val="en-GB" w:eastAsia="en-US"/>
        </w:rPr>
        <w:t>v</w:t>
      </w:r>
      <w:r w:rsidRPr="00E21B3A">
        <w:rPr>
          <w:i/>
          <w:lang w:val="en-GB" w:eastAsia="en-US"/>
        </w:rPr>
        <w:t>. France</w:t>
      </w:r>
      <w:r w:rsidRPr="00E21B3A">
        <w:rPr>
          <w:lang w:val="en-GB" w:eastAsia="en-US"/>
        </w:rPr>
        <w:t xml:space="preserve"> (</w:t>
      </w:r>
      <w:r>
        <w:rPr>
          <w:lang w:val="en-GB" w:eastAsia="en-US"/>
        </w:rPr>
        <w:t>nos.</w:t>
      </w:r>
      <w:r w:rsidR="00210E54">
        <w:rPr>
          <w:lang w:val="en-GB" w:eastAsia="en-US"/>
        </w:rPr>
        <w:t xml:space="preserve"> </w:t>
      </w:r>
      <w:r w:rsidRPr="00E21B3A">
        <w:rPr>
          <w:lang w:val="en-GB" w:eastAsia="en-US"/>
        </w:rPr>
        <w:t xml:space="preserve">42219/98 </w:t>
      </w:r>
      <w:r>
        <w:rPr>
          <w:lang w:val="en-GB" w:eastAsia="en-US"/>
        </w:rPr>
        <w:t>and</w:t>
      </w:r>
      <w:r w:rsidRPr="00E21B3A">
        <w:rPr>
          <w:lang w:val="en-GB" w:eastAsia="en-US"/>
        </w:rPr>
        <w:t xml:space="preserve"> 54563/00, 27</w:t>
      </w:r>
      <w:r w:rsidR="00126D84">
        <w:rPr>
          <w:lang w:val="en-GB" w:eastAsia="en-US"/>
        </w:rPr>
        <w:t> </w:t>
      </w:r>
      <w:r>
        <w:rPr>
          <w:lang w:val="en-GB" w:eastAsia="en-US"/>
        </w:rPr>
        <w:t>May</w:t>
      </w:r>
      <w:r w:rsidRPr="00E21B3A">
        <w:rPr>
          <w:lang w:val="en-GB" w:eastAsia="en-US"/>
        </w:rPr>
        <w:t xml:space="preserve"> 2004) </w:t>
      </w:r>
      <w:r>
        <w:rPr>
          <w:lang w:val="en-GB" w:eastAsia="en-US"/>
        </w:rPr>
        <w:t>and</w:t>
      </w:r>
      <w:r w:rsidRPr="00E21B3A">
        <w:rPr>
          <w:lang w:val="en-GB" w:eastAsia="en-US"/>
        </w:rPr>
        <w:t xml:space="preserve"> </w:t>
      </w:r>
      <w:r w:rsidRPr="00E21B3A">
        <w:rPr>
          <w:i/>
          <w:lang w:val="en-GB" w:eastAsia="en-US"/>
        </w:rPr>
        <w:t xml:space="preserve">Bäck </w:t>
      </w:r>
      <w:r>
        <w:rPr>
          <w:i/>
          <w:lang w:val="en-GB" w:eastAsia="en-US"/>
        </w:rPr>
        <w:t>v</w:t>
      </w:r>
      <w:r w:rsidRPr="00E21B3A">
        <w:rPr>
          <w:i/>
          <w:lang w:val="en-GB" w:eastAsia="en-US"/>
        </w:rPr>
        <w:t>. Finland</w:t>
      </w:r>
      <w:r w:rsidR="004951F3">
        <w:rPr>
          <w:lang w:val="en-GB" w:eastAsia="en-US"/>
        </w:rPr>
        <w:t xml:space="preserve"> </w:t>
      </w:r>
      <w:r w:rsidRPr="00E21B3A">
        <w:rPr>
          <w:lang w:val="en-GB" w:eastAsia="en-US"/>
        </w:rPr>
        <w:t>(</w:t>
      </w:r>
      <w:r>
        <w:rPr>
          <w:lang w:val="en-GB" w:eastAsia="en-US"/>
        </w:rPr>
        <w:t>no.</w:t>
      </w:r>
      <w:r w:rsidR="00AF0A1F">
        <w:rPr>
          <w:lang w:val="en-GB" w:eastAsia="en-US"/>
        </w:rPr>
        <w:t xml:space="preserve"> </w:t>
      </w:r>
      <w:r w:rsidRPr="00E21B3A">
        <w:rPr>
          <w:lang w:val="en-GB" w:eastAsia="en-US"/>
        </w:rPr>
        <w:t xml:space="preserve">37598/97, </w:t>
      </w:r>
      <w:r>
        <w:rPr>
          <w:lang w:val="en-GB" w:eastAsia="en-US"/>
        </w:rPr>
        <w:t>ECHR</w:t>
      </w:r>
      <w:r w:rsidR="004951F3">
        <w:rPr>
          <w:lang w:val="en-GB" w:eastAsia="en-US"/>
        </w:rPr>
        <w:t xml:space="preserve"> 2004-</w:t>
      </w:r>
      <w:r w:rsidRPr="00E21B3A">
        <w:rPr>
          <w:lang w:val="en-GB" w:eastAsia="en-US"/>
        </w:rPr>
        <w:t>VIII).</w:t>
      </w:r>
    </w:p>
    <w:p w:rsidRPr="0076757E" w:rsidR="00824B80" w:rsidP="00124007" w:rsidRDefault="00126D84">
      <w:pPr>
        <w:pStyle w:val="JuH1"/>
        <w:outlineLvl w:val="0"/>
        <w:rPr>
          <w:lang w:val="en-GB"/>
        </w:rPr>
      </w:pPr>
      <w:r>
        <w:rPr>
          <w:lang w:val="en-GB"/>
        </w:rPr>
        <w:t>3</w:t>
      </w:r>
      <w:r w:rsidRPr="0076757E" w:rsidR="00824B80">
        <w:rPr>
          <w:lang w:val="en-GB"/>
        </w:rPr>
        <w:t>.  </w:t>
      </w:r>
      <w:r w:rsidRPr="0076757E" w:rsidR="009318DD">
        <w:rPr>
          <w:lang w:val="en-GB"/>
        </w:rPr>
        <w:t>The Court</w:t>
      </w:r>
      <w:r w:rsidR="00E6191D">
        <w:rPr>
          <w:lang w:val="en-GB"/>
        </w:rPr>
        <w:t>’</w:t>
      </w:r>
      <w:r w:rsidRPr="0076757E" w:rsidR="009318DD">
        <w:rPr>
          <w:lang w:val="en-GB"/>
        </w:rPr>
        <w:t>s assessment</w:t>
      </w:r>
    </w:p>
    <w:p w:rsidR="00512FB4" w:rsidP="00824B80" w:rsidRDefault="00824B80">
      <w:pPr>
        <w:pStyle w:val="JuParaChar1"/>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126</w:t>
      </w:r>
      <w:r w:rsidRPr="00C2011C">
        <w:fldChar w:fldCharType="end"/>
      </w:r>
      <w:r w:rsidRPr="0076757E">
        <w:rPr>
          <w:lang w:val="en-GB"/>
        </w:rPr>
        <w:t>.  </w:t>
      </w:r>
      <w:r w:rsidRPr="009318DD" w:rsidR="009318DD">
        <w:rPr>
          <w:lang w:val="en-GB"/>
        </w:rPr>
        <w:t>The Court reiterates that</w:t>
      </w:r>
      <w:r w:rsidR="004C51EE">
        <w:rPr>
          <w:lang w:val="en-GB"/>
        </w:rPr>
        <w:t>,</w:t>
      </w:r>
      <w:r w:rsidRPr="009318DD" w:rsidR="009318DD">
        <w:rPr>
          <w:lang w:val="en-GB"/>
        </w:rPr>
        <w:t xml:space="preserve"> although, in theory</w:t>
      </w:r>
      <w:r w:rsidRPr="009318DD">
        <w:rPr>
          <w:lang w:val="en-GB"/>
        </w:rPr>
        <w:t xml:space="preserve">, </w:t>
      </w:r>
      <w:r w:rsidRPr="009318DD" w:rsidR="009318DD">
        <w:rPr>
          <w:lang w:val="en-GB"/>
        </w:rPr>
        <w:t>the legislature is not precluded in civil matters from adopting new retrospective provisions to regulate rights arising under existing law</w:t>
      </w:r>
      <w:r w:rsidRPr="009318DD">
        <w:rPr>
          <w:lang w:val="en-GB"/>
        </w:rPr>
        <w:t xml:space="preserve">, </w:t>
      </w:r>
      <w:r w:rsidRPr="009318DD" w:rsidR="009318DD">
        <w:rPr>
          <w:lang w:val="en-GB"/>
        </w:rPr>
        <w:t xml:space="preserve">the principle of the rule of law and the notion of fair trial enshrined in Article 6 </w:t>
      </w:r>
      <w:r w:rsidR="00696446">
        <w:rPr>
          <w:lang w:val="en-GB"/>
        </w:rPr>
        <w:t xml:space="preserve">of the Convention </w:t>
      </w:r>
      <w:r w:rsidRPr="009318DD" w:rsidR="009318DD">
        <w:rPr>
          <w:lang w:val="en-GB"/>
        </w:rPr>
        <w:t>preclude any interference by the legislature – other than on compelling grounds of the general interest – with the administration of justice designed to influence the judicial determination of a dispute</w:t>
      </w:r>
      <w:r w:rsidRPr="009318DD">
        <w:rPr>
          <w:lang w:val="en-GB"/>
        </w:rPr>
        <w:t xml:space="preserve"> (</w:t>
      </w:r>
      <w:r w:rsidR="009318DD">
        <w:rPr>
          <w:lang w:val="en-GB"/>
        </w:rPr>
        <w:t xml:space="preserve">see </w:t>
      </w:r>
      <w:r w:rsidRPr="009318DD">
        <w:rPr>
          <w:i/>
          <w:lang w:val="en-GB"/>
        </w:rPr>
        <w:t xml:space="preserve">Zielinski </w:t>
      </w:r>
      <w:r w:rsidR="009318DD">
        <w:rPr>
          <w:i/>
          <w:lang w:val="en-GB"/>
        </w:rPr>
        <w:t>and</w:t>
      </w:r>
      <w:r w:rsidRPr="009318DD">
        <w:rPr>
          <w:i/>
          <w:lang w:val="en-GB"/>
        </w:rPr>
        <w:t xml:space="preserve"> Pradal </w:t>
      </w:r>
      <w:r w:rsidR="00BE0920">
        <w:rPr>
          <w:i/>
          <w:lang w:val="en-GB"/>
        </w:rPr>
        <w:t>and</w:t>
      </w:r>
      <w:r w:rsidRPr="009318DD">
        <w:rPr>
          <w:i/>
          <w:lang w:val="en-GB"/>
        </w:rPr>
        <w:t xml:space="preserve"> Gonzale</w:t>
      </w:r>
      <w:r w:rsidR="00126D84">
        <w:rPr>
          <w:i/>
          <w:lang w:val="en-GB"/>
        </w:rPr>
        <w:t>z</w:t>
      </w:r>
      <w:r w:rsidR="004951F3">
        <w:rPr>
          <w:i/>
          <w:lang w:val="en-GB"/>
        </w:rPr>
        <w:t xml:space="preserve"> and Others</w:t>
      </w:r>
      <w:r w:rsidRPr="009318DD">
        <w:rPr>
          <w:i/>
          <w:lang w:val="en-GB"/>
        </w:rPr>
        <w:t xml:space="preserve"> </w:t>
      </w:r>
      <w:r w:rsidR="009318DD">
        <w:rPr>
          <w:i/>
          <w:lang w:val="en-GB"/>
        </w:rPr>
        <w:t>v</w:t>
      </w:r>
      <w:r w:rsidRPr="009318DD">
        <w:rPr>
          <w:i/>
          <w:lang w:val="en-GB"/>
        </w:rPr>
        <w:t xml:space="preserve">. France </w:t>
      </w:r>
      <w:r w:rsidRPr="009318DD">
        <w:rPr>
          <w:lang w:val="en-GB"/>
        </w:rPr>
        <w:t xml:space="preserve">[GC], </w:t>
      </w:r>
      <w:r w:rsidR="009318DD">
        <w:rPr>
          <w:lang w:val="en-GB"/>
        </w:rPr>
        <w:t>nos.</w:t>
      </w:r>
      <w:r w:rsidR="00AF0A1F">
        <w:rPr>
          <w:lang w:val="en-GB"/>
        </w:rPr>
        <w:t xml:space="preserve"> </w:t>
      </w:r>
      <w:r w:rsidRPr="009318DD">
        <w:rPr>
          <w:lang w:val="en-GB"/>
        </w:rPr>
        <w:t xml:space="preserve">24846/94 </w:t>
      </w:r>
      <w:r w:rsidR="009318DD">
        <w:rPr>
          <w:lang w:val="en-GB"/>
        </w:rPr>
        <w:t>and 34165/96 to</w:t>
      </w:r>
      <w:r w:rsidRPr="009318DD">
        <w:rPr>
          <w:lang w:val="en-GB"/>
        </w:rPr>
        <w:t xml:space="preserve"> 34173/96, § 57, </w:t>
      </w:r>
      <w:r w:rsidR="009318DD">
        <w:rPr>
          <w:lang w:val="en-GB"/>
        </w:rPr>
        <w:t>ECHR 1999-VII</w:t>
      </w:r>
      <w:r w:rsidRPr="009318DD">
        <w:rPr>
          <w:lang w:val="en-GB"/>
        </w:rPr>
        <w:t xml:space="preserve">; </w:t>
      </w:r>
      <w:r w:rsidRPr="009318DD" w:rsidR="009318DD">
        <w:rPr>
          <w:i/>
          <w:lang w:val="en-GB"/>
        </w:rPr>
        <w:t>Stran Greek Refineries and Stratis Andreadis v. Greece</w:t>
      </w:r>
      <w:r w:rsidRPr="004951F3" w:rsidR="009318DD">
        <w:rPr>
          <w:lang w:val="en-GB"/>
        </w:rPr>
        <w:t>,</w:t>
      </w:r>
      <w:r w:rsidRPr="009318DD" w:rsidR="009318DD">
        <w:rPr>
          <w:i/>
          <w:lang w:val="en-GB"/>
        </w:rPr>
        <w:t xml:space="preserve"> </w:t>
      </w:r>
      <w:r w:rsidR="004951F3">
        <w:rPr>
          <w:lang w:val="en-GB"/>
        </w:rPr>
        <w:t>9</w:t>
      </w:r>
      <w:r w:rsidR="00126D84">
        <w:rPr>
          <w:lang w:val="en-GB"/>
        </w:rPr>
        <w:t> </w:t>
      </w:r>
      <w:r w:rsidRPr="009318DD" w:rsidR="009318DD">
        <w:rPr>
          <w:lang w:val="en-GB"/>
        </w:rPr>
        <w:t>December 1994, Series A no. 301-B</w:t>
      </w:r>
      <w:r w:rsidR="00E53175">
        <w:rPr>
          <w:lang w:val="en-GB"/>
        </w:rPr>
        <w:t>;</w:t>
      </w:r>
      <w:r w:rsidR="009318DD">
        <w:rPr>
          <w:lang w:val="en-GB"/>
        </w:rPr>
        <w:t xml:space="preserve"> and</w:t>
      </w:r>
      <w:r w:rsidRPr="009318DD">
        <w:rPr>
          <w:lang w:val="en-GB"/>
        </w:rPr>
        <w:t xml:space="preserve"> </w:t>
      </w:r>
      <w:r w:rsidRPr="009318DD">
        <w:rPr>
          <w:i/>
          <w:lang w:val="en-GB"/>
        </w:rPr>
        <w:t xml:space="preserve">Papageorgiou </w:t>
      </w:r>
      <w:r w:rsidR="009318DD">
        <w:rPr>
          <w:i/>
          <w:lang w:val="en-GB"/>
        </w:rPr>
        <w:t>v</w:t>
      </w:r>
      <w:r w:rsidRPr="009318DD">
        <w:rPr>
          <w:i/>
          <w:lang w:val="en-GB"/>
        </w:rPr>
        <w:t xml:space="preserve">. </w:t>
      </w:r>
      <w:r w:rsidR="009318DD">
        <w:rPr>
          <w:i/>
          <w:lang w:val="en-GB"/>
        </w:rPr>
        <w:t>Greece</w:t>
      </w:r>
      <w:r w:rsidRPr="009318DD">
        <w:rPr>
          <w:lang w:val="en-GB"/>
        </w:rPr>
        <w:t>, 22</w:t>
      </w:r>
      <w:r w:rsidR="00126D84">
        <w:rPr>
          <w:lang w:val="en-GB"/>
        </w:rPr>
        <w:t> </w:t>
      </w:r>
      <w:r w:rsidR="00E53175">
        <w:rPr>
          <w:lang w:val="en-GB"/>
        </w:rPr>
        <w:t xml:space="preserve">October 1997, </w:t>
      </w:r>
      <w:r w:rsidR="004A79D1">
        <w:rPr>
          <w:i/>
          <w:iCs/>
          <w:lang w:val="en-GB"/>
        </w:rPr>
        <w:t>Reports</w:t>
      </w:r>
      <w:r w:rsidR="004951F3">
        <w:rPr>
          <w:i/>
          <w:iCs/>
          <w:lang w:val="en-GB"/>
        </w:rPr>
        <w:t xml:space="preserve"> of Judgments and Decisions </w:t>
      </w:r>
      <w:r w:rsidRPr="009318DD">
        <w:rPr>
          <w:lang w:val="en-GB"/>
        </w:rPr>
        <w:t>1997-VI).</w:t>
      </w:r>
    </w:p>
    <w:p w:rsidR="00967E1F" w:rsidP="007B1142" w:rsidRDefault="007B1142">
      <w:pPr>
        <w:pStyle w:val="JuParaChar1"/>
        <w:rPr>
          <w:lang w:val="en-GB"/>
        </w:rPr>
      </w:pPr>
      <w:r>
        <w:rPr>
          <w:lang w:val="en-GB"/>
        </w:rPr>
        <w:fldChar w:fldCharType="begin"/>
      </w:r>
      <w:r w:rsidRPr="00A265BC">
        <w:rPr>
          <w:lang w:val="en-GB"/>
        </w:rPr>
        <w:instrText xml:space="preserve"> SEQ level0 \*arabic </w:instrText>
      </w:r>
      <w:r>
        <w:rPr>
          <w:lang w:val="en-GB"/>
        </w:rPr>
        <w:fldChar w:fldCharType="separate"/>
      </w:r>
      <w:r w:rsidR="008B3B68">
        <w:rPr>
          <w:noProof/>
          <w:lang w:val="en-GB"/>
        </w:rPr>
        <w:t>127</w:t>
      </w:r>
      <w:r>
        <w:rPr>
          <w:lang w:val="en-GB"/>
        </w:rPr>
        <w:fldChar w:fldCharType="end"/>
      </w:r>
      <w:r w:rsidRPr="00A265BC">
        <w:rPr>
          <w:lang w:val="en-GB"/>
        </w:rPr>
        <w:t>.  </w:t>
      </w:r>
      <w:r w:rsidRPr="004719CE">
        <w:rPr>
          <w:lang w:val="en-GB"/>
        </w:rPr>
        <w:t xml:space="preserve">The Court </w:t>
      </w:r>
      <w:r w:rsidRPr="004719CE" w:rsidR="004719CE">
        <w:rPr>
          <w:lang w:val="en-GB"/>
        </w:rPr>
        <w:t>points out that</w:t>
      </w:r>
      <w:r w:rsidR="009512BB">
        <w:rPr>
          <w:lang w:val="en-GB"/>
        </w:rPr>
        <w:t xml:space="preserve">, </w:t>
      </w:r>
      <w:r w:rsidRPr="004719CE" w:rsidR="004719CE">
        <w:rPr>
          <w:lang w:val="en-GB"/>
        </w:rPr>
        <w:t>prior to the entry into force of section</w:t>
      </w:r>
      <w:r w:rsidRPr="004719CE">
        <w:rPr>
          <w:lang w:val="en-GB"/>
        </w:rPr>
        <w:t xml:space="preserve"> 5 </w:t>
      </w:r>
      <w:r w:rsidRPr="004719CE">
        <w:rPr>
          <w:i/>
          <w:lang w:val="en-GB"/>
        </w:rPr>
        <w:t xml:space="preserve">bis </w:t>
      </w:r>
      <w:r w:rsidRPr="004719CE" w:rsidR="004719CE">
        <w:rPr>
          <w:lang w:val="en-GB"/>
        </w:rPr>
        <w:t>of Law no.</w:t>
      </w:r>
      <w:r w:rsidRPr="004719CE">
        <w:rPr>
          <w:lang w:val="en-GB"/>
        </w:rPr>
        <w:t xml:space="preserve"> 359</w:t>
      </w:r>
      <w:r w:rsidRPr="004719CE" w:rsidR="004719CE">
        <w:rPr>
          <w:lang w:val="en-GB"/>
        </w:rPr>
        <w:t>/</w:t>
      </w:r>
      <w:r w:rsidRPr="004719CE">
        <w:rPr>
          <w:lang w:val="en-GB"/>
        </w:rPr>
        <w:t>1992</w:t>
      </w:r>
      <w:r w:rsidR="009512BB">
        <w:rPr>
          <w:lang w:val="en-GB"/>
        </w:rPr>
        <w:t xml:space="preserve"> and having regard to the </w:t>
      </w:r>
      <w:r w:rsidR="007776B7">
        <w:rPr>
          <w:lang w:val="en-GB"/>
        </w:rPr>
        <w:t xml:space="preserve">two </w:t>
      </w:r>
      <w:r w:rsidR="009512BB">
        <w:rPr>
          <w:lang w:val="en-GB"/>
        </w:rPr>
        <w:t xml:space="preserve">rulings of the </w:t>
      </w:r>
      <w:r w:rsidR="00696446">
        <w:rPr>
          <w:lang w:val="en-GB"/>
        </w:rPr>
        <w:t xml:space="preserve">Italian </w:t>
      </w:r>
      <w:r w:rsidR="009512BB">
        <w:rPr>
          <w:lang w:val="en-GB"/>
        </w:rPr>
        <w:t>Constitutional Court of 25 January 1980 and 15 July 1983,</w:t>
      </w:r>
      <w:r w:rsidRPr="004719CE" w:rsidR="004719CE">
        <w:rPr>
          <w:lang w:val="en-GB"/>
        </w:rPr>
        <w:t xml:space="preserve"> the law</w:t>
      </w:r>
      <w:r w:rsidRPr="004719CE">
        <w:rPr>
          <w:lang w:val="en-GB"/>
        </w:rPr>
        <w:t xml:space="preserve"> applicable</w:t>
      </w:r>
      <w:r w:rsidRPr="004719CE" w:rsidR="004719CE">
        <w:rPr>
          <w:lang w:val="en-GB"/>
        </w:rPr>
        <w:t xml:space="preserve"> to the present case was Law no.</w:t>
      </w:r>
      <w:r w:rsidRPr="004719CE">
        <w:rPr>
          <w:lang w:val="en-GB"/>
        </w:rPr>
        <w:t xml:space="preserve"> 2359</w:t>
      </w:r>
      <w:r w:rsidRPr="004719CE" w:rsidR="004719CE">
        <w:rPr>
          <w:lang w:val="en-GB"/>
        </w:rPr>
        <w:t>/</w:t>
      </w:r>
      <w:r w:rsidRPr="004719CE">
        <w:rPr>
          <w:lang w:val="en-GB"/>
        </w:rPr>
        <w:t>1865 (</w:t>
      </w:r>
      <w:r w:rsidRPr="004719CE" w:rsidR="004719CE">
        <w:rPr>
          <w:lang w:val="en-GB"/>
        </w:rPr>
        <w:t>see par</w:t>
      </w:r>
      <w:r w:rsidR="004C51EE">
        <w:rPr>
          <w:lang w:val="en-GB"/>
        </w:rPr>
        <w:t>agraphs 47</w:t>
      </w:r>
      <w:r w:rsidRPr="004719CE">
        <w:rPr>
          <w:lang w:val="en-GB"/>
        </w:rPr>
        <w:t xml:space="preserve">-56 </w:t>
      </w:r>
      <w:r w:rsidRPr="004719CE" w:rsidR="004719CE">
        <w:rPr>
          <w:lang w:val="en-GB"/>
        </w:rPr>
        <w:t>above</w:t>
      </w:r>
      <w:r w:rsidRPr="004719CE">
        <w:rPr>
          <w:lang w:val="en-GB"/>
        </w:rPr>
        <w:t xml:space="preserve">), </w:t>
      </w:r>
      <w:r w:rsidRPr="004719CE" w:rsidR="004719CE">
        <w:rPr>
          <w:lang w:val="en-GB"/>
        </w:rPr>
        <w:t>section</w:t>
      </w:r>
      <w:r w:rsidRPr="004719CE">
        <w:rPr>
          <w:lang w:val="en-GB"/>
        </w:rPr>
        <w:t xml:space="preserve"> 39</w:t>
      </w:r>
      <w:r w:rsidRPr="004719CE" w:rsidR="004719CE">
        <w:rPr>
          <w:lang w:val="en-GB"/>
        </w:rPr>
        <w:t xml:space="preserve"> of which pro</w:t>
      </w:r>
      <w:r w:rsidR="004719CE">
        <w:rPr>
          <w:lang w:val="en-GB"/>
        </w:rPr>
        <w:t>vided for a right to compensation</w:t>
      </w:r>
      <w:r w:rsidRPr="004719CE">
        <w:rPr>
          <w:lang w:val="en-GB"/>
        </w:rPr>
        <w:t xml:space="preserve"> </w:t>
      </w:r>
      <w:r w:rsidR="004C51EE">
        <w:rPr>
          <w:lang w:val="en-GB"/>
        </w:rPr>
        <w:t>at</w:t>
      </w:r>
      <w:r w:rsidR="004719CE">
        <w:rPr>
          <w:lang w:val="en-GB"/>
        </w:rPr>
        <w:t xml:space="preserve"> the</w:t>
      </w:r>
      <w:r w:rsidRPr="004719CE">
        <w:rPr>
          <w:lang w:val="en-GB"/>
        </w:rPr>
        <w:t xml:space="preserve"> </w:t>
      </w:r>
      <w:r w:rsidR="004719CE">
        <w:rPr>
          <w:lang w:val="en-GB"/>
        </w:rPr>
        <w:t>full market value of the property</w:t>
      </w:r>
      <w:r w:rsidRPr="004719CE">
        <w:rPr>
          <w:lang w:val="en-GB"/>
        </w:rPr>
        <w:t xml:space="preserve">. </w:t>
      </w:r>
      <w:r w:rsidRPr="004719CE" w:rsidR="004719CE">
        <w:rPr>
          <w:lang w:val="en-GB"/>
        </w:rPr>
        <w:t>As a result of the impugned provision</w:t>
      </w:r>
      <w:r w:rsidRPr="004719CE">
        <w:rPr>
          <w:lang w:val="en-GB"/>
        </w:rPr>
        <w:t xml:space="preserve">, </w:t>
      </w:r>
      <w:r w:rsidRPr="004719CE" w:rsidR="004719CE">
        <w:rPr>
          <w:lang w:val="en-GB"/>
        </w:rPr>
        <w:t>the</w:t>
      </w:r>
      <w:r w:rsidR="004719CE">
        <w:rPr>
          <w:lang w:val="en-GB"/>
        </w:rPr>
        <w:t xml:space="preserve"> compensation payable to the</w:t>
      </w:r>
      <w:r w:rsidRPr="004719CE" w:rsidR="004719CE">
        <w:rPr>
          <w:lang w:val="en-GB"/>
        </w:rPr>
        <w:t xml:space="preserve"> applicants was substantially red</w:t>
      </w:r>
      <w:r w:rsidR="004719CE">
        <w:rPr>
          <w:lang w:val="en-GB"/>
        </w:rPr>
        <w:t>uced</w:t>
      </w:r>
      <w:r w:rsidRPr="004719CE">
        <w:rPr>
          <w:lang w:val="en-GB"/>
        </w:rPr>
        <w:t>.</w:t>
      </w:r>
    </w:p>
    <w:p w:rsidR="00A265BC" w:rsidP="00824B80" w:rsidRDefault="00824B80">
      <w:pPr>
        <w:pStyle w:val="JuParaChar1"/>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128</w:t>
      </w:r>
      <w:r w:rsidRPr="00C2011C">
        <w:fldChar w:fldCharType="end"/>
      </w:r>
      <w:r w:rsidRPr="0076757E">
        <w:rPr>
          <w:lang w:val="en-GB"/>
        </w:rPr>
        <w:t>.  </w:t>
      </w:r>
      <w:r w:rsidR="00916A59">
        <w:rPr>
          <w:lang w:val="en-GB"/>
        </w:rPr>
        <w:t>By modifying the law applicable to awards of</w:t>
      </w:r>
      <w:r w:rsidRPr="00916A59" w:rsidR="00916A59">
        <w:rPr>
          <w:lang w:val="en-GB"/>
        </w:rPr>
        <w:t xml:space="preserve"> </w:t>
      </w:r>
      <w:r w:rsidR="00916A59">
        <w:rPr>
          <w:lang w:val="en-GB"/>
        </w:rPr>
        <w:t>compensation in respect of expropriations that were under way, and to the related pending judicial proceedings other than</w:t>
      </w:r>
      <w:r w:rsidRPr="009318DD" w:rsidR="009318DD">
        <w:rPr>
          <w:lang w:val="en-GB"/>
        </w:rPr>
        <w:t xml:space="preserve"> those </w:t>
      </w:r>
      <w:r w:rsidR="009318DD">
        <w:rPr>
          <w:lang w:val="en-GB"/>
        </w:rPr>
        <w:t>on which a final ruling regarding the principle of compensati</w:t>
      </w:r>
      <w:r w:rsidRPr="009318DD">
        <w:rPr>
          <w:lang w:val="en-GB"/>
        </w:rPr>
        <w:t>on</w:t>
      </w:r>
      <w:r w:rsidRPr="00E53175" w:rsidR="00E53175">
        <w:rPr>
          <w:lang w:val="en-GB"/>
        </w:rPr>
        <w:t xml:space="preserve"> </w:t>
      </w:r>
      <w:r w:rsidR="00E53175">
        <w:rPr>
          <w:lang w:val="en-GB"/>
        </w:rPr>
        <w:t>had been given</w:t>
      </w:r>
      <w:r w:rsidR="00916A59">
        <w:rPr>
          <w:lang w:val="en-GB"/>
        </w:rPr>
        <w:t xml:space="preserve">, section 5 </w:t>
      </w:r>
      <w:r w:rsidRPr="00916A59" w:rsidR="00916A59">
        <w:rPr>
          <w:i/>
          <w:lang w:val="en-GB"/>
        </w:rPr>
        <w:t>bis</w:t>
      </w:r>
      <w:r w:rsidR="000C575D">
        <w:rPr>
          <w:lang w:val="en-GB"/>
        </w:rPr>
        <w:t xml:space="preserve"> of Law no. </w:t>
      </w:r>
      <w:r w:rsidR="00916A59">
        <w:rPr>
          <w:lang w:val="en-GB"/>
        </w:rPr>
        <w:t>359/1992 applied new compensation</w:t>
      </w:r>
      <w:r w:rsidRPr="007B5D41" w:rsidR="007B5D41">
        <w:rPr>
          <w:lang w:val="en-GB"/>
        </w:rPr>
        <w:t xml:space="preserve"> </w:t>
      </w:r>
      <w:r w:rsidR="007B5D41">
        <w:rPr>
          <w:lang w:val="en-GB"/>
        </w:rPr>
        <w:t>rules</w:t>
      </w:r>
      <w:r w:rsidR="00916A59">
        <w:rPr>
          <w:lang w:val="en-GB"/>
        </w:rPr>
        <w:t xml:space="preserve"> to situations that had arisen before it came into force and had already given rise to claims </w:t>
      </w:r>
      <w:r w:rsidR="00AB176B">
        <w:rPr>
          <w:lang w:val="en-GB"/>
        </w:rPr>
        <w:t>to</w:t>
      </w:r>
      <w:r w:rsidR="00916A59">
        <w:rPr>
          <w:lang w:val="en-GB"/>
        </w:rPr>
        <w:t xml:space="preserve"> compensation – and even to proceedings pending on that date – thereby producing a retrospective effect</w:t>
      </w:r>
      <w:r w:rsidRPr="009318DD">
        <w:rPr>
          <w:lang w:val="en-GB"/>
        </w:rPr>
        <w:t>.</w:t>
      </w:r>
    </w:p>
    <w:p w:rsidRPr="004A79D1" w:rsidR="00824B80" w:rsidP="00824B80" w:rsidRDefault="00A265BC">
      <w:pPr>
        <w:pStyle w:val="JuParaChar1"/>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129</w:t>
      </w:r>
      <w:r>
        <w:rPr>
          <w:lang w:val="en-GB"/>
        </w:rPr>
        <w:fldChar w:fldCharType="end"/>
      </w:r>
      <w:r>
        <w:rPr>
          <w:lang w:val="en-GB"/>
        </w:rPr>
        <w:t>.  </w:t>
      </w:r>
      <w:r w:rsidRPr="004A79D1" w:rsidR="004A79D1">
        <w:rPr>
          <w:lang w:val="en-GB"/>
        </w:rPr>
        <w:t xml:space="preserve">As a result of the </w:t>
      </w:r>
      <w:r w:rsidRPr="004A79D1" w:rsidR="00824B80">
        <w:rPr>
          <w:lang w:val="en-GB"/>
        </w:rPr>
        <w:t xml:space="preserve">application </w:t>
      </w:r>
      <w:r w:rsidRPr="004A79D1" w:rsidR="004A79D1">
        <w:rPr>
          <w:lang w:val="en-GB"/>
        </w:rPr>
        <w:t>of this provision</w:t>
      </w:r>
      <w:r w:rsidRPr="004A79D1" w:rsidR="00824B80">
        <w:rPr>
          <w:lang w:val="en-GB"/>
        </w:rPr>
        <w:t xml:space="preserve">, </w:t>
      </w:r>
      <w:r w:rsidRPr="004A79D1" w:rsidR="004A79D1">
        <w:rPr>
          <w:lang w:val="en-GB"/>
        </w:rPr>
        <w:t>owners of expropriated land</w:t>
      </w:r>
      <w:r w:rsidRPr="004A79D1" w:rsidR="00824B80">
        <w:rPr>
          <w:lang w:val="en-GB"/>
        </w:rPr>
        <w:t xml:space="preserve"> </w:t>
      </w:r>
      <w:r w:rsidRPr="004A79D1" w:rsidR="004A79D1">
        <w:rPr>
          <w:lang w:val="en-GB"/>
        </w:rPr>
        <w:t xml:space="preserve">were deprived of a substantial </w:t>
      </w:r>
      <w:r w:rsidR="004A79D1">
        <w:rPr>
          <w:lang w:val="en-GB"/>
        </w:rPr>
        <w:t>part of the compensation they could previously have claimed under Law no.</w:t>
      </w:r>
      <w:r w:rsidRPr="004A79D1" w:rsidR="00824B80">
        <w:rPr>
          <w:lang w:val="en-GB"/>
        </w:rPr>
        <w:t xml:space="preserve"> 2359</w:t>
      </w:r>
      <w:r w:rsidR="004A79D1">
        <w:rPr>
          <w:lang w:val="en-GB"/>
        </w:rPr>
        <w:t>/</w:t>
      </w:r>
      <w:r w:rsidRPr="004A79D1" w:rsidR="00824B80">
        <w:rPr>
          <w:lang w:val="en-GB"/>
        </w:rPr>
        <w:t>1865.</w:t>
      </w:r>
    </w:p>
    <w:p w:rsidR="00824B80" w:rsidP="00824B80" w:rsidRDefault="00824B80">
      <w:pPr>
        <w:pStyle w:val="JuParaChar1"/>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130</w:t>
      </w:r>
      <w:r w:rsidRPr="00C2011C">
        <w:fldChar w:fldCharType="end"/>
      </w:r>
      <w:r w:rsidRPr="0076757E">
        <w:rPr>
          <w:lang w:val="en-GB"/>
        </w:rPr>
        <w:t>.  </w:t>
      </w:r>
      <w:r w:rsidRPr="009318DD" w:rsidR="00916A59">
        <w:rPr>
          <w:lang w:val="en-GB"/>
        </w:rPr>
        <w:t xml:space="preserve">Accordingly, even though the proceedings were not annulled under section 5 </w:t>
      </w:r>
      <w:r w:rsidRPr="009318DD" w:rsidR="00916A59">
        <w:rPr>
          <w:i/>
          <w:lang w:val="en-GB"/>
        </w:rPr>
        <w:t>bis</w:t>
      </w:r>
      <w:r w:rsidRPr="009318DD" w:rsidR="00916A59">
        <w:rPr>
          <w:lang w:val="en-GB"/>
        </w:rPr>
        <w:t xml:space="preserve"> of Law no. 359/1992, the provision in question, which was applicable to</w:t>
      </w:r>
      <w:r w:rsidR="00916A59">
        <w:rPr>
          <w:lang w:val="en-GB"/>
        </w:rPr>
        <w:t xml:space="preserve"> the</w:t>
      </w:r>
      <w:r w:rsidRPr="00083076" w:rsidR="00916A59">
        <w:rPr>
          <w:lang w:val="en-GB"/>
        </w:rPr>
        <w:t xml:space="preserve"> </w:t>
      </w:r>
      <w:r w:rsidRPr="009318DD" w:rsidR="00916A59">
        <w:rPr>
          <w:lang w:val="en-GB"/>
        </w:rPr>
        <w:t>judicial proceedings that the applicants had instituted</w:t>
      </w:r>
      <w:r w:rsidR="00916A59">
        <w:rPr>
          <w:lang w:val="en-GB"/>
        </w:rPr>
        <w:t xml:space="preserve"> and </w:t>
      </w:r>
      <w:r w:rsidR="007B5D41">
        <w:rPr>
          <w:lang w:val="en-GB"/>
        </w:rPr>
        <w:t xml:space="preserve">which </w:t>
      </w:r>
      <w:r w:rsidR="00916A59">
        <w:rPr>
          <w:lang w:val="en-GB"/>
        </w:rPr>
        <w:t>were</w:t>
      </w:r>
      <w:r w:rsidRPr="00E53175" w:rsidR="00916A59">
        <w:rPr>
          <w:lang w:val="en-GB"/>
        </w:rPr>
        <w:t xml:space="preserve"> </w:t>
      </w:r>
      <w:r w:rsidR="00916A59">
        <w:rPr>
          <w:lang w:val="en-GB"/>
        </w:rPr>
        <w:t>pending</w:t>
      </w:r>
      <w:r w:rsidRPr="009318DD" w:rsidR="00916A59">
        <w:rPr>
          <w:lang w:val="en-GB"/>
        </w:rPr>
        <w:t>,</w:t>
      </w:r>
      <w:r w:rsidR="00916A59">
        <w:rPr>
          <w:lang w:val="en-GB"/>
        </w:rPr>
        <w:t xml:space="preserve"> had the effect of definitively modifying the outcome by </w:t>
      </w:r>
      <w:r w:rsidRPr="00E53175" w:rsidR="00916A59">
        <w:rPr>
          <w:lang w:val="en-GB"/>
        </w:rPr>
        <w:t>defining retrospectively the terms of the debate</w:t>
      </w:r>
      <w:r w:rsidRPr="0034141E" w:rsidR="00916A59">
        <w:rPr>
          <w:lang w:val="en-GB"/>
        </w:rPr>
        <w:t xml:space="preserve"> </w:t>
      </w:r>
      <w:r w:rsidR="00916A59">
        <w:rPr>
          <w:lang w:val="en-GB"/>
        </w:rPr>
        <w:t>to their detriment</w:t>
      </w:r>
      <w:r w:rsidRPr="009318DD" w:rsidR="00916A59">
        <w:rPr>
          <w:lang w:val="en-GB"/>
        </w:rPr>
        <w:t xml:space="preserve">. </w:t>
      </w:r>
      <w:r w:rsidRPr="00083076" w:rsidR="00916A59">
        <w:rPr>
          <w:lang w:val="en-GB"/>
        </w:rPr>
        <w:t xml:space="preserve">Although the Government submitted that the legislative provision </w:t>
      </w:r>
      <w:r w:rsidR="00916A59">
        <w:rPr>
          <w:lang w:val="en-GB"/>
        </w:rPr>
        <w:t>was</w:t>
      </w:r>
      <w:r w:rsidRPr="00083076" w:rsidR="00916A59">
        <w:rPr>
          <w:lang w:val="en-GB"/>
        </w:rPr>
        <w:t xml:space="preserve"> not </w:t>
      </w:r>
      <w:r w:rsidR="00916A59">
        <w:rPr>
          <w:lang w:val="en-GB"/>
        </w:rPr>
        <w:t>aimed</w:t>
      </w:r>
      <w:r w:rsidRPr="00083076" w:rsidR="00916A59">
        <w:rPr>
          <w:lang w:val="en-GB"/>
        </w:rPr>
        <w:t xml:space="preserve"> specifically </w:t>
      </w:r>
      <w:r w:rsidR="00916A59">
        <w:rPr>
          <w:lang w:val="en-GB"/>
        </w:rPr>
        <w:t>at</w:t>
      </w:r>
      <w:r w:rsidRPr="00083076" w:rsidR="00916A59">
        <w:rPr>
          <w:lang w:val="en-GB"/>
        </w:rPr>
        <w:t xml:space="preserve"> the present dispute, or any other dispute in particular, the Court considers tha</w:t>
      </w:r>
      <w:r w:rsidR="00916A59">
        <w:rPr>
          <w:lang w:val="en-GB"/>
        </w:rPr>
        <w:t>t</w:t>
      </w:r>
      <w:r w:rsidRPr="00083076" w:rsidR="00916A59">
        <w:rPr>
          <w:lang w:val="en-GB"/>
        </w:rPr>
        <w:t xml:space="preserve">, </w:t>
      </w:r>
      <w:r w:rsidR="00916A59">
        <w:rPr>
          <w:lang w:val="en-GB"/>
        </w:rPr>
        <w:t>as it was immediately applicable</w:t>
      </w:r>
      <w:r w:rsidRPr="00083076" w:rsidR="00916A59">
        <w:rPr>
          <w:lang w:val="en-GB"/>
        </w:rPr>
        <w:t xml:space="preserve">, </w:t>
      </w:r>
      <w:r w:rsidR="00916A59">
        <w:rPr>
          <w:lang w:val="en-GB"/>
        </w:rPr>
        <w:t>it had the effect of frustrating proceedings</w:t>
      </w:r>
      <w:r w:rsidRPr="00083076" w:rsidR="00916A59">
        <w:rPr>
          <w:lang w:val="en-GB"/>
        </w:rPr>
        <w:t xml:space="preserve"> </w:t>
      </w:r>
      <w:r w:rsidR="00916A59">
        <w:rPr>
          <w:lang w:val="en-GB"/>
        </w:rPr>
        <w:t>then in progress of the</w:t>
      </w:r>
      <w:r w:rsidRPr="00083076" w:rsidR="00916A59">
        <w:rPr>
          <w:lang w:val="en-GB"/>
        </w:rPr>
        <w:t xml:space="preserve"> type </w:t>
      </w:r>
      <w:r w:rsidR="00916A59">
        <w:rPr>
          <w:lang w:val="en-GB"/>
        </w:rPr>
        <w:t>brought by the applicants</w:t>
      </w:r>
      <w:r w:rsidRPr="00083076" w:rsidR="00916A59">
        <w:rPr>
          <w:lang w:val="en-GB"/>
        </w:rPr>
        <w:t>. The manifest object, and the effect, of the impugned provision was in any event to modify the applicable rules re</w:t>
      </w:r>
      <w:r w:rsidR="00916A59">
        <w:rPr>
          <w:lang w:val="en-GB"/>
        </w:rPr>
        <w:t>lating to compensation, including in</w:t>
      </w:r>
      <w:r w:rsidRPr="00083076" w:rsidR="00916A59">
        <w:rPr>
          <w:lang w:val="en-GB"/>
        </w:rPr>
        <w:t xml:space="preserve"> </w:t>
      </w:r>
      <w:r w:rsidR="00916A59">
        <w:rPr>
          <w:lang w:val="en-GB"/>
        </w:rPr>
        <w:t>the case of judicial proceedings then in progress to which the State was a party</w:t>
      </w:r>
      <w:r w:rsidRPr="00083076" w:rsidR="00916A59">
        <w:rPr>
          <w:lang w:val="en-GB"/>
        </w:rPr>
        <w:t xml:space="preserve"> (</w:t>
      </w:r>
      <w:r w:rsidR="00916A59">
        <w:rPr>
          <w:lang w:val="en-GB"/>
        </w:rPr>
        <w:t xml:space="preserve">see </w:t>
      </w:r>
      <w:r w:rsidRPr="00083076" w:rsidR="00916A59">
        <w:rPr>
          <w:i/>
          <w:lang w:val="en-GB"/>
        </w:rPr>
        <w:t xml:space="preserve">Anagnostopoulos </w:t>
      </w:r>
      <w:r w:rsidR="00916A59">
        <w:rPr>
          <w:i/>
          <w:lang w:val="en-GB"/>
        </w:rPr>
        <w:t>and Others</w:t>
      </w:r>
      <w:r w:rsidRPr="00083076" w:rsidR="00916A59">
        <w:rPr>
          <w:i/>
          <w:lang w:val="en-GB"/>
        </w:rPr>
        <w:t xml:space="preserve"> </w:t>
      </w:r>
      <w:r w:rsidR="00916A59">
        <w:rPr>
          <w:i/>
          <w:lang w:val="en-GB"/>
        </w:rPr>
        <w:t>v</w:t>
      </w:r>
      <w:r w:rsidRPr="00083076" w:rsidR="00916A59">
        <w:rPr>
          <w:i/>
          <w:lang w:val="en-GB"/>
        </w:rPr>
        <w:t xml:space="preserve">. </w:t>
      </w:r>
      <w:r w:rsidR="00916A59">
        <w:rPr>
          <w:i/>
          <w:lang w:val="en-GB"/>
        </w:rPr>
        <w:t>Greece</w:t>
      </w:r>
      <w:r w:rsidRPr="00083076" w:rsidR="00916A59">
        <w:rPr>
          <w:lang w:val="en-GB"/>
        </w:rPr>
        <w:t xml:space="preserve">, </w:t>
      </w:r>
      <w:r w:rsidR="00916A59">
        <w:rPr>
          <w:lang w:val="en-GB"/>
        </w:rPr>
        <w:t>no.</w:t>
      </w:r>
      <w:r w:rsidRPr="00083076" w:rsidR="00916A59">
        <w:rPr>
          <w:lang w:val="en-GB"/>
        </w:rPr>
        <w:t xml:space="preserve"> 39374/98, §§ 20-21, </w:t>
      </w:r>
      <w:r w:rsidR="00916A59">
        <w:rPr>
          <w:lang w:val="en-GB"/>
        </w:rPr>
        <w:t>ECHR</w:t>
      </w:r>
      <w:r w:rsidRPr="00083076" w:rsidR="00916A59">
        <w:rPr>
          <w:lang w:val="en-GB"/>
        </w:rPr>
        <w:t xml:space="preserve"> 2000-XI)</w:t>
      </w:r>
      <w:r w:rsidRPr="00083076">
        <w:rPr>
          <w:lang w:val="en-GB"/>
        </w:rPr>
        <w:t>.</w:t>
      </w:r>
    </w:p>
    <w:p w:rsidRPr="00F80FCB" w:rsidR="00A265BC" w:rsidP="00A265BC" w:rsidRDefault="00A265BC">
      <w:pPr>
        <w:pStyle w:val="JuPara"/>
        <w:rPr>
          <w:lang w:val="en-GB" w:eastAsia="en-US"/>
        </w:rPr>
      </w:pPr>
      <w:r>
        <w:rPr>
          <w:lang w:val="en-GB"/>
        </w:rPr>
        <w:fldChar w:fldCharType="begin"/>
      </w:r>
      <w:r>
        <w:rPr>
          <w:lang w:val="en-GB"/>
        </w:rPr>
        <w:instrText xml:space="preserve"> SEQ level0 \*arabic </w:instrText>
      </w:r>
      <w:r>
        <w:rPr>
          <w:lang w:val="en-GB"/>
        </w:rPr>
        <w:fldChar w:fldCharType="separate"/>
      </w:r>
      <w:r w:rsidR="008B3B68">
        <w:rPr>
          <w:noProof/>
          <w:lang w:val="en-GB"/>
        </w:rPr>
        <w:t>131</w:t>
      </w:r>
      <w:r>
        <w:rPr>
          <w:lang w:val="en-GB"/>
        </w:rPr>
        <w:fldChar w:fldCharType="end"/>
      </w:r>
      <w:r>
        <w:rPr>
          <w:lang w:val="en-GB"/>
        </w:rPr>
        <w:t>.  </w:t>
      </w:r>
      <w:r w:rsidR="007B5D41">
        <w:rPr>
          <w:lang w:val="en-GB"/>
        </w:rPr>
        <w:t xml:space="preserve">Admittedly, </w:t>
      </w:r>
      <w:r>
        <w:rPr>
          <w:lang w:val="en-GB"/>
        </w:rPr>
        <w:t>t</w:t>
      </w:r>
      <w:r w:rsidRPr="00DB5975">
        <w:rPr>
          <w:lang w:val="en-GB"/>
        </w:rPr>
        <w:t xml:space="preserve">he applicability to current awards of compensation and to pending proceedings cannot in itself </w:t>
      </w:r>
      <w:r>
        <w:rPr>
          <w:lang w:val="en-GB"/>
        </w:rPr>
        <w:t>give rise</w:t>
      </w:r>
      <w:r w:rsidRPr="00DB5975">
        <w:rPr>
          <w:lang w:val="en-GB"/>
        </w:rPr>
        <w:t xml:space="preserve"> to </w:t>
      </w:r>
      <w:r>
        <w:rPr>
          <w:lang w:val="en-GB"/>
        </w:rPr>
        <w:t>a problem under the Convention</w:t>
      </w:r>
      <w:r w:rsidRPr="00DB5975">
        <w:rPr>
          <w:lang w:val="en-GB"/>
        </w:rPr>
        <w:t xml:space="preserve"> since the legislature is not, in theory, prevented from intervening in civil cases to amend the</w:t>
      </w:r>
      <w:r>
        <w:rPr>
          <w:lang w:val="en-GB"/>
        </w:rPr>
        <w:t xml:space="preserve"> </w:t>
      </w:r>
      <w:r w:rsidR="0034141E">
        <w:rPr>
          <w:lang w:val="en-GB"/>
        </w:rPr>
        <w:t>existing</w:t>
      </w:r>
      <w:r>
        <w:rPr>
          <w:lang w:val="en-GB"/>
        </w:rPr>
        <w:t xml:space="preserve"> legal position </w:t>
      </w:r>
      <w:r w:rsidRPr="00DB5975">
        <w:rPr>
          <w:lang w:val="en-GB"/>
        </w:rPr>
        <w:t>by</w:t>
      </w:r>
      <w:r w:rsidR="0034141E">
        <w:rPr>
          <w:lang w:val="en-GB"/>
        </w:rPr>
        <w:t xml:space="preserve"> means of</w:t>
      </w:r>
      <w:r w:rsidRPr="00DB5975">
        <w:rPr>
          <w:lang w:val="en-GB"/>
        </w:rPr>
        <w:t xml:space="preserve"> an immediately applicable</w:t>
      </w:r>
      <w:r>
        <w:rPr>
          <w:lang w:val="en-GB"/>
        </w:rPr>
        <w:t xml:space="preserve"> law</w:t>
      </w:r>
      <w:r w:rsidRPr="00DB5975">
        <w:rPr>
          <w:lang w:val="en-GB"/>
        </w:rPr>
        <w:t xml:space="preserve"> (</w:t>
      </w:r>
      <w:r>
        <w:rPr>
          <w:lang w:val="en-GB"/>
        </w:rPr>
        <w:t>see</w:t>
      </w:r>
      <w:r w:rsidRPr="00DB5975">
        <w:rPr>
          <w:lang w:val="en-GB"/>
        </w:rPr>
        <w:t xml:space="preserve"> </w:t>
      </w:r>
      <w:r w:rsidR="00F80FCB">
        <w:rPr>
          <w:i/>
          <w:lang w:val="en-GB" w:eastAsia="en-US"/>
        </w:rPr>
        <w:t>OGIS-Institut Stanislas</w:t>
      </w:r>
      <w:r w:rsidRPr="00DB5975">
        <w:rPr>
          <w:i/>
          <w:lang w:val="en-GB" w:eastAsia="en-US"/>
        </w:rPr>
        <w:t xml:space="preserve"> </w:t>
      </w:r>
      <w:r>
        <w:rPr>
          <w:i/>
          <w:lang w:val="en-GB" w:eastAsia="en-US"/>
        </w:rPr>
        <w:t>and Others</w:t>
      </w:r>
      <w:r w:rsidR="000D12FB">
        <w:rPr>
          <w:lang w:val="en-GB" w:eastAsia="en-US"/>
        </w:rPr>
        <w:t>,</w:t>
      </w:r>
      <w:r w:rsidR="00F80FCB">
        <w:rPr>
          <w:i/>
          <w:lang w:val="en-GB" w:eastAsia="en-US"/>
        </w:rPr>
        <w:t xml:space="preserve"> </w:t>
      </w:r>
      <w:r w:rsidRPr="00F80FCB" w:rsidR="00F80FCB">
        <w:rPr>
          <w:lang w:val="en-GB" w:eastAsia="en-US"/>
        </w:rPr>
        <w:t>cited above</w:t>
      </w:r>
      <w:r w:rsidR="00F80FCB">
        <w:rPr>
          <w:lang w:val="en-GB" w:eastAsia="en-US"/>
        </w:rPr>
        <w:t>, § 61</w:t>
      </w:r>
      <w:r w:rsidRPr="00F80FCB">
        <w:rPr>
          <w:lang w:val="en-GB"/>
        </w:rPr>
        <w:t>,</w:t>
      </w:r>
      <w:r>
        <w:rPr>
          <w:lang w:val="en-GB"/>
        </w:rPr>
        <w:t xml:space="preserve"> and</w:t>
      </w:r>
      <w:r w:rsidRPr="00DB5975">
        <w:rPr>
          <w:lang w:val="en-GB"/>
        </w:rPr>
        <w:t xml:space="preserve"> </w:t>
      </w:r>
      <w:r w:rsidRPr="00DB5975">
        <w:rPr>
          <w:i/>
          <w:lang w:val="en-GB" w:eastAsia="en-US"/>
        </w:rPr>
        <w:t xml:space="preserve">Zielinski </w:t>
      </w:r>
      <w:r>
        <w:rPr>
          <w:i/>
          <w:lang w:val="en-GB" w:eastAsia="en-US"/>
        </w:rPr>
        <w:t>and</w:t>
      </w:r>
      <w:r w:rsidR="004C51EE">
        <w:rPr>
          <w:i/>
          <w:lang w:val="en-GB" w:eastAsia="en-US"/>
        </w:rPr>
        <w:t xml:space="preserve"> Pradal and</w:t>
      </w:r>
      <w:r w:rsidRPr="00DB5975">
        <w:rPr>
          <w:i/>
          <w:lang w:val="en-GB" w:eastAsia="en-US"/>
        </w:rPr>
        <w:t xml:space="preserve"> Gonzalez </w:t>
      </w:r>
      <w:r>
        <w:rPr>
          <w:i/>
          <w:lang w:val="en-GB" w:eastAsia="en-US"/>
        </w:rPr>
        <w:t>and Others</w:t>
      </w:r>
      <w:r w:rsidR="000D12FB">
        <w:rPr>
          <w:lang w:val="en-GB" w:eastAsia="en-US"/>
        </w:rPr>
        <w:t xml:space="preserve">, </w:t>
      </w:r>
      <w:r w:rsidRPr="00F80FCB" w:rsidR="00F80FCB">
        <w:rPr>
          <w:lang w:val="en-GB" w:eastAsia="en-US"/>
        </w:rPr>
        <w:t>cited above, § 57</w:t>
      </w:r>
      <w:r w:rsidRPr="00F80FCB">
        <w:rPr>
          <w:lang w:val="en-GB" w:eastAsia="en-US"/>
        </w:rPr>
        <w:t>).</w:t>
      </w:r>
    </w:p>
    <w:p w:rsidRPr="00C13A48" w:rsidR="00A265BC" w:rsidP="00A265BC" w:rsidRDefault="00A265BC">
      <w:pPr>
        <w:pStyle w:val="JuPara"/>
        <w:rPr>
          <w:lang w:val="en-GB"/>
        </w:rPr>
      </w:pPr>
      <w:r w:rsidRPr="00DB5975">
        <w:rPr>
          <w:lang w:val="en-GB" w:eastAsia="en-US"/>
        </w:rPr>
        <w:t>However, in the present case section</w:t>
      </w:r>
      <w:r w:rsidRPr="00DB5975">
        <w:rPr>
          <w:lang w:val="en-GB"/>
        </w:rPr>
        <w:t xml:space="preserve"> 5 </w:t>
      </w:r>
      <w:r w:rsidRPr="00DB5975">
        <w:rPr>
          <w:i/>
          <w:lang w:val="en-GB"/>
        </w:rPr>
        <w:t xml:space="preserve">bis </w:t>
      </w:r>
      <w:r w:rsidRPr="00DB5975">
        <w:rPr>
          <w:lang w:val="en-GB"/>
        </w:rPr>
        <w:t>of Law no. 359</w:t>
      </w:r>
      <w:r>
        <w:rPr>
          <w:lang w:val="en-GB"/>
        </w:rPr>
        <w:t>/1992</w:t>
      </w:r>
      <w:r w:rsidRPr="00DB5975">
        <w:rPr>
          <w:lang w:val="en-GB"/>
        </w:rPr>
        <w:t xml:space="preserve"> simply extinguished, with retrospective effect</w:t>
      </w:r>
      <w:r>
        <w:rPr>
          <w:lang w:val="en-GB"/>
        </w:rPr>
        <w:t>,</w:t>
      </w:r>
      <w:r w:rsidRPr="00DB5975">
        <w:rPr>
          <w:lang w:val="en-GB"/>
        </w:rPr>
        <w:t xml:space="preserve"> an essential part of claims for compensation, </w:t>
      </w:r>
      <w:r>
        <w:rPr>
          <w:lang w:val="en-GB"/>
        </w:rPr>
        <w:t>in very high sums</w:t>
      </w:r>
      <w:r w:rsidRPr="00DB5975">
        <w:rPr>
          <w:lang w:val="en-GB"/>
        </w:rPr>
        <w:t>,</w:t>
      </w:r>
      <w:r>
        <w:rPr>
          <w:lang w:val="en-GB"/>
        </w:rPr>
        <w:t xml:space="preserve"> that owners of expropriated land, such as the applicants, could have claimed from the expropriating authorities</w:t>
      </w:r>
      <w:r w:rsidRPr="00DB5975">
        <w:rPr>
          <w:lang w:val="en-GB"/>
        </w:rPr>
        <w:t>.</w:t>
      </w:r>
      <w:r w:rsidRPr="00A265BC">
        <w:rPr>
          <w:lang w:val="en-GB"/>
        </w:rPr>
        <w:t xml:space="preserve"> </w:t>
      </w:r>
      <w:r w:rsidRPr="00C13A48">
        <w:rPr>
          <w:lang w:val="en-GB"/>
        </w:rPr>
        <w:t xml:space="preserve">In that connection the Court </w:t>
      </w:r>
      <w:r>
        <w:rPr>
          <w:lang w:val="en-GB"/>
        </w:rPr>
        <w:t>reiterates its finding t</w:t>
      </w:r>
      <w:r w:rsidRPr="00C13A48">
        <w:rPr>
          <w:lang w:val="en-GB"/>
        </w:rPr>
        <w:t>hat the compensation awarded to the applicants was inadequate, given the low</w:t>
      </w:r>
      <w:r>
        <w:rPr>
          <w:lang w:val="en-GB"/>
        </w:rPr>
        <w:t xml:space="preserve"> amount in question and the lack of public-interest grounds justifying less than </w:t>
      </w:r>
      <w:r w:rsidR="007B5D41">
        <w:rPr>
          <w:lang w:val="en-GB"/>
        </w:rPr>
        <w:t>compensation</w:t>
      </w:r>
      <w:r w:rsidRPr="00C13A48" w:rsidR="007B5D41">
        <w:rPr>
          <w:lang w:val="en-GB"/>
        </w:rPr>
        <w:t xml:space="preserve"> </w:t>
      </w:r>
      <w:r w:rsidR="004C51EE">
        <w:rPr>
          <w:lang w:val="en-GB"/>
        </w:rPr>
        <w:t>at</w:t>
      </w:r>
      <w:r w:rsidR="007B5D41">
        <w:rPr>
          <w:lang w:val="en-GB"/>
        </w:rPr>
        <w:t xml:space="preserve"> </w:t>
      </w:r>
      <w:r>
        <w:rPr>
          <w:lang w:val="en-GB"/>
        </w:rPr>
        <w:t xml:space="preserve">the market value of the property </w:t>
      </w:r>
      <w:r w:rsidRPr="00C13A48">
        <w:rPr>
          <w:lang w:val="en-GB"/>
        </w:rPr>
        <w:t>(</w:t>
      </w:r>
      <w:r>
        <w:rPr>
          <w:lang w:val="en-GB"/>
        </w:rPr>
        <w:t>see paragraph</w:t>
      </w:r>
      <w:r w:rsidR="00696446">
        <w:rPr>
          <w:lang w:val="en-GB"/>
        </w:rPr>
        <w:t>s</w:t>
      </w:r>
      <w:r>
        <w:rPr>
          <w:lang w:val="en-GB"/>
        </w:rPr>
        <w:t xml:space="preserve"> 10</w:t>
      </w:r>
      <w:r w:rsidR="00696446">
        <w:rPr>
          <w:lang w:val="en-GB"/>
        </w:rPr>
        <w:t>3-04</w:t>
      </w:r>
      <w:r>
        <w:rPr>
          <w:lang w:val="en-GB"/>
        </w:rPr>
        <w:t xml:space="preserve"> above</w:t>
      </w:r>
      <w:r w:rsidRPr="00C13A48">
        <w:rPr>
          <w:lang w:val="en-GB"/>
        </w:rPr>
        <w:t>).</w:t>
      </w:r>
    </w:p>
    <w:p w:rsidR="00967E1F" w:rsidP="00824B80" w:rsidRDefault="00824B80">
      <w:pPr>
        <w:pStyle w:val="JuParaChar1"/>
        <w:rPr>
          <w:lang w:val="en-GB"/>
        </w:rPr>
      </w:pPr>
      <w:r w:rsidRPr="00C2011C">
        <w:fldChar w:fldCharType="begin"/>
      </w:r>
      <w:r w:rsidRPr="0076757E">
        <w:rPr>
          <w:lang w:val="en-GB"/>
        </w:rPr>
        <w:instrText xml:space="preserve"> SEQ level0 \*arabic </w:instrText>
      </w:r>
      <w:r w:rsidRPr="00C2011C">
        <w:fldChar w:fldCharType="separate"/>
      </w:r>
      <w:r w:rsidR="008B3B68">
        <w:rPr>
          <w:noProof/>
          <w:lang w:val="en-GB"/>
        </w:rPr>
        <w:t>132</w:t>
      </w:r>
      <w:r w:rsidRPr="00C2011C">
        <w:fldChar w:fldCharType="end"/>
      </w:r>
      <w:r w:rsidRPr="0076757E">
        <w:rPr>
          <w:lang w:val="en-GB"/>
        </w:rPr>
        <w:t>.  </w:t>
      </w:r>
      <w:r w:rsidR="00126F30">
        <w:rPr>
          <w:lang w:val="en-GB" w:eastAsia="en-US"/>
        </w:rPr>
        <w:t>In the Court</w:t>
      </w:r>
      <w:r w:rsidR="00E6191D">
        <w:rPr>
          <w:lang w:val="en-GB" w:eastAsia="en-US"/>
        </w:rPr>
        <w:t>’</w:t>
      </w:r>
      <w:r w:rsidR="00126F30">
        <w:rPr>
          <w:lang w:val="en-GB" w:eastAsia="en-US"/>
        </w:rPr>
        <w:t>s view, th</w:t>
      </w:r>
      <w:r w:rsidR="00455FD9">
        <w:rPr>
          <w:lang w:val="en-GB" w:eastAsia="en-US"/>
        </w:rPr>
        <w:t xml:space="preserve">e Government have not demonstrated that </w:t>
      </w:r>
      <w:r w:rsidR="009E1426">
        <w:rPr>
          <w:lang w:val="en-GB" w:eastAsia="en-US"/>
        </w:rPr>
        <w:t>the con</w:t>
      </w:r>
      <w:r w:rsidRPr="00126F30" w:rsidR="000244FE">
        <w:rPr>
          <w:lang w:val="en-GB" w:eastAsia="en-US"/>
        </w:rPr>
        <w:t>sid</w:t>
      </w:r>
      <w:r w:rsidR="00126F30">
        <w:rPr>
          <w:lang w:val="en-GB" w:eastAsia="en-US"/>
        </w:rPr>
        <w:t>e</w:t>
      </w:r>
      <w:r w:rsidRPr="00126F30" w:rsidR="000244FE">
        <w:rPr>
          <w:lang w:val="en-GB" w:eastAsia="en-US"/>
        </w:rPr>
        <w:t>rations</w:t>
      </w:r>
      <w:r w:rsidR="009E1426">
        <w:rPr>
          <w:lang w:val="en-GB" w:eastAsia="en-US"/>
        </w:rPr>
        <w:t xml:space="preserve"> to which they referred, namely, budgetary considerations</w:t>
      </w:r>
      <w:r w:rsidR="00967E1F">
        <w:rPr>
          <w:lang w:val="en-GB" w:eastAsia="en-US"/>
        </w:rPr>
        <w:t xml:space="preserve"> </w:t>
      </w:r>
      <w:r w:rsidR="009E1426">
        <w:rPr>
          <w:lang w:val="en-GB"/>
        </w:rPr>
        <w:t>and the</w:t>
      </w:r>
      <w:r w:rsidRPr="000244FE" w:rsidR="009E1426">
        <w:rPr>
          <w:lang w:val="en-GB"/>
        </w:rPr>
        <w:t xml:space="preserve"> legislature</w:t>
      </w:r>
      <w:r w:rsidR="00E6191D">
        <w:rPr>
          <w:lang w:val="en-GB"/>
        </w:rPr>
        <w:t>’</w:t>
      </w:r>
      <w:r w:rsidR="009E1426">
        <w:rPr>
          <w:lang w:val="en-GB"/>
        </w:rPr>
        <w:t>s intention to implement a political programme,</w:t>
      </w:r>
      <w:r w:rsidR="009E1426">
        <w:rPr>
          <w:lang w:val="en-GB" w:eastAsia="en-US"/>
        </w:rPr>
        <w:t xml:space="preserve"> </w:t>
      </w:r>
      <w:r w:rsidR="007B5D41">
        <w:rPr>
          <w:lang w:val="en-GB" w:eastAsia="en-US"/>
        </w:rPr>
        <w:t>amount</w:t>
      </w:r>
      <w:r w:rsidR="009E1426">
        <w:rPr>
          <w:lang w:val="en-GB" w:eastAsia="en-US"/>
        </w:rPr>
        <w:t>ed</w:t>
      </w:r>
      <w:r w:rsidR="007B5D41">
        <w:rPr>
          <w:lang w:val="en-GB" w:eastAsia="en-US"/>
        </w:rPr>
        <w:t xml:space="preserve"> to an</w:t>
      </w:r>
      <w:r w:rsidRPr="00126F30" w:rsidR="000244FE">
        <w:rPr>
          <w:lang w:val="en-GB" w:eastAsia="en-US"/>
        </w:rPr>
        <w:t xml:space="preserve"> </w:t>
      </w:r>
      <w:r w:rsidR="00126F30">
        <w:rPr>
          <w:lang w:val="en-GB" w:eastAsia="en-US"/>
        </w:rPr>
        <w:t>“</w:t>
      </w:r>
      <w:r w:rsidRPr="00126F30" w:rsidR="00126F30">
        <w:rPr>
          <w:lang w:val="en-GB" w:eastAsia="en-US"/>
        </w:rPr>
        <w:t>obvious and compelling general interest</w:t>
      </w:r>
      <w:r w:rsidR="00126F30">
        <w:rPr>
          <w:lang w:val="en-GB" w:eastAsia="en-US"/>
        </w:rPr>
        <w:t>”</w:t>
      </w:r>
      <w:r w:rsidRPr="00126F30" w:rsidR="000244FE">
        <w:rPr>
          <w:lang w:val="en-GB" w:eastAsia="en-US"/>
        </w:rPr>
        <w:t xml:space="preserve"> requi</w:t>
      </w:r>
      <w:r w:rsidR="00126F30">
        <w:rPr>
          <w:lang w:val="en-GB" w:eastAsia="en-US"/>
        </w:rPr>
        <w:t xml:space="preserve">red to justify the retrospective effect </w:t>
      </w:r>
      <w:r w:rsidR="007B5D41">
        <w:rPr>
          <w:lang w:val="en-GB" w:eastAsia="en-US"/>
        </w:rPr>
        <w:t>that</w:t>
      </w:r>
      <w:r w:rsidR="00126F30">
        <w:rPr>
          <w:lang w:val="en-GB" w:eastAsia="en-US"/>
        </w:rPr>
        <w:t xml:space="preserve"> it has acknowledged in c</w:t>
      </w:r>
      <w:r w:rsidRPr="00126F30" w:rsidR="000244FE">
        <w:rPr>
          <w:lang w:val="en-GB" w:eastAsia="en-US"/>
        </w:rPr>
        <w:t>ertain cas</w:t>
      </w:r>
      <w:r w:rsidR="00126F30">
        <w:rPr>
          <w:lang w:val="en-GB" w:eastAsia="en-US"/>
        </w:rPr>
        <w:t>es</w:t>
      </w:r>
      <w:r w:rsidRPr="00126F30" w:rsidR="000244FE">
        <w:rPr>
          <w:lang w:val="en-GB" w:eastAsia="en-US"/>
        </w:rPr>
        <w:t xml:space="preserve"> (</w:t>
      </w:r>
      <w:r w:rsidR="00126F30">
        <w:rPr>
          <w:lang w:val="en-GB" w:eastAsia="en-US"/>
        </w:rPr>
        <w:t xml:space="preserve">see </w:t>
      </w:r>
      <w:r w:rsidRPr="00126F30" w:rsidR="000244FE">
        <w:rPr>
          <w:i/>
          <w:lang w:val="en-GB" w:eastAsia="en-US"/>
        </w:rPr>
        <w:t xml:space="preserve">National &amp; Provincial Building Society, Leeds Permanent Building Society </w:t>
      </w:r>
      <w:r w:rsidR="00126F30">
        <w:rPr>
          <w:i/>
          <w:lang w:val="en-GB" w:eastAsia="en-US"/>
        </w:rPr>
        <w:t>and</w:t>
      </w:r>
      <w:r w:rsidRPr="00126F30" w:rsidR="000244FE">
        <w:rPr>
          <w:i/>
          <w:lang w:val="en-GB" w:eastAsia="en-US"/>
        </w:rPr>
        <w:t xml:space="preserve"> Yorkshire Building Society </w:t>
      </w:r>
      <w:r w:rsidR="00126F30">
        <w:rPr>
          <w:i/>
          <w:lang w:val="en-GB" w:eastAsia="en-US"/>
        </w:rPr>
        <w:t>v</w:t>
      </w:r>
      <w:r w:rsidRPr="00126F30" w:rsidR="000244FE">
        <w:rPr>
          <w:i/>
          <w:lang w:val="en-GB" w:eastAsia="en-US"/>
        </w:rPr>
        <w:t xml:space="preserve">. </w:t>
      </w:r>
      <w:r w:rsidR="00126F30">
        <w:rPr>
          <w:i/>
          <w:lang w:val="en-GB" w:eastAsia="en-US"/>
        </w:rPr>
        <w:t>the United Kingdom</w:t>
      </w:r>
      <w:r w:rsidRPr="000F5AAA" w:rsidR="00126F30">
        <w:rPr>
          <w:lang w:val="en-GB" w:eastAsia="en-US"/>
        </w:rPr>
        <w:t>,</w:t>
      </w:r>
      <w:r w:rsidR="00126F30">
        <w:rPr>
          <w:i/>
          <w:lang w:val="en-GB" w:eastAsia="en-US"/>
        </w:rPr>
        <w:t xml:space="preserve"> </w:t>
      </w:r>
      <w:r w:rsidRPr="00126F30" w:rsidR="000244FE">
        <w:rPr>
          <w:lang w:val="en-GB" w:eastAsia="en-US"/>
        </w:rPr>
        <w:t xml:space="preserve">23 </w:t>
      </w:r>
      <w:r w:rsidR="00126F30">
        <w:rPr>
          <w:lang w:val="en-GB" w:eastAsia="en-US"/>
        </w:rPr>
        <w:t>October</w:t>
      </w:r>
      <w:r w:rsidRPr="00126F30" w:rsidR="000244FE">
        <w:rPr>
          <w:lang w:val="en-GB" w:eastAsia="en-US"/>
        </w:rPr>
        <w:t xml:space="preserve"> 1997, </w:t>
      </w:r>
      <w:r w:rsidRPr="00126F30" w:rsidR="000244FE">
        <w:rPr>
          <w:i/>
          <w:lang w:val="en-GB" w:eastAsia="en-US"/>
        </w:rPr>
        <w:t>Re</w:t>
      </w:r>
      <w:r w:rsidR="00126F30">
        <w:rPr>
          <w:i/>
          <w:lang w:val="en-GB" w:eastAsia="en-US"/>
        </w:rPr>
        <w:t xml:space="preserve">ports </w:t>
      </w:r>
      <w:r w:rsidR="00E54656">
        <w:rPr>
          <w:lang w:val="en-GB" w:eastAsia="en-US"/>
        </w:rPr>
        <w:t>1997-</w:t>
      </w:r>
      <w:r w:rsidRPr="00126F30" w:rsidR="000244FE">
        <w:rPr>
          <w:lang w:val="en-GB" w:eastAsia="en-US"/>
        </w:rPr>
        <w:t xml:space="preserve">VII; </w:t>
      </w:r>
      <w:r w:rsidRPr="00126F30" w:rsidR="000244FE">
        <w:rPr>
          <w:i/>
          <w:lang w:val="en-GB" w:eastAsia="en-US"/>
        </w:rPr>
        <w:t xml:space="preserve">OGIS-Institut Stanislas </w:t>
      </w:r>
      <w:r w:rsidR="00126F30">
        <w:rPr>
          <w:i/>
          <w:lang w:val="en-GB" w:eastAsia="en-US"/>
        </w:rPr>
        <w:t>and Others</w:t>
      </w:r>
      <w:r w:rsidRPr="00126F30" w:rsidR="000244FE">
        <w:rPr>
          <w:lang w:val="en-GB" w:eastAsia="en-US"/>
        </w:rPr>
        <w:t xml:space="preserve">, </w:t>
      </w:r>
      <w:r w:rsidR="000F5AAA">
        <w:rPr>
          <w:lang w:val="en-GB" w:eastAsia="en-US"/>
        </w:rPr>
        <w:t>cited above, § 61</w:t>
      </w:r>
      <w:r w:rsidRPr="00126F30" w:rsidR="000244FE">
        <w:rPr>
          <w:lang w:val="en-GB" w:eastAsia="en-US"/>
        </w:rPr>
        <w:t xml:space="preserve">; </w:t>
      </w:r>
      <w:r w:rsidRPr="00126F30" w:rsidR="000244FE">
        <w:rPr>
          <w:i/>
          <w:lang w:val="en-GB" w:eastAsia="en-US"/>
        </w:rPr>
        <w:t>Forrer-Niedenth</w:t>
      </w:r>
      <w:r w:rsidR="000F5AAA">
        <w:rPr>
          <w:i/>
          <w:lang w:val="en-GB" w:eastAsia="en-US"/>
        </w:rPr>
        <w:t>al</w:t>
      </w:r>
      <w:r w:rsidR="000F5AAA">
        <w:rPr>
          <w:lang w:val="en-GB" w:eastAsia="en-US"/>
        </w:rPr>
        <w:t>, cited above</w:t>
      </w:r>
      <w:r w:rsidRPr="000F5AAA" w:rsidR="000244FE">
        <w:rPr>
          <w:lang w:val="en-GB" w:eastAsia="en-US"/>
        </w:rPr>
        <w:t>;</w:t>
      </w:r>
      <w:r w:rsidR="007B5D41">
        <w:rPr>
          <w:lang w:val="en-GB" w:eastAsia="en-US"/>
        </w:rPr>
        <w:t xml:space="preserve"> and</w:t>
      </w:r>
      <w:r w:rsidRPr="00126F30" w:rsidR="000244FE">
        <w:rPr>
          <w:lang w:val="en-GB" w:eastAsia="en-US"/>
        </w:rPr>
        <w:t xml:space="preserve"> </w:t>
      </w:r>
      <w:r w:rsidRPr="00006B2F" w:rsidR="000F5AAA">
        <w:rPr>
          <w:i/>
          <w:lang w:val="en-GB" w:eastAsia="en-US"/>
        </w:rPr>
        <w:t>Bäck</w:t>
      </w:r>
      <w:r w:rsidR="000F5AAA">
        <w:rPr>
          <w:lang w:val="en-GB" w:eastAsia="en-US"/>
        </w:rPr>
        <w:t xml:space="preserve">, </w:t>
      </w:r>
      <w:r w:rsidRPr="000F5AAA" w:rsidR="000F5AAA">
        <w:rPr>
          <w:lang w:val="en-GB" w:eastAsia="en-US"/>
        </w:rPr>
        <w:t>cited above</w:t>
      </w:r>
      <w:r w:rsidR="000D12FB">
        <w:rPr>
          <w:lang w:val="en-GB" w:eastAsia="en-US"/>
        </w:rPr>
        <w:t>)</w:t>
      </w:r>
      <w:r w:rsidR="000F5AAA">
        <w:rPr>
          <w:lang w:val="en-GB" w:eastAsia="en-US"/>
        </w:rPr>
        <w:t>.</w:t>
      </w:r>
    </w:p>
    <w:p w:rsidRPr="0026658D" w:rsidR="00824B80" w:rsidP="00824B80" w:rsidRDefault="00126F30">
      <w:pPr>
        <w:pStyle w:val="JuParaChar1"/>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133</w:t>
      </w:r>
      <w:r>
        <w:rPr>
          <w:lang w:val="en-GB"/>
        </w:rPr>
        <w:fldChar w:fldCharType="end"/>
      </w:r>
      <w:r>
        <w:rPr>
          <w:lang w:val="en-GB"/>
        </w:rPr>
        <w:t>.  </w:t>
      </w:r>
      <w:r w:rsidR="004C51EE">
        <w:rPr>
          <w:lang w:val="en-GB"/>
        </w:rPr>
        <w:t>There has therefore</w:t>
      </w:r>
      <w:r w:rsidRPr="0026658D" w:rsidR="0026658D">
        <w:rPr>
          <w:lang w:val="en-GB"/>
        </w:rPr>
        <w:t xml:space="preserve"> been a violation of </w:t>
      </w:r>
      <w:r w:rsidR="0026658D">
        <w:rPr>
          <w:lang w:val="en-GB"/>
        </w:rPr>
        <w:t>Article 6 § 1 of the Convention</w:t>
      </w:r>
      <w:r w:rsidRPr="0026658D" w:rsidR="00824B80">
        <w:rPr>
          <w:lang w:val="en-GB"/>
        </w:rPr>
        <w:t>.</w:t>
      </w:r>
    </w:p>
    <w:p w:rsidR="00824B80" w:rsidP="00AF0A1F" w:rsidRDefault="000C575D">
      <w:pPr>
        <w:pStyle w:val="JuHIRoman"/>
        <w:ind w:left="454" w:hanging="454"/>
      </w:pPr>
      <w:r>
        <w:t>III.</w:t>
      </w:r>
      <w:r w:rsidRPr="0076757E">
        <w:t>  </w:t>
      </w:r>
      <w:r w:rsidRPr="0026658D" w:rsidR="0026658D">
        <w:t>ALLEGED</w:t>
      </w:r>
      <w:r w:rsidRPr="0026658D" w:rsidR="00824B80">
        <w:t xml:space="preserve"> VIOLATION </w:t>
      </w:r>
      <w:r w:rsidRPr="0026658D" w:rsidR="0026658D">
        <w:t xml:space="preserve">OF </w:t>
      </w:r>
      <w:r w:rsidRPr="0026658D" w:rsidR="00824B80">
        <w:t xml:space="preserve">ARTICLE 6 § 1 </w:t>
      </w:r>
      <w:r w:rsidRPr="0026658D" w:rsidR="0026658D">
        <w:t xml:space="preserve">OF THE </w:t>
      </w:r>
      <w:r w:rsidRPr="0026658D" w:rsidR="00824B80">
        <w:t xml:space="preserve">CONVENTION </w:t>
      </w:r>
      <w:r w:rsidR="00E53175">
        <w:t>ON ACCOUNT OF T</w:t>
      </w:r>
      <w:r w:rsidRPr="0026658D" w:rsidR="0026658D">
        <w:t>HE</w:t>
      </w:r>
      <w:r w:rsidR="0026658D">
        <w:t xml:space="preserve"> EX</w:t>
      </w:r>
      <w:r w:rsidRPr="0026658D" w:rsidR="00824B80">
        <w:t>CESSIVE</w:t>
      </w:r>
      <w:r w:rsidR="0026658D">
        <w:t xml:space="preserve"> LENGTH OF THE PROCEEDINGS</w:t>
      </w:r>
    </w:p>
    <w:p w:rsidRPr="0076757E" w:rsidR="0076757E" w:rsidP="0076757E" w:rsidRDefault="0076757E">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134</w:t>
      </w:r>
      <w:r w:rsidRPr="00C2011C">
        <w:fldChar w:fldCharType="end"/>
      </w:r>
      <w:r w:rsidRPr="002A0715">
        <w:rPr>
          <w:lang w:val="en-GB"/>
        </w:rPr>
        <w:t>.  </w:t>
      </w:r>
      <w:r w:rsidRPr="0076757E">
        <w:rPr>
          <w:lang w:val="en-GB"/>
        </w:rPr>
        <w:t>The applicants submitted that the proceedings they had instituted seeking expropriation</w:t>
      </w:r>
      <w:r w:rsidRPr="00E53175" w:rsidR="00E53175">
        <w:rPr>
          <w:lang w:val="en-GB"/>
        </w:rPr>
        <w:t xml:space="preserve"> </w:t>
      </w:r>
      <w:r w:rsidRPr="0076757E" w:rsidR="00E53175">
        <w:rPr>
          <w:lang w:val="en-GB"/>
        </w:rPr>
        <w:t>compensation</w:t>
      </w:r>
      <w:r w:rsidRPr="0076757E">
        <w:rPr>
          <w:lang w:val="en-GB"/>
        </w:rPr>
        <w:t xml:space="preserve"> had failed to comply with the “reasonable</w:t>
      </w:r>
      <w:r w:rsidR="000D12FB">
        <w:rPr>
          <w:lang w:val="en-GB"/>
        </w:rPr>
        <w:t xml:space="preserve"> </w:t>
      </w:r>
      <w:r w:rsidRPr="0076757E">
        <w:rPr>
          <w:lang w:val="en-GB"/>
        </w:rPr>
        <w:t xml:space="preserve">time” </w:t>
      </w:r>
      <w:r w:rsidR="00006B2F">
        <w:rPr>
          <w:lang w:val="en-GB"/>
        </w:rPr>
        <w:t>requirement</w:t>
      </w:r>
      <w:r w:rsidRPr="0076757E">
        <w:rPr>
          <w:lang w:val="en-GB"/>
        </w:rPr>
        <w:t xml:space="preserve"> set forth in Article 6 § 1 of the Convention, which provides:</w:t>
      </w:r>
    </w:p>
    <w:p w:rsidRPr="002A0715" w:rsidR="0076757E" w:rsidP="0076757E" w:rsidRDefault="0076757E">
      <w:pPr>
        <w:pStyle w:val="JuQuotChar1"/>
      </w:pPr>
      <w:r>
        <w:t>“</w:t>
      </w:r>
      <w:r w:rsidRPr="0076757E">
        <w:t xml:space="preserve">In the determination of his civil rights and obligations </w:t>
      </w:r>
      <w:r w:rsidR="00B9248D">
        <w:t>...</w:t>
      </w:r>
      <w:r w:rsidRPr="0076757E">
        <w:t xml:space="preserve"> </w:t>
      </w:r>
      <w:r w:rsidR="00305558">
        <w:t>,</w:t>
      </w:r>
      <w:r w:rsidRPr="0076757E">
        <w:t xml:space="preserve">everyone is entitled to a </w:t>
      </w:r>
      <w:r w:rsidR="00B9248D">
        <w:t>...</w:t>
      </w:r>
      <w:r w:rsidRPr="0076757E">
        <w:t xml:space="preserve"> hearing within a reasonable time</w:t>
      </w:r>
      <w:r w:rsidR="00E53175">
        <w:t xml:space="preserve"> by [a] tribunal</w:t>
      </w:r>
      <w:r>
        <w:t xml:space="preserve"> ...”</w:t>
      </w:r>
    </w:p>
    <w:p w:rsidRPr="00950A47" w:rsidR="0076757E" w:rsidP="0076757E" w:rsidRDefault="0076757E">
      <w:pPr>
        <w:pStyle w:val="JuHA0"/>
        <w:rPr>
          <w:lang w:val="en-GB"/>
        </w:rPr>
      </w:pPr>
      <w:r w:rsidRPr="00950A47">
        <w:rPr>
          <w:lang w:val="en-GB"/>
        </w:rPr>
        <w:t>A.  </w:t>
      </w:r>
      <w:r w:rsidR="007B5D41">
        <w:rPr>
          <w:lang w:val="en-GB"/>
        </w:rPr>
        <w:t xml:space="preserve">The </w:t>
      </w:r>
      <w:r w:rsidRPr="00950A47" w:rsidR="00950A47">
        <w:rPr>
          <w:lang w:val="en-GB"/>
        </w:rPr>
        <w:t>Government</w:t>
      </w:r>
      <w:r w:rsidR="00E6191D">
        <w:rPr>
          <w:lang w:val="en-GB"/>
        </w:rPr>
        <w:t>’</w:t>
      </w:r>
      <w:r w:rsidRPr="00950A47" w:rsidR="00950A47">
        <w:rPr>
          <w:lang w:val="en-GB"/>
        </w:rPr>
        <w:t>s preliminary objection of non-exhaustion of domestic remedies</w:t>
      </w:r>
    </w:p>
    <w:p w:rsidRPr="00E82990" w:rsidR="0076757E" w:rsidP="0076757E" w:rsidRDefault="0076757E">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135</w:t>
      </w:r>
      <w:r w:rsidRPr="00C2011C">
        <w:fldChar w:fldCharType="end"/>
      </w:r>
      <w:r w:rsidRPr="002A0715">
        <w:rPr>
          <w:lang w:val="en-GB"/>
        </w:rPr>
        <w:t>.  </w:t>
      </w:r>
      <w:r w:rsidRPr="00E82990" w:rsidR="00E82990">
        <w:rPr>
          <w:lang w:val="en-GB"/>
        </w:rPr>
        <w:t>As before the Chamber</w:t>
      </w:r>
      <w:r w:rsidRPr="00E82990">
        <w:rPr>
          <w:lang w:val="en-GB"/>
        </w:rPr>
        <w:t xml:space="preserve">, </w:t>
      </w:r>
      <w:r w:rsidRPr="00E82990" w:rsidR="00E82990">
        <w:rPr>
          <w:lang w:val="en-GB"/>
        </w:rPr>
        <w:t>the Government submitted that the applicants had not exhausted domestic remedies r</w:t>
      </w:r>
      <w:r w:rsidR="00E82990">
        <w:rPr>
          <w:lang w:val="en-GB"/>
        </w:rPr>
        <w:t>egarding the complaint about the</w:t>
      </w:r>
      <w:r w:rsidRPr="00E82990">
        <w:rPr>
          <w:lang w:val="en-GB"/>
        </w:rPr>
        <w:t xml:space="preserve"> excessive</w:t>
      </w:r>
      <w:r w:rsidR="00E82990">
        <w:rPr>
          <w:lang w:val="en-GB"/>
        </w:rPr>
        <w:t xml:space="preserve"> length of the proc</w:t>
      </w:r>
      <w:r w:rsidRPr="00E82990">
        <w:rPr>
          <w:lang w:val="en-GB"/>
        </w:rPr>
        <w:t>e</w:t>
      </w:r>
      <w:r w:rsidR="00E82990">
        <w:rPr>
          <w:lang w:val="en-GB"/>
        </w:rPr>
        <w:t>edings</w:t>
      </w:r>
      <w:r w:rsidRPr="00E82990">
        <w:rPr>
          <w:lang w:val="en-GB"/>
        </w:rPr>
        <w:t>.</w:t>
      </w:r>
    </w:p>
    <w:p w:rsidRPr="002A0715" w:rsidR="0076757E" w:rsidP="00124007" w:rsidRDefault="0076757E">
      <w:pPr>
        <w:pStyle w:val="JuH1"/>
        <w:outlineLvl w:val="0"/>
        <w:rPr>
          <w:lang w:val="en-GB"/>
        </w:rPr>
      </w:pPr>
      <w:r w:rsidRPr="002A0715">
        <w:rPr>
          <w:lang w:val="en-GB"/>
        </w:rPr>
        <w:t>1.  </w:t>
      </w:r>
      <w:r w:rsidRPr="002A0715" w:rsidR="00E82990">
        <w:rPr>
          <w:lang w:val="en-GB"/>
        </w:rPr>
        <w:t>The Chamber decision</w:t>
      </w:r>
    </w:p>
    <w:p w:rsidR="00967E1F" w:rsidP="0076757E" w:rsidRDefault="0076757E">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136</w:t>
      </w:r>
      <w:r w:rsidRPr="00C2011C">
        <w:fldChar w:fldCharType="end"/>
      </w:r>
      <w:r w:rsidRPr="002A0715">
        <w:rPr>
          <w:lang w:val="en-GB"/>
        </w:rPr>
        <w:t>.  </w:t>
      </w:r>
      <w:r w:rsidRPr="00E82990" w:rsidR="00E82990">
        <w:rPr>
          <w:lang w:val="en-GB"/>
        </w:rPr>
        <w:t>In its admissibility decision of 27 March</w:t>
      </w:r>
      <w:r w:rsidRPr="00E82990">
        <w:rPr>
          <w:lang w:val="en-GB"/>
        </w:rPr>
        <w:t xml:space="preserve"> 2003</w:t>
      </w:r>
      <w:r w:rsidR="00006B2F">
        <w:rPr>
          <w:lang w:val="en-GB"/>
        </w:rPr>
        <w:t xml:space="preserve"> (</w:t>
      </w:r>
      <w:r w:rsidR="004348D0">
        <w:rPr>
          <w:lang w:val="en-GB"/>
        </w:rPr>
        <w:t xml:space="preserve">(dec.), </w:t>
      </w:r>
      <w:r w:rsidR="00006B2F">
        <w:rPr>
          <w:lang w:val="en-GB"/>
        </w:rPr>
        <w:t>no.</w:t>
      </w:r>
      <w:r w:rsidR="004348D0">
        <w:rPr>
          <w:lang w:val="en-GB"/>
        </w:rPr>
        <w:t> </w:t>
      </w:r>
      <w:r w:rsidR="00006B2F">
        <w:rPr>
          <w:lang w:val="en-GB"/>
        </w:rPr>
        <w:t>36813/97, ECHR 2003-IV)</w:t>
      </w:r>
      <w:r w:rsidR="004C51EE">
        <w:rPr>
          <w:lang w:val="en-GB"/>
        </w:rPr>
        <w:t>,</w:t>
      </w:r>
      <w:r w:rsidRPr="00E82990">
        <w:rPr>
          <w:lang w:val="en-GB"/>
        </w:rPr>
        <w:t xml:space="preserve"> </w:t>
      </w:r>
      <w:r w:rsidRPr="00E82990" w:rsidR="00E82990">
        <w:rPr>
          <w:lang w:val="en-GB"/>
        </w:rPr>
        <w:t>the Chamber dismissed the Gover</w:t>
      </w:r>
      <w:r w:rsidR="00E82990">
        <w:rPr>
          <w:lang w:val="en-GB"/>
        </w:rPr>
        <w:t>nment</w:t>
      </w:r>
      <w:r w:rsidR="00E6191D">
        <w:rPr>
          <w:lang w:val="en-GB"/>
        </w:rPr>
        <w:t>’</w:t>
      </w:r>
      <w:r w:rsidR="00E82990">
        <w:rPr>
          <w:lang w:val="en-GB"/>
        </w:rPr>
        <w:t>s objection for the following reasons</w:t>
      </w:r>
      <w:r w:rsidRPr="00E82990">
        <w:rPr>
          <w:lang w:val="en-GB"/>
        </w:rPr>
        <w:t>:</w:t>
      </w:r>
    </w:p>
    <w:p w:rsidR="00967E1F" w:rsidP="00E82990" w:rsidRDefault="00EA4691">
      <w:pPr>
        <w:pStyle w:val="JuQuotChar1"/>
      </w:pPr>
      <w:r>
        <w:t>“</w:t>
      </w:r>
      <w:r w:rsidRPr="00E82990" w:rsidR="00E82990">
        <w:t xml:space="preserve">The Court has carried out a comparative analysis of the one hundred Court of Cassation judgments available to date. It has noted that the principles set forth in the two cases cited by the applicants </w:t>
      </w:r>
      <w:r w:rsidR="004348D0">
        <w:t xml:space="preserve">(see </w:t>
      </w:r>
      <w:r w:rsidR="00E6191D">
        <w:t>‘</w:t>
      </w:r>
      <w:r w:rsidR="004348D0">
        <w:t>Relevant domestic law and practice</w:t>
      </w:r>
      <w:r w:rsidR="00E6191D">
        <w:t>’</w:t>
      </w:r>
      <w:r w:rsidR="004348D0">
        <w:t xml:space="preserve"> above)</w:t>
      </w:r>
      <w:r w:rsidRPr="00E82990" w:rsidR="00E82990">
        <w:t xml:space="preserve"> have been consistently applied: in other words, the right to a hearing within a reasonable time has not been regarded as a fundamental right and the Convention and the Strasbourg case-law are not directly applicable in relation to just satisfaction.</w:t>
      </w:r>
    </w:p>
    <w:p w:rsidRPr="00E82990" w:rsidR="00E82990" w:rsidP="00E82990" w:rsidRDefault="00E82990">
      <w:pPr>
        <w:pStyle w:val="JuQuotChar1"/>
      </w:pPr>
      <w:r w:rsidRPr="00E82990">
        <w:t xml:space="preserve">The Court has not found any instances in which the Court of Cassation has entertained a complaint to the effect that the amount awarded by the </w:t>
      </w:r>
      <w:r w:rsidR="00305558">
        <w:t>c</w:t>
      </w:r>
      <w:r w:rsidRPr="00E82990">
        <w:t xml:space="preserve">ourt of </w:t>
      </w:r>
      <w:r w:rsidR="00305558">
        <w:t>a</w:t>
      </w:r>
      <w:r w:rsidRPr="00E82990">
        <w:t xml:space="preserve">ppeal was insufficient in relation to the alleged damage or inadequate in the light of the </w:t>
      </w:r>
      <w:smartTag w:uri="urn:schemas-microsoft-com:office:smarttags" w:element="place">
        <w:smartTag w:uri="urn:schemas-microsoft-com:office:smarttags" w:element="City">
          <w:r w:rsidRPr="00E82990">
            <w:t>Strasbourg</w:t>
          </w:r>
        </w:smartTag>
      </w:smartTag>
      <w:r w:rsidRPr="00E82990">
        <w:t xml:space="preserve"> institutions</w:t>
      </w:r>
      <w:r w:rsidR="00E6191D">
        <w:t>’</w:t>
      </w:r>
      <w:r w:rsidRPr="00E82990">
        <w:t xml:space="preserve"> case-law. Such complaints have been dismissed by the Court of Cassation, being treated either as factual issues outside its jurisdiction or as issues arising on the basis of provisions that are not directly applicable.</w:t>
      </w:r>
    </w:p>
    <w:p w:rsidRPr="00E82990" w:rsidR="0076757E" w:rsidP="00E82990" w:rsidRDefault="00B9248D">
      <w:pPr>
        <w:pStyle w:val="JuQuotChar1"/>
      </w:pPr>
      <w:r>
        <w:t>...</w:t>
      </w:r>
    </w:p>
    <w:p w:rsidRPr="00E82990" w:rsidR="00E82990" w:rsidP="00E82990" w:rsidRDefault="00E82990">
      <w:pPr>
        <w:pStyle w:val="JuQuotChar1"/>
      </w:pPr>
      <w:r w:rsidRPr="00E82990">
        <w:t>Having regard to the foregoing, the Court concludes that there would have been no point in the applicants</w:t>
      </w:r>
      <w:r w:rsidR="00E6191D">
        <w:t>’</w:t>
      </w:r>
      <w:r w:rsidRPr="00E82990">
        <w:t xml:space="preserve"> appealing to the Court of Cassation as their complaint concerned the amount of compensation and thus fell within the categories referred to above. Furthermore, the applicants risked being ordered to pay costs.</w:t>
      </w:r>
    </w:p>
    <w:p w:rsidRPr="00E82990" w:rsidR="0076757E" w:rsidP="00E82990" w:rsidRDefault="00E82990">
      <w:pPr>
        <w:pStyle w:val="JuQuotChar1"/>
      </w:pPr>
      <w:r w:rsidRPr="00E82990">
        <w:t>In conclusion, the Court considers that in the instant case the applicants were not required to appeal to the Court of Cassation for the purpose of exhausting domestic remedies. Accordingly, the Government</w:t>
      </w:r>
      <w:r w:rsidR="00E6191D">
        <w:t>’</w:t>
      </w:r>
      <w:r w:rsidRPr="00E82990">
        <w:t>s first objection must be dismissed.</w:t>
      </w:r>
    </w:p>
    <w:p w:rsidRPr="00E82990" w:rsidR="0076757E" w:rsidP="0076757E" w:rsidRDefault="00E82990">
      <w:pPr>
        <w:pStyle w:val="JuQuotChar1"/>
      </w:pPr>
      <w:r w:rsidRPr="00E82990">
        <w:t xml:space="preserve">That conclusion does not, however, call into question the obligation to lodge a claim for compensation under the Pinto Act with the </w:t>
      </w:r>
      <w:r w:rsidR="00305558">
        <w:t>c</w:t>
      </w:r>
      <w:r w:rsidRPr="00E82990">
        <w:t xml:space="preserve">ourt of </w:t>
      </w:r>
      <w:r w:rsidR="00305558">
        <w:t>a</w:t>
      </w:r>
      <w:r w:rsidRPr="00E82990">
        <w:t>ppeal and the Court of Cassation, provided that it is clear from the case-law of the national courts that they apply the Act in keeping with the spirit of the Convention and, consequently, that the remedy is effective.</w:t>
      </w:r>
      <w:r>
        <w:t>”</w:t>
      </w:r>
    </w:p>
    <w:p w:rsidRPr="0036445F" w:rsidR="0076757E" w:rsidP="0076757E" w:rsidRDefault="0076757E">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137</w:t>
      </w:r>
      <w:r w:rsidRPr="00C2011C">
        <w:fldChar w:fldCharType="end"/>
      </w:r>
      <w:r w:rsidRPr="002A0715">
        <w:rPr>
          <w:lang w:val="en-GB"/>
        </w:rPr>
        <w:t>.  </w:t>
      </w:r>
      <w:r w:rsidRPr="0036445F" w:rsidR="00A73DA4">
        <w:rPr>
          <w:lang w:val="en-GB"/>
        </w:rPr>
        <w:t>In its judgment of</w:t>
      </w:r>
      <w:r w:rsidRPr="0036445F">
        <w:rPr>
          <w:lang w:val="en-GB"/>
        </w:rPr>
        <w:t xml:space="preserve"> 29 </w:t>
      </w:r>
      <w:r w:rsidRPr="0036445F" w:rsidR="00A73DA4">
        <w:rPr>
          <w:lang w:val="en-GB"/>
        </w:rPr>
        <w:t>July</w:t>
      </w:r>
      <w:r w:rsidRPr="0036445F">
        <w:rPr>
          <w:lang w:val="en-GB"/>
        </w:rPr>
        <w:t xml:space="preserve"> 2004</w:t>
      </w:r>
      <w:r w:rsidR="004C51EE">
        <w:rPr>
          <w:lang w:val="en-GB"/>
        </w:rPr>
        <w:t>,</w:t>
      </w:r>
      <w:r w:rsidRPr="0036445F" w:rsidR="00A73DA4">
        <w:rPr>
          <w:lang w:val="en-GB"/>
        </w:rPr>
        <w:t xml:space="preserve"> the Chamber dismissed the objection that had </w:t>
      </w:r>
      <w:r w:rsidR="00566BA5">
        <w:rPr>
          <w:lang w:val="en-GB"/>
        </w:rPr>
        <w:t xml:space="preserve">again </w:t>
      </w:r>
      <w:r w:rsidRPr="0036445F" w:rsidR="00A73DA4">
        <w:rPr>
          <w:lang w:val="en-GB"/>
        </w:rPr>
        <w:t>been raised by the Government, considering that the</w:t>
      </w:r>
      <w:r w:rsidRPr="0036445F">
        <w:rPr>
          <w:lang w:val="en-GB"/>
        </w:rPr>
        <w:t xml:space="preserve"> arguments </w:t>
      </w:r>
      <w:r w:rsidRPr="0036445F" w:rsidR="0036445F">
        <w:rPr>
          <w:lang w:val="en-GB"/>
        </w:rPr>
        <w:t xml:space="preserve">they had </w:t>
      </w:r>
      <w:r w:rsidRPr="0036445F" w:rsidR="00A73DA4">
        <w:rPr>
          <w:lang w:val="en-GB"/>
        </w:rPr>
        <w:t>advanced</w:t>
      </w:r>
      <w:r w:rsidRPr="0036445F">
        <w:rPr>
          <w:lang w:val="en-GB"/>
        </w:rPr>
        <w:t xml:space="preserve"> </w:t>
      </w:r>
      <w:r w:rsidRPr="0036445F" w:rsidR="0036445F">
        <w:rPr>
          <w:lang w:val="en-GB"/>
        </w:rPr>
        <w:t>were n</w:t>
      </w:r>
      <w:r w:rsidR="0036445F">
        <w:rPr>
          <w:lang w:val="en-GB"/>
        </w:rPr>
        <w:t>ot such as to</w:t>
      </w:r>
      <w:r w:rsidRPr="0036445F">
        <w:rPr>
          <w:lang w:val="en-GB"/>
        </w:rPr>
        <w:t xml:space="preserve"> </w:t>
      </w:r>
      <w:r w:rsidR="0036445F">
        <w:rPr>
          <w:lang w:val="en-GB"/>
        </w:rPr>
        <w:t>call the admissibility de</w:t>
      </w:r>
      <w:r w:rsidRPr="0036445F" w:rsidR="0036445F">
        <w:rPr>
          <w:lang w:val="en-GB"/>
        </w:rPr>
        <w:t xml:space="preserve">cision </w:t>
      </w:r>
      <w:r w:rsidR="0036445F">
        <w:rPr>
          <w:lang w:val="en-GB"/>
        </w:rPr>
        <w:t xml:space="preserve">into question </w:t>
      </w:r>
      <w:r w:rsidRPr="0036445F">
        <w:rPr>
          <w:lang w:val="en-GB"/>
        </w:rPr>
        <w:t>(</w:t>
      </w:r>
      <w:r w:rsidR="0036445F">
        <w:rPr>
          <w:lang w:val="en-GB"/>
        </w:rPr>
        <w:t xml:space="preserve">see </w:t>
      </w:r>
      <w:r w:rsidR="00566BA5">
        <w:rPr>
          <w:lang w:val="en-GB"/>
        </w:rPr>
        <w:t>paragraphs</w:t>
      </w:r>
      <w:r w:rsidRPr="0036445F" w:rsidR="009206DE">
        <w:rPr>
          <w:lang w:val="en-GB"/>
        </w:rPr>
        <w:t xml:space="preserve"> </w:t>
      </w:r>
      <w:r w:rsidRPr="0036445F">
        <w:rPr>
          <w:lang w:val="en-GB"/>
        </w:rPr>
        <w:t xml:space="preserve">59-62 </w:t>
      </w:r>
      <w:r w:rsidR="0036445F">
        <w:rPr>
          <w:lang w:val="en-GB"/>
        </w:rPr>
        <w:t>of the Chamber judgment</w:t>
      </w:r>
      <w:r w:rsidRPr="0036445F">
        <w:rPr>
          <w:lang w:val="en-GB"/>
        </w:rPr>
        <w:t>).</w:t>
      </w:r>
    </w:p>
    <w:p w:rsidRPr="00F8606D" w:rsidR="0076757E" w:rsidP="00124007" w:rsidRDefault="0076757E">
      <w:pPr>
        <w:pStyle w:val="JuH1"/>
        <w:outlineLvl w:val="0"/>
        <w:rPr>
          <w:lang w:val="en-GB"/>
        </w:rPr>
      </w:pPr>
      <w:r w:rsidRPr="002A0715">
        <w:rPr>
          <w:lang w:val="en-GB"/>
        </w:rPr>
        <w:t>2.  </w:t>
      </w:r>
      <w:r w:rsidRPr="00F8606D" w:rsidR="00F8606D">
        <w:rPr>
          <w:lang w:val="en-GB"/>
        </w:rPr>
        <w:t>Submissions of those appearing before the Court</w:t>
      </w:r>
    </w:p>
    <w:p w:rsidR="00967E1F" w:rsidP="00F8606D" w:rsidRDefault="00E54656">
      <w:pPr>
        <w:pStyle w:val="JuHa"/>
        <w:rPr>
          <w:lang w:val="en-GB"/>
        </w:rPr>
      </w:pPr>
      <w:r>
        <w:rPr>
          <w:lang w:val="en-GB"/>
        </w:rPr>
        <w:t>(</w:t>
      </w:r>
      <w:r w:rsidR="00297CD8">
        <w:rPr>
          <w:lang w:val="en-GB"/>
        </w:rPr>
        <w:t>a</w:t>
      </w:r>
      <w:r w:rsidRPr="002A0715" w:rsidR="00F8606D">
        <w:rPr>
          <w:lang w:val="en-GB"/>
        </w:rPr>
        <w:t>)  The Government</w:t>
      </w:r>
    </w:p>
    <w:p w:rsidRPr="00F8606D" w:rsidR="00F8606D" w:rsidP="00F8606D" w:rsidRDefault="00297CD8">
      <w:pPr>
        <w:pStyle w:val="JuParaChar1"/>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138</w:t>
      </w:r>
      <w:r>
        <w:rPr>
          <w:lang w:val="en-GB"/>
        </w:rPr>
        <w:fldChar w:fldCharType="end"/>
      </w:r>
      <w:r>
        <w:rPr>
          <w:lang w:val="en-GB"/>
        </w:rPr>
        <w:t>.  </w:t>
      </w:r>
      <w:r w:rsidRPr="00F8606D" w:rsidR="00F8606D">
        <w:rPr>
          <w:lang w:val="en-GB"/>
        </w:rPr>
        <w:t xml:space="preserve">The Government submitted that the applicants had not exhausted domestic remedies because they had not appealed to the Court of Cassation </w:t>
      </w:r>
      <w:r w:rsidR="00F8606D">
        <w:rPr>
          <w:lang w:val="en-GB"/>
        </w:rPr>
        <w:t xml:space="preserve">against the </w:t>
      </w:r>
      <w:smartTag w:uri="urn:schemas-microsoft-com:office:smarttags" w:element="place">
        <w:smartTag w:uri="urn:schemas-microsoft-com:office:smarttags" w:element="City">
          <w:r w:rsidR="00F8606D" w:rsidRPr="00F8606D">
            <w:rPr>
              <w:lang w:val="en-GB"/>
            </w:rPr>
            <w:t>Reggio d</w:t>
          </w:r>
          <w:r w:rsidR="00F8606D">
            <w:rPr>
              <w:lang w:val="en-GB"/>
            </w:rPr>
            <w:t>i</w:t>
          </w:r>
          <w:r w:rsidR="00F8606D" w:rsidRPr="00F8606D">
            <w:rPr>
              <w:lang w:val="en-GB"/>
            </w:rPr>
            <w:t xml:space="preserve"> Calabr</w:t>
          </w:r>
          <w:r w:rsidR="00F8606D">
            <w:rPr>
              <w:lang w:val="en-GB"/>
            </w:rPr>
            <w:t>ia</w:t>
          </w:r>
        </w:smartTag>
      </w:smartTag>
      <w:r w:rsidR="00F8606D">
        <w:rPr>
          <w:lang w:val="en-GB"/>
        </w:rPr>
        <w:t xml:space="preserve"> Court of Appeal</w:t>
      </w:r>
      <w:r w:rsidR="00E6191D">
        <w:rPr>
          <w:lang w:val="en-GB"/>
        </w:rPr>
        <w:t>’</w:t>
      </w:r>
      <w:r w:rsidR="00F8606D">
        <w:rPr>
          <w:lang w:val="en-GB"/>
        </w:rPr>
        <w:t>s</w:t>
      </w:r>
      <w:r w:rsidRPr="00F8606D" w:rsidR="00F8606D">
        <w:rPr>
          <w:lang w:val="en-GB"/>
        </w:rPr>
        <w:t xml:space="preserve"> </w:t>
      </w:r>
      <w:r w:rsidR="00F8606D">
        <w:rPr>
          <w:lang w:val="en-GB"/>
        </w:rPr>
        <w:t>de</w:t>
      </w:r>
      <w:r w:rsidRPr="00F8606D" w:rsidR="00F8606D">
        <w:rPr>
          <w:lang w:val="en-GB"/>
        </w:rPr>
        <w:t>cision.</w:t>
      </w:r>
    </w:p>
    <w:p w:rsidRPr="00B11952" w:rsidR="00F8606D" w:rsidP="00F8606D" w:rsidRDefault="00006B2F">
      <w:pPr>
        <w:pStyle w:val="JuParaChar1"/>
        <w:rPr>
          <w:lang w:val="en-GB"/>
        </w:rPr>
      </w:pPr>
      <w:r>
        <w:rPr>
          <w:lang w:val="en-GB"/>
        </w:rPr>
        <w:t>In their submission</w:t>
      </w:r>
      <w:r w:rsidRPr="0078121C" w:rsidR="0078121C">
        <w:rPr>
          <w:lang w:val="en-GB"/>
        </w:rPr>
        <w:t xml:space="preserve"> the Court had </w:t>
      </w:r>
      <w:r w:rsidR="00EA4691">
        <w:rPr>
          <w:lang w:val="en-GB"/>
        </w:rPr>
        <w:t>erred</w:t>
      </w:r>
      <w:r w:rsidR="00305558">
        <w:rPr>
          <w:lang w:val="en-GB"/>
        </w:rPr>
        <w:t xml:space="preserve"> in the admissibility decision</w:t>
      </w:r>
      <w:r w:rsidRPr="0078121C" w:rsidR="0078121C">
        <w:rPr>
          <w:lang w:val="en-GB"/>
        </w:rPr>
        <w:t xml:space="preserve"> </w:t>
      </w:r>
      <w:r w:rsidR="00EA4691">
        <w:rPr>
          <w:lang w:val="en-GB"/>
        </w:rPr>
        <w:t xml:space="preserve">in holding </w:t>
      </w:r>
      <w:r w:rsidRPr="0078121C" w:rsidR="0078121C">
        <w:rPr>
          <w:lang w:val="en-GB"/>
        </w:rPr>
        <w:t xml:space="preserve">that </w:t>
      </w:r>
      <w:r w:rsidR="0078121C">
        <w:rPr>
          <w:lang w:val="en-GB"/>
        </w:rPr>
        <w:t>an appeal to the Court of C</w:t>
      </w:r>
      <w:r w:rsidRPr="0078121C" w:rsidR="00F8606D">
        <w:rPr>
          <w:lang w:val="en-GB"/>
        </w:rPr>
        <w:t xml:space="preserve">assation </w:t>
      </w:r>
      <w:r w:rsidR="0078121C">
        <w:rPr>
          <w:lang w:val="en-GB"/>
        </w:rPr>
        <w:t>was not a remedy that had to be ex</w:t>
      </w:r>
      <w:r w:rsidR="00305558">
        <w:rPr>
          <w:lang w:val="en-GB"/>
        </w:rPr>
        <w:t>ercised</w:t>
      </w:r>
      <w:r w:rsidRPr="0078121C" w:rsidR="00F8606D">
        <w:rPr>
          <w:lang w:val="en-GB"/>
        </w:rPr>
        <w:t xml:space="preserve">. </w:t>
      </w:r>
      <w:r w:rsidRPr="00B11952" w:rsidR="00B11952">
        <w:rPr>
          <w:lang w:val="en-GB"/>
        </w:rPr>
        <w:t>The</w:t>
      </w:r>
      <w:r w:rsidRPr="00B11952" w:rsidR="00F8606D">
        <w:rPr>
          <w:lang w:val="en-GB"/>
        </w:rPr>
        <w:t xml:space="preserve"> Cour</w:t>
      </w:r>
      <w:r w:rsidRPr="00B11952" w:rsidR="00B11952">
        <w:rPr>
          <w:lang w:val="en-GB"/>
        </w:rPr>
        <w:t>t of C</w:t>
      </w:r>
      <w:r w:rsidRPr="00B11952" w:rsidR="00F8606D">
        <w:rPr>
          <w:lang w:val="en-GB"/>
        </w:rPr>
        <w:t xml:space="preserve">assation </w:t>
      </w:r>
      <w:r w:rsidRPr="00B11952" w:rsidR="00B11952">
        <w:rPr>
          <w:lang w:val="en-GB"/>
        </w:rPr>
        <w:t>could, they maintained, have examined the applicants</w:t>
      </w:r>
      <w:r w:rsidR="00E6191D">
        <w:rPr>
          <w:lang w:val="en-GB"/>
        </w:rPr>
        <w:t>’</w:t>
      </w:r>
      <w:r w:rsidRPr="00B11952" w:rsidR="00B11952">
        <w:rPr>
          <w:lang w:val="en-GB"/>
        </w:rPr>
        <w:t xml:space="preserve"> complaint about the inadequacy of the compensation awarded by the Court of</w:t>
      </w:r>
      <w:r w:rsidR="00B11952">
        <w:rPr>
          <w:lang w:val="en-GB"/>
        </w:rPr>
        <w:t xml:space="preserve"> Appeal under the</w:t>
      </w:r>
      <w:r w:rsidRPr="00B11952" w:rsidR="00F8606D">
        <w:rPr>
          <w:lang w:val="en-GB"/>
        </w:rPr>
        <w:t xml:space="preserve"> Pinto</w:t>
      </w:r>
      <w:r w:rsidR="00B11952">
        <w:rPr>
          <w:lang w:val="en-GB"/>
        </w:rPr>
        <w:t xml:space="preserve"> Act</w:t>
      </w:r>
      <w:r w:rsidRPr="00B11952" w:rsidR="00F8606D">
        <w:rPr>
          <w:lang w:val="en-GB"/>
        </w:rPr>
        <w:t xml:space="preserve"> </w:t>
      </w:r>
      <w:r w:rsidR="00E422EB">
        <w:rPr>
          <w:lang w:val="en-GB"/>
        </w:rPr>
        <w:t>as compared with the amount that they could have obtained in accordance with the Court</w:t>
      </w:r>
      <w:r w:rsidR="00E6191D">
        <w:rPr>
          <w:lang w:val="en-GB"/>
        </w:rPr>
        <w:t>’</w:t>
      </w:r>
      <w:r w:rsidR="00E422EB">
        <w:rPr>
          <w:lang w:val="en-GB"/>
        </w:rPr>
        <w:t>s case-law on A</w:t>
      </w:r>
      <w:r w:rsidRPr="00B11952" w:rsidR="00F8606D">
        <w:rPr>
          <w:lang w:val="en-GB"/>
        </w:rPr>
        <w:t xml:space="preserve">rticle 41 </w:t>
      </w:r>
      <w:r w:rsidR="00E422EB">
        <w:rPr>
          <w:lang w:val="en-GB"/>
        </w:rPr>
        <w:t>of the</w:t>
      </w:r>
      <w:r w:rsidRPr="00B11952" w:rsidR="00F8606D">
        <w:rPr>
          <w:lang w:val="en-GB"/>
        </w:rPr>
        <w:t xml:space="preserve"> Convention.</w:t>
      </w:r>
    </w:p>
    <w:p w:rsidR="00F8606D" w:rsidP="00F8606D" w:rsidRDefault="000A4A55">
      <w:pPr>
        <w:pStyle w:val="JuParaChar1"/>
        <w:rPr>
          <w:lang w:val="en-GB"/>
        </w:rPr>
      </w:pPr>
      <w:r w:rsidRPr="000A4A55">
        <w:rPr>
          <w:lang w:val="en-GB"/>
        </w:rPr>
        <w:t>In support of that submission the Government referred to</w:t>
      </w:r>
      <w:r>
        <w:rPr>
          <w:lang w:val="en-GB"/>
        </w:rPr>
        <w:t xml:space="preserve"> the</w:t>
      </w:r>
      <w:r w:rsidRPr="000A4A55">
        <w:rPr>
          <w:lang w:val="en-GB"/>
        </w:rPr>
        <w:t xml:space="preserve"> four judgments</w:t>
      </w:r>
      <w:r w:rsidR="00DE73E6">
        <w:rPr>
          <w:lang w:val="en-GB"/>
        </w:rPr>
        <w:t>,</w:t>
      </w:r>
      <w:r w:rsidRPr="000A4A55">
        <w:rPr>
          <w:lang w:val="en-GB"/>
        </w:rPr>
        <w:t xml:space="preserve"> </w:t>
      </w:r>
      <w:r w:rsidR="00DE73E6">
        <w:rPr>
          <w:lang w:val="en-GB"/>
        </w:rPr>
        <w:t>nos.</w:t>
      </w:r>
      <w:r w:rsidRPr="000A4A55" w:rsidR="00DE73E6">
        <w:rPr>
          <w:lang w:val="en-GB"/>
        </w:rPr>
        <w:t xml:space="preserve"> 1338, 1339, 1340 </w:t>
      </w:r>
      <w:r w:rsidR="00DE73E6">
        <w:rPr>
          <w:lang w:val="en-GB"/>
        </w:rPr>
        <w:t>and</w:t>
      </w:r>
      <w:r w:rsidRPr="000A4A55" w:rsidR="00DE73E6">
        <w:rPr>
          <w:lang w:val="en-GB"/>
        </w:rPr>
        <w:t xml:space="preserve"> 1341</w:t>
      </w:r>
      <w:r w:rsidR="00DE73E6">
        <w:rPr>
          <w:lang w:val="en-GB"/>
        </w:rPr>
        <w:t>,</w:t>
      </w:r>
      <w:r w:rsidRPr="000A4A55" w:rsidR="00DE73E6">
        <w:rPr>
          <w:lang w:val="en-GB"/>
        </w:rPr>
        <w:t xml:space="preserve"> </w:t>
      </w:r>
      <w:r w:rsidRPr="000A4A55">
        <w:rPr>
          <w:lang w:val="en-GB"/>
        </w:rPr>
        <w:t>delive</w:t>
      </w:r>
      <w:r w:rsidRPr="000A4A55" w:rsidR="00F8606D">
        <w:rPr>
          <w:lang w:val="en-GB"/>
        </w:rPr>
        <w:t>re</w:t>
      </w:r>
      <w:r w:rsidRPr="000A4A55">
        <w:rPr>
          <w:lang w:val="en-GB"/>
        </w:rPr>
        <w:t xml:space="preserve">d by </w:t>
      </w:r>
      <w:r>
        <w:rPr>
          <w:lang w:val="en-GB"/>
        </w:rPr>
        <w:t>the</w:t>
      </w:r>
      <w:r w:rsidRPr="000A4A55" w:rsidR="00F8606D">
        <w:rPr>
          <w:lang w:val="en-GB"/>
        </w:rPr>
        <w:t xml:space="preserve"> Cour</w:t>
      </w:r>
      <w:r>
        <w:rPr>
          <w:lang w:val="en-GB"/>
        </w:rPr>
        <w:t>t of C</w:t>
      </w:r>
      <w:r w:rsidRPr="000A4A55" w:rsidR="00F8606D">
        <w:rPr>
          <w:lang w:val="en-GB"/>
        </w:rPr>
        <w:t>assation</w:t>
      </w:r>
      <w:r>
        <w:rPr>
          <w:lang w:val="en-GB"/>
        </w:rPr>
        <w:t>, sitting as a full court, on</w:t>
      </w:r>
      <w:r w:rsidR="00DE73E6">
        <w:rPr>
          <w:lang w:val="en-GB"/>
        </w:rPr>
        <w:t xml:space="preserve"> 26 </w:t>
      </w:r>
      <w:r>
        <w:rPr>
          <w:lang w:val="en-GB"/>
        </w:rPr>
        <w:t>January</w:t>
      </w:r>
      <w:r w:rsidRPr="000A4A55" w:rsidR="00F8606D">
        <w:rPr>
          <w:lang w:val="en-GB"/>
        </w:rPr>
        <w:t xml:space="preserve"> 2004 (</w:t>
      </w:r>
      <w:r>
        <w:rPr>
          <w:lang w:val="en-GB"/>
        </w:rPr>
        <w:t>see paragraph</w:t>
      </w:r>
      <w:r w:rsidRPr="000A4A55" w:rsidR="00F8606D">
        <w:rPr>
          <w:lang w:val="en-GB"/>
        </w:rPr>
        <w:t>s</w:t>
      </w:r>
      <w:r w:rsidR="00AF0A1F">
        <w:rPr>
          <w:lang w:val="en-GB"/>
        </w:rPr>
        <w:t xml:space="preserve"> </w:t>
      </w:r>
      <w:r w:rsidRPr="000A4A55" w:rsidR="00F8606D">
        <w:rPr>
          <w:lang w:val="en-GB"/>
        </w:rPr>
        <w:t xml:space="preserve">63-64 </w:t>
      </w:r>
      <w:r>
        <w:rPr>
          <w:lang w:val="en-GB"/>
        </w:rPr>
        <w:t>above</w:t>
      </w:r>
      <w:r w:rsidRPr="000A4A55" w:rsidR="00F8606D">
        <w:rPr>
          <w:lang w:val="en-GB"/>
        </w:rPr>
        <w:t>).</w:t>
      </w:r>
    </w:p>
    <w:p w:rsidR="00967E1F" w:rsidP="00124007" w:rsidRDefault="00E54656">
      <w:pPr>
        <w:pStyle w:val="JuHa"/>
        <w:outlineLvl w:val="0"/>
        <w:rPr>
          <w:lang w:val="en-GB"/>
        </w:rPr>
      </w:pPr>
      <w:r>
        <w:rPr>
          <w:lang w:val="en-GB"/>
        </w:rPr>
        <w:t>(</w:t>
      </w:r>
      <w:r w:rsidR="009206DE">
        <w:rPr>
          <w:lang w:val="en-GB"/>
        </w:rPr>
        <w:t>b</w:t>
      </w:r>
      <w:r w:rsidRPr="002A0715" w:rsidR="00297CD8">
        <w:rPr>
          <w:lang w:val="en-GB"/>
        </w:rPr>
        <w:t>)  The applicants</w:t>
      </w:r>
    </w:p>
    <w:p w:rsidRPr="00F8606D" w:rsidR="00297CD8" w:rsidP="00297CD8" w:rsidRDefault="00297CD8">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139</w:t>
      </w:r>
      <w:r w:rsidRPr="00C2011C">
        <w:fldChar w:fldCharType="end"/>
      </w:r>
      <w:r w:rsidRPr="002A0715">
        <w:rPr>
          <w:lang w:val="en-GB"/>
        </w:rPr>
        <w:t>.  </w:t>
      </w:r>
      <w:r w:rsidRPr="00F8606D">
        <w:rPr>
          <w:lang w:val="en-GB"/>
        </w:rPr>
        <w:t>The applicants challenged the Government</w:t>
      </w:r>
      <w:r w:rsidR="00E6191D">
        <w:rPr>
          <w:lang w:val="en-GB"/>
        </w:rPr>
        <w:t>’</w:t>
      </w:r>
      <w:r w:rsidRPr="00F8606D">
        <w:rPr>
          <w:lang w:val="en-GB"/>
        </w:rPr>
        <w:t xml:space="preserve">s objection and </w:t>
      </w:r>
      <w:r>
        <w:rPr>
          <w:lang w:val="en-GB"/>
        </w:rPr>
        <w:t>submitted</w:t>
      </w:r>
      <w:r w:rsidRPr="00F8606D">
        <w:rPr>
          <w:lang w:val="en-GB"/>
        </w:rPr>
        <w:t xml:space="preserve"> that the Grand Chamber should </w:t>
      </w:r>
      <w:r>
        <w:rPr>
          <w:lang w:val="en-GB"/>
        </w:rPr>
        <w:t>confirm</w:t>
      </w:r>
      <w:r w:rsidRPr="00F8606D">
        <w:rPr>
          <w:lang w:val="en-GB"/>
        </w:rPr>
        <w:t xml:space="preserve"> the admissib</w:t>
      </w:r>
      <w:r>
        <w:rPr>
          <w:lang w:val="en-GB"/>
        </w:rPr>
        <w:t>i</w:t>
      </w:r>
      <w:r w:rsidRPr="00F8606D">
        <w:rPr>
          <w:lang w:val="en-GB"/>
        </w:rPr>
        <w:t>lity decis</w:t>
      </w:r>
      <w:r>
        <w:rPr>
          <w:lang w:val="en-GB"/>
        </w:rPr>
        <w:t xml:space="preserve">ion of </w:t>
      </w:r>
      <w:smartTag w:uri="urn:schemas-microsoft-com:office:smarttags" w:element="date">
        <w:smartTagPr>
          <w:attr w:name="Month" w:val="3"/>
          <w:attr w:name="Day" w:val="27"/>
          <w:attr w:name="Year" w:val="2003"/>
        </w:smartTagPr>
        <w:r>
          <w:rPr>
            <w:lang w:val="en-GB"/>
          </w:rPr>
          <w:t>2</w:t>
        </w:r>
        <w:r w:rsidRPr="00F8606D">
          <w:rPr>
            <w:lang w:val="en-GB"/>
          </w:rPr>
          <w:t xml:space="preserve">7 </w:t>
        </w:r>
        <w:r>
          <w:rPr>
            <w:lang w:val="en-GB"/>
          </w:rPr>
          <w:t>March</w:t>
        </w:r>
        <w:r w:rsidRPr="00F8606D">
          <w:rPr>
            <w:lang w:val="en-GB"/>
          </w:rPr>
          <w:t xml:space="preserve"> 2003</w:t>
        </w:r>
      </w:smartTag>
      <w:r w:rsidRPr="00F8606D">
        <w:rPr>
          <w:lang w:val="en-GB"/>
        </w:rPr>
        <w:t xml:space="preserve"> </w:t>
      </w:r>
      <w:r>
        <w:rPr>
          <w:lang w:val="en-GB"/>
        </w:rPr>
        <w:t xml:space="preserve">and the judgment of </w:t>
      </w:r>
      <w:smartTag w:uri="urn:schemas-microsoft-com:office:smarttags" w:element="date">
        <w:smartTagPr>
          <w:attr w:name="Month" w:val="7"/>
          <w:attr w:name="Day" w:val="29"/>
          <w:attr w:name="Year" w:val="2004"/>
        </w:smartTagPr>
        <w:r w:rsidRPr="00F8606D">
          <w:rPr>
            <w:lang w:val="en-GB"/>
          </w:rPr>
          <w:t xml:space="preserve">29 </w:t>
        </w:r>
        <w:r>
          <w:rPr>
            <w:lang w:val="en-GB"/>
          </w:rPr>
          <w:t>July</w:t>
        </w:r>
        <w:r w:rsidRPr="00F8606D">
          <w:rPr>
            <w:lang w:val="en-GB"/>
          </w:rPr>
          <w:t xml:space="preserve"> 2004</w:t>
        </w:r>
      </w:smartTag>
      <w:r>
        <w:rPr>
          <w:lang w:val="en-GB"/>
        </w:rPr>
        <w:t xml:space="preserve"> in which the Chamber had dismissed the objection</w:t>
      </w:r>
      <w:r w:rsidRPr="00F8606D">
        <w:rPr>
          <w:lang w:val="en-GB"/>
        </w:rPr>
        <w:t>.</w:t>
      </w:r>
    </w:p>
    <w:p w:rsidRPr="000A4A55" w:rsidR="00297CD8" w:rsidP="00F8606D" w:rsidRDefault="00297CD8">
      <w:pPr>
        <w:pStyle w:val="JuParaChar1"/>
        <w:rPr>
          <w:lang w:val="en-GB"/>
        </w:rPr>
      </w:pPr>
      <w:r w:rsidRPr="00F8606D">
        <w:rPr>
          <w:lang w:val="en-GB"/>
        </w:rPr>
        <w:t xml:space="preserve">They went on to observe that the departure from precedent by the Court of Cassation, on the basis of which the Government reiterated their objection, </w:t>
      </w:r>
      <w:r>
        <w:rPr>
          <w:lang w:val="en-GB"/>
        </w:rPr>
        <w:t xml:space="preserve">had not </w:t>
      </w:r>
      <w:r w:rsidRPr="00F8606D">
        <w:rPr>
          <w:lang w:val="en-GB"/>
        </w:rPr>
        <w:t>occu</w:t>
      </w:r>
      <w:r>
        <w:rPr>
          <w:lang w:val="en-GB"/>
        </w:rPr>
        <w:t>rred until after the admissibility de</w:t>
      </w:r>
      <w:r w:rsidRPr="00F8606D">
        <w:rPr>
          <w:lang w:val="en-GB"/>
        </w:rPr>
        <w:t>cision</w:t>
      </w:r>
      <w:r>
        <w:rPr>
          <w:lang w:val="en-GB"/>
        </w:rPr>
        <w:t>, and after the decision of the Court of Appeal in this case had become final</w:t>
      </w:r>
      <w:r w:rsidRPr="00F8606D">
        <w:rPr>
          <w:lang w:val="en-GB"/>
        </w:rPr>
        <w:t>.</w:t>
      </w:r>
    </w:p>
    <w:p w:rsidRPr="002A0715" w:rsidR="00F8606D" w:rsidP="00124007" w:rsidRDefault="00F8606D">
      <w:pPr>
        <w:pStyle w:val="JuH1"/>
        <w:outlineLvl w:val="0"/>
        <w:rPr>
          <w:lang w:val="en-GB"/>
        </w:rPr>
      </w:pPr>
      <w:r w:rsidRPr="002A0715">
        <w:rPr>
          <w:lang w:val="en-GB"/>
        </w:rPr>
        <w:t>3.  </w:t>
      </w:r>
      <w:r w:rsidRPr="002A0715" w:rsidR="0084078C">
        <w:rPr>
          <w:lang w:val="en-GB"/>
        </w:rPr>
        <w:t>The Court</w:t>
      </w:r>
      <w:r w:rsidR="00E6191D">
        <w:rPr>
          <w:lang w:val="en-GB"/>
        </w:rPr>
        <w:t>’</w:t>
      </w:r>
      <w:r w:rsidRPr="002A0715" w:rsidR="0084078C">
        <w:rPr>
          <w:lang w:val="en-GB"/>
        </w:rPr>
        <w:t>s</w:t>
      </w:r>
      <w:r w:rsidR="00967E1F">
        <w:rPr>
          <w:lang w:val="en-GB"/>
        </w:rPr>
        <w:t xml:space="preserve"> </w:t>
      </w:r>
      <w:r w:rsidRPr="002A0715" w:rsidR="0084078C">
        <w:rPr>
          <w:lang w:val="en-GB"/>
        </w:rPr>
        <w:t>assessment</w:t>
      </w:r>
    </w:p>
    <w:p w:rsidRPr="00F560C4" w:rsidR="0084078C" w:rsidP="00F560C4" w:rsidRDefault="00F8606D">
      <w:pPr>
        <w:pStyle w:val="JuPara"/>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140</w:t>
      </w:r>
      <w:r w:rsidRPr="00C2011C">
        <w:fldChar w:fldCharType="end"/>
      </w:r>
      <w:r w:rsidRPr="002A0715">
        <w:rPr>
          <w:lang w:val="en-GB"/>
        </w:rPr>
        <w:t>.  </w:t>
      </w:r>
      <w:r w:rsidRPr="00F560C4" w:rsidR="00F560C4">
        <w:rPr>
          <w:lang w:val="en-GB"/>
        </w:rPr>
        <w:t>Under Article 1</w:t>
      </w:r>
      <w:r w:rsidR="00006B2F">
        <w:rPr>
          <w:lang w:val="en-GB"/>
        </w:rPr>
        <w:t xml:space="preserve"> of the Convention</w:t>
      </w:r>
      <w:r w:rsidRPr="00F560C4" w:rsidR="00F560C4">
        <w:rPr>
          <w:lang w:val="en-GB"/>
        </w:rPr>
        <w:t>, which provides: “The High Contracting Parties shall secure to everyone within their jurisdiction the rights and freedoms defined in Section I of this Convention”, the primary responsibility for implementing and enforcing the rights and freedoms guaranteed by the Convention is laid on the national authorities. The machinery of complaint to the Court is thus subsidiary to national systems safeguarding human rights. This subsidiary character is articulated in Articles 13 and 35 § 1 of the Convention</w:t>
      </w:r>
      <w:r w:rsidRPr="00EA4691" w:rsidR="00EA4691">
        <w:rPr>
          <w:lang w:val="en-GB"/>
        </w:rPr>
        <w:t>.</w:t>
      </w:r>
    </w:p>
    <w:p w:rsidRPr="005C48E9" w:rsidR="00F8606D" w:rsidP="00F8606D" w:rsidRDefault="00F8606D">
      <w:pPr>
        <w:pStyle w:val="JuParaChar1"/>
        <w:rPr>
          <w:lang w:val="en-GB" w:eastAsia="en-US"/>
        </w:rPr>
      </w:pPr>
      <w:r w:rsidRPr="00C2011C">
        <w:fldChar w:fldCharType="begin"/>
      </w:r>
      <w:r w:rsidRPr="0084078C">
        <w:rPr>
          <w:lang w:val="en-GB"/>
        </w:rPr>
        <w:instrText xml:space="preserve"> SEQ level0 \*arabic </w:instrText>
      </w:r>
      <w:r w:rsidRPr="00C2011C">
        <w:fldChar w:fldCharType="separate"/>
      </w:r>
      <w:r w:rsidR="008B3B68">
        <w:rPr>
          <w:noProof/>
          <w:lang w:val="en-GB"/>
        </w:rPr>
        <w:t>141</w:t>
      </w:r>
      <w:r w:rsidRPr="00C2011C">
        <w:fldChar w:fldCharType="end"/>
      </w:r>
      <w:r w:rsidRPr="005C48E9">
        <w:rPr>
          <w:lang w:val="en-GB"/>
        </w:rPr>
        <w:t>.  </w:t>
      </w:r>
      <w:r w:rsidRPr="005C48E9" w:rsidR="005C48E9">
        <w:rPr>
          <w:lang w:val="en-GB"/>
        </w:rPr>
        <w:t xml:space="preserve">The purpose of Article 35 § 1, which sets out the rule on exhaustion of domestic remedies, is to afford the Contracting States the opportunity of preventing or putting right the violations alleged against them before those allegations are submitted to the Court (see, </w:t>
      </w:r>
      <w:r w:rsidR="005C48E9">
        <w:rPr>
          <w:lang w:val="en-GB"/>
        </w:rPr>
        <w:t>among other authorities</w:t>
      </w:r>
      <w:r w:rsidRPr="005C48E9" w:rsidR="005C48E9">
        <w:rPr>
          <w:lang w:val="en-GB"/>
        </w:rPr>
        <w:t xml:space="preserve">, </w:t>
      </w:r>
      <w:r w:rsidRPr="005C48E9" w:rsidR="005C48E9">
        <w:rPr>
          <w:i/>
          <w:lang w:val="en-GB"/>
        </w:rPr>
        <w:t>Selmouni v. France</w:t>
      </w:r>
      <w:r w:rsidRPr="005C48E9" w:rsidR="005C48E9">
        <w:rPr>
          <w:lang w:val="en-GB"/>
        </w:rPr>
        <w:t xml:space="preserve"> [GC], no. 25803/94, § 74, ECHR 1999-V</w:t>
      </w:r>
      <w:r w:rsidR="003611AE">
        <w:rPr>
          <w:lang w:val="en-GB"/>
        </w:rPr>
        <w:t>)</w:t>
      </w:r>
      <w:r w:rsidRPr="005C48E9">
        <w:rPr>
          <w:lang w:val="en-GB"/>
        </w:rPr>
        <w:t xml:space="preserve">. </w:t>
      </w:r>
      <w:r w:rsidRPr="005C48E9" w:rsidR="005C48E9">
        <w:rPr>
          <w:lang w:val="en-GB"/>
        </w:rPr>
        <w:t>The rule in Article 35 §</w:t>
      </w:r>
      <w:r w:rsidR="00AF0A1F">
        <w:rPr>
          <w:lang w:val="en-GB"/>
        </w:rPr>
        <w:t xml:space="preserve"> </w:t>
      </w:r>
      <w:r w:rsidRPr="005C48E9" w:rsidR="005C48E9">
        <w:rPr>
          <w:lang w:val="en-GB"/>
        </w:rPr>
        <w:t>1 is based on the assumption, reflected in Article 13 (with which it has a close affinity), that there is an effective domestic remedy available in respect of the alleged breach of an individual</w:t>
      </w:r>
      <w:r w:rsidR="00E6191D">
        <w:rPr>
          <w:lang w:val="en-GB"/>
        </w:rPr>
        <w:t>’</w:t>
      </w:r>
      <w:r w:rsidRPr="005C48E9" w:rsidR="005C48E9">
        <w:rPr>
          <w:lang w:val="en-GB"/>
        </w:rPr>
        <w:t xml:space="preserve">s Convention rights </w:t>
      </w:r>
      <w:r w:rsidRPr="008321D7">
        <w:rPr>
          <w:lang w:val="en-GB" w:eastAsia="en-US"/>
        </w:rPr>
        <w:t>(</w:t>
      </w:r>
      <w:r w:rsidRPr="005C48E9" w:rsidR="005C48E9">
        <w:rPr>
          <w:lang w:val="en-GB" w:eastAsia="en-US"/>
        </w:rPr>
        <w:t>see</w:t>
      </w:r>
      <w:r w:rsidR="005C48E9">
        <w:rPr>
          <w:i/>
          <w:lang w:val="en-GB" w:eastAsia="en-US"/>
        </w:rPr>
        <w:t xml:space="preserve"> </w:t>
      </w:r>
      <w:r w:rsidRPr="005C48E9">
        <w:rPr>
          <w:i/>
          <w:lang w:val="en-GB" w:eastAsia="en-US"/>
        </w:rPr>
        <w:t xml:space="preserve">Kudła </w:t>
      </w:r>
      <w:r w:rsidR="005C48E9">
        <w:rPr>
          <w:i/>
          <w:lang w:val="en-GB" w:eastAsia="en-US"/>
        </w:rPr>
        <w:t>v</w:t>
      </w:r>
      <w:r w:rsidRPr="005C48E9">
        <w:rPr>
          <w:i/>
          <w:lang w:val="en-GB" w:eastAsia="en-US"/>
        </w:rPr>
        <w:t xml:space="preserve">. </w:t>
      </w:r>
      <w:r w:rsidR="005C48E9">
        <w:rPr>
          <w:i/>
          <w:lang w:val="en-GB" w:eastAsia="en-US"/>
        </w:rPr>
        <w:t>Poland</w:t>
      </w:r>
      <w:r w:rsidRPr="005C48E9">
        <w:rPr>
          <w:i/>
          <w:lang w:val="en-GB" w:eastAsia="en-US"/>
        </w:rPr>
        <w:t xml:space="preserve"> </w:t>
      </w:r>
      <w:r w:rsidRPr="005C48E9">
        <w:rPr>
          <w:lang w:val="en-GB" w:eastAsia="en-US"/>
        </w:rPr>
        <w:t xml:space="preserve">[GC], </w:t>
      </w:r>
      <w:r w:rsidR="005C48E9">
        <w:rPr>
          <w:lang w:val="en-GB" w:eastAsia="en-US"/>
        </w:rPr>
        <w:t>no.</w:t>
      </w:r>
      <w:r w:rsidRPr="005C48E9">
        <w:rPr>
          <w:lang w:val="en-GB" w:eastAsia="en-US"/>
        </w:rPr>
        <w:t xml:space="preserve"> 30210/96, § 152, </w:t>
      </w:r>
      <w:r w:rsidR="005C48E9">
        <w:rPr>
          <w:lang w:val="en-GB" w:eastAsia="en-US"/>
        </w:rPr>
        <w:t>ECHR</w:t>
      </w:r>
      <w:r w:rsidR="00407812">
        <w:rPr>
          <w:lang w:val="en-GB" w:eastAsia="en-US"/>
        </w:rPr>
        <w:t xml:space="preserve"> 2000-</w:t>
      </w:r>
      <w:r w:rsidRPr="005C48E9">
        <w:rPr>
          <w:lang w:val="en-GB" w:eastAsia="en-US"/>
        </w:rPr>
        <w:t>XI)</w:t>
      </w:r>
      <w:r w:rsidRPr="005C48E9">
        <w:rPr>
          <w:lang w:val="en-GB"/>
        </w:rPr>
        <w:t>.</w:t>
      </w:r>
    </w:p>
    <w:p w:rsidRPr="003611AE" w:rsidR="00F8606D" w:rsidP="003611AE" w:rsidRDefault="00F8606D">
      <w:pPr>
        <w:pStyle w:val="JuPara"/>
        <w:rPr>
          <w:lang w:val="en-GB"/>
        </w:rPr>
      </w:pPr>
      <w:r w:rsidRPr="00C2011C">
        <w:fldChar w:fldCharType="begin"/>
      </w:r>
      <w:r w:rsidRPr="002905F4">
        <w:rPr>
          <w:lang w:val="en-GB"/>
        </w:rPr>
        <w:instrText xml:space="preserve"> SEQ level0 \*arabic </w:instrText>
      </w:r>
      <w:r w:rsidRPr="00C2011C">
        <w:fldChar w:fldCharType="separate"/>
      </w:r>
      <w:r w:rsidR="008B3B68">
        <w:rPr>
          <w:noProof/>
          <w:lang w:val="en-GB"/>
        </w:rPr>
        <w:t>142</w:t>
      </w:r>
      <w:r w:rsidRPr="00C2011C">
        <w:fldChar w:fldCharType="end"/>
      </w:r>
      <w:r w:rsidRPr="002905F4">
        <w:rPr>
          <w:lang w:val="en-GB"/>
        </w:rPr>
        <w:t>.  </w:t>
      </w:r>
      <w:r w:rsidRPr="002905F4" w:rsidR="005C48E9">
        <w:rPr>
          <w:lang w:val="en-GB"/>
        </w:rPr>
        <w:t xml:space="preserve">Nevertheless, the only remedies </w:t>
      </w:r>
      <w:r w:rsidR="009742DA">
        <w:rPr>
          <w:lang w:val="en-GB"/>
        </w:rPr>
        <w:t>Article 35 of the Convention requires to be</w:t>
      </w:r>
      <w:r w:rsidRPr="002905F4" w:rsidR="005C48E9">
        <w:rPr>
          <w:lang w:val="en-GB"/>
        </w:rPr>
        <w:t xml:space="preserve"> exhausted are those that relate to the breaches alleged and at the same time are available and sufficient</w:t>
      </w:r>
      <w:r w:rsidRPr="002905F4">
        <w:rPr>
          <w:lang w:val="en-GB"/>
        </w:rPr>
        <w:t xml:space="preserve">. </w:t>
      </w:r>
      <w:r w:rsidRPr="003611AE" w:rsidR="005C48E9">
        <w:rPr>
          <w:lang w:val="en-GB"/>
        </w:rPr>
        <w:t>The existence of such remedies must be sufficiently certain not only in theory but also in practice, failing which they will lack the requisite accessibility and effectiveness</w:t>
      </w:r>
      <w:r w:rsidRPr="003611AE">
        <w:rPr>
          <w:lang w:val="en-GB"/>
        </w:rPr>
        <w:t xml:space="preserve"> (</w:t>
      </w:r>
      <w:r w:rsidRPr="003611AE" w:rsidR="005C48E9">
        <w:rPr>
          <w:lang w:val="en-GB"/>
        </w:rPr>
        <w:t>see</w:t>
      </w:r>
      <w:r w:rsidRPr="003611AE">
        <w:rPr>
          <w:lang w:val="en-GB"/>
        </w:rPr>
        <w:t xml:space="preserve">, </w:t>
      </w:r>
      <w:r w:rsidRPr="003611AE" w:rsidR="005C48E9">
        <w:rPr>
          <w:i/>
          <w:lang w:val="en-GB"/>
        </w:rPr>
        <w:t>inter alia</w:t>
      </w:r>
      <w:r w:rsidRPr="003611AE">
        <w:rPr>
          <w:lang w:val="en-GB"/>
        </w:rPr>
        <w:t xml:space="preserve">, </w:t>
      </w:r>
      <w:r w:rsidRPr="003611AE" w:rsidR="003611AE">
        <w:rPr>
          <w:i/>
          <w:lang w:val="en-GB"/>
        </w:rPr>
        <w:t>Vernillo v. France</w:t>
      </w:r>
      <w:r w:rsidRPr="003611AE" w:rsidR="003611AE">
        <w:rPr>
          <w:lang w:val="en-GB"/>
        </w:rPr>
        <w:t xml:space="preserve">, 20 February 1991, </w:t>
      </w:r>
      <w:r w:rsidR="009A0953">
        <w:rPr>
          <w:lang w:val="en-GB"/>
        </w:rPr>
        <w:t xml:space="preserve">§ 27, </w:t>
      </w:r>
      <w:r w:rsidRPr="003611AE" w:rsidR="003611AE">
        <w:rPr>
          <w:lang w:val="en-GB"/>
        </w:rPr>
        <w:t>Series A no. 198</w:t>
      </w:r>
      <w:r w:rsidRPr="003611AE">
        <w:rPr>
          <w:lang w:val="en-GB"/>
        </w:rPr>
        <w:t xml:space="preserve">; </w:t>
      </w:r>
      <w:r w:rsidRPr="003611AE" w:rsidR="003611AE">
        <w:rPr>
          <w:i/>
          <w:lang w:val="en-GB"/>
        </w:rPr>
        <w:t>Dalia v. France</w:t>
      </w:r>
      <w:r w:rsidRPr="003611AE" w:rsidR="003611AE">
        <w:rPr>
          <w:lang w:val="en-GB"/>
        </w:rPr>
        <w:t xml:space="preserve">, 19 February 1998, </w:t>
      </w:r>
      <w:r w:rsidR="009A0953">
        <w:rPr>
          <w:lang w:val="en-GB"/>
        </w:rPr>
        <w:t xml:space="preserve">§ 38, </w:t>
      </w:r>
      <w:r w:rsidRPr="003611AE" w:rsidR="003611AE">
        <w:rPr>
          <w:i/>
          <w:lang w:val="en-GB"/>
        </w:rPr>
        <w:t xml:space="preserve">Reports </w:t>
      </w:r>
      <w:r w:rsidR="00E54656">
        <w:rPr>
          <w:lang w:val="en-GB"/>
        </w:rPr>
        <w:t>1998-</w:t>
      </w:r>
      <w:r w:rsidRPr="003611AE" w:rsidR="003611AE">
        <w:rPr>
          <w:lang w:val="en-GB"/>
        </w:rPr>
        <w:t>I</w:t>
      </w:r>
      <w:r w:rsidRPr="003611AE">
        <w:rPr>
          <w:lang w:val="en-GB"/>
        </w:rPr>
        <w:t>;</w:t>
      </w:r>
      <w:r w:rsidRPr="003611AE">
        <w:rPr>
          <w:i/>
          <w:lang w:val="en-GB"/>
        </w:rPr>
        <w:t xml:space="preserve"> </w:t>
      </w:r>
      <w:r w:rsidR="003611AE">
        <w:rPr>
          <w:lang w:val="en-GB"/>
        </w:rPr>
        <w:t xml:space="preserve">and </w:t>
      </w:r>
      <w:r w:rsidRPr="003611AE" w:rsidR="003611AE">
        <w:rPr>
          <w:i/>
          <w:lang w:val="en-GB"/>
        </w:rPr>
        <w:t>Mifsud v. France</w:t>
      </w:r>
      <w:r w:rsidRPr="003611AE" w:rsidR="003611AE">
        <w:rPr>
          <w:lang w:val="en-GB"/>
        </w:rPr>
        <w:t xml:space="preserve"> (dec.</w:t>
      </w:r>
      <w:r w:rsidR="00E54656">
        <w:rPr>
          <w:lang w:val="en-GB"/>
        </w:rPr>
        <w:t>) [GC], no. 57220/00, ECHR 2002-</w:t>
      </w:r>
      <w:r w:rsidRPr="003611AE" w:rsidR="003611AE">
        <w:rPr>
          <w:lang w:val="en-GB"/>
        </w:rPr>
        <w:t>VIII</w:t>
      </w:r>
      <w:r w:rsidR="003611AE">
        <w:rPr>
          <w:lang w:val="en-GB"/>
        </w:rPr>
        <w:t>).</w:t>
      </w:r>
    </w:p>
    <w:p w:rsidR="00967E1F" w:rsidP="00F8606D" w:rsidRDefault="00F8606D">
      <w:pPr>
        <w:pStyle w:val="JuParaChar1"/>
        <w:rPr>
          <w:snapToGrid w:val="0"/>
          <w:lang w:val="en-GB" w:eastAsia="en-US"/>
        </w:rPr>
      </w:pPr>
      <w:r w:rsidRPr="00C2011C">
        <w:rPr>
          <w:snapToGrid w:val="0"/>
          <w:lang w:eastAsia="en-US"/>
        </w:rPr>
        <w:fldChar w:fldCharType="begin"/>
      </w:r>
      <w:r w:rsidRPr="002A0715">
        <w:rPr>
          <w:snapToGrid w:val="0"/>
          <w:lang w:val="en-GB" w:eastAsia="en-US"/>
        </w:rPr>
        <w:instrText xml:space="preserve"> SEQ level0 \*arabic </w:instrText>
      </w:r>
      <w:r w:rsidRPr="00C2011C">
        <w:rPr>
          <w:snapToGrid w:val="0"/>
          <w:lang w:eastAsia="en-US"/>
        </w:rPr>
        <w:fldChar w:fldCharType="separate"/>
      </w:r>
      <w:r w:rsidR="008B3B68">
        <w:rPr>
          <w:noProof/>
          <w:snapToGrid w:val="0"/>
          <w:lang w:val="en-GB" w:eastAsia="en-US"/>
        </w:rPr>
        <w:t>143</w:t>
      </w:r>
      <w:r w:rsidRPr="00C2011C">
        <w:rPr>
          <w:snapToGrid w:val="0"/>
          <w:lang w:eastAsia="en-US"/>
        </w:rPr>
        <w:fldChar w:fldCharType="end"/>
      </w:r>
      <w:r w:rsidRPr="002A0715">
        <w:rPr>
          <w:snapToGrid w:val="0"/>
          <w:lang w:val="en-GB" w:eastAsia="en-US"/>
        </w:rPr>
        <w:t>.  </w:t>
      </w:r>
      <w:r w:rsidR="00D822B1">
        <w:rPr>
          <w:snapToGrid w:val="0"/>
          <w:lang w:val="en-GB" w:eastAsia="en-US"/>
        </w:rPr>
        <w:t>By enacting</w:t>
      </w:r>
      <w:r w:rsidRPr="005C48E9" w:rsidR="005C48E9">
        <w:rPr>
          <w:snapToGrid w:val="0"/>
          <w:lang w:val="en-GB" w:eastAsia="en-US"/>
        </w:rPr>
        <w:t xml:space="preserve"> the P</w:t>
      </w:r>
      <w:r w:rsidRPr="005C48E9">
        <w:rPr>
          <w:snapToGrid w:val="0"/>
          <w:lang w:val="en-GB" w:eastAsia="en-US"/>
        </w:rPr>
        <w:t>into</w:t>
      </w:r>
      <w:r w:rsidRPr="005C48E9" w:rsidR="005C48E9">
        <w:rPr>
          <w:snapToGrid w:val="0"/>
          <w:lang w:val="en-GB" w:eastAsia="en-US"/>
        </w:rPr>
        <w:t xml:space="preserve"> Act</w:t>
      </w:r>
      <w:r w:rsidRPr="005C48E9">
        <w:rPr>
          <w:snapToGrid w:val="0"/>
          <w:lang w:val="en-GB" w:eastAsia="en-US"/>
        </w:rPr>
        <w:t>,</w:t>
      </w:r>
      <w:r w:rsidRPr="005C48E9" w:rsidR="005C48E9">
        <w:rPr>
          <w:snapToGrid w:val="0"/>
          <w:lang w:val="en-GB" w:eastAsia="en-US"/>
        </w:rPr>
        <w:t xml:space="preserve"> </w:t>
      </w:r>
      <w:smartTag w:uri="urn:schemas-microsoft-com:office:smarttags" w:element="place">
        <w:smartTag w:uri="urn:schemas-microsoft-com:office:smarttags" w:element="country-region">
          <w:r w:rsidR="005C48E9" w:rsidRPr="005C48E9">
            <w:rPr>
              <w:snapToGrid w:val="0"/>
              <w:lang w:val="en-GB" w:eastAsia="en-US"/>
            </w:rPr>
            <w:t>Italy</w:t>
          </w:r>
        </w:smartTag>
      </w:smartTag>
      <w:r w:rsidRPr="005C48E9" w:rsidR="005C48E9">
        <w:rPr>
          <w:snapToGrid w:val="0"/>
          <w:lang w:val="en-GB" w:eastAsia="en-US"/>
        </w:rPr>
        <w:t xml:space="preserve"> introduced a purely compensatory remedy for cases in which </w:t>
      </w:r>
      <w:r w:rsidR="005C48E9">
        <w:rPr>
          <w:snapToGrid w:val="0"/>
          <w:lang w:val="en-GB" w:eastAsia="en-US"/>
        </w:rPr>
        <w:t>there had been a breach of the reasonable-time</w:t>
      </w:r>
      <w:r w:rsidRPr="005C48E9" w:rsidR="005C48E9">
        <w:rPr>
          <w:snapToGrid w:val="0"/>
          <w:lang w:val="en-GB" w:eastAsia="en-US"/>
        </w:rPr>
        <w:t xml:space="preserve"> </w:t>
      </w:r>
      <w:r w:rsidR="00006B2F">
        <w:rPr>
          <w:snapToGrid w:val="0"/>
          <w:lang w:val="en-GB" w:eastAsia="en-US"/>
        </w:rPr>
        <w:t>requirement</w:t>
      </w:r>
      <w:r w:rsidRPr="005C48E9" w:rsidR="005C48E9">
        <w:rPr>
          <w:snapToGrid w:val="0"/>
          <w:lang w:val="en-GB" w:eastAsia="en-US"/>
        </w:rPr>
        <w:t xml:space="preserve"> </w:t>
      </w:r>
      <w:r w:rsidRPr="005C48E9">
        <w:rPr>
          <w:snapToGrid w:val="0"/>
          <w:lang w:val="en-GB" w:eastAsia="en-US"/>
        </w:rPr>
        <w:t>(</w:t>
      </w:r>
      <w:r w:rsidRPr="005C48E9" w:rsidR="005C48E9">
        <w:rPr>
          <w:snapToGrid w:val="0"/>
          <w:lang w:val="en-GB" w:eastAsia="en-US"/>
        </w:rPr>
        <w:t>see paragraph</w:t>
      </w:r>
      <w:r w:rsidRPr="005C48E9">
        <w:rPr>
          <w:b/>
          <w:snapToGrid w:val="0"/>
          <w:lang w:val="en-GB" w:eastAsia="en-US"/>
        </w:rPr>
        <w:t xml:space="preserve"> </w:t>
      </w:r>
      <w:r w:rsidRPr="005C48E9">
        <w:rPr>
          <w:snapToGrid w:val="0"/>
          <w:lang w:val="en-GB" w:eastAsia="en-US"/>
        </w:rPr>
        <w:t xml:space="preserve">62 </w:t>
      </w:r>
      <w:r w:rsidRPr="005C48E9" w:rsidR="005C48E9">
        <w:rPr>
          <w:snapToGrid w:val="0"/>
          <w:lang w:val="en-GB" w:eastAsia="en-US"/>
        </w:rPr>
        <w:t>above</w:t>
      </w:r>
      <w:r w:rsidRPr="005C48E9">
        <w:rPr>
          <w:snapToGrid w:val="0"/>
          <w:lang w:val="en-GB" w:eastAsia="en-US"/>
        </w:rPr>
        <w:t>).</w:t>
      </w:r>
    </w:p>
    <w:p w:rsidRPr="000976E6" w:rsidR="00F8606D" w:rsidP="00B910CA" w:rsidRDefault="00F8606D">
      <w:pPr>
        <w:pStyle w:val="JuPara"/>
        <w:rPr>
          <w:lang w:val="en-GB"/>
        </w:rPr>
      </w:pPr>
      <w:r w:rsidRPr="00C2011C">
        <w:rPr>
          <w:snapToGrid w:val="0"/>
          <w:lang w:eastAsia="en-US"/>
        </w:rPr>
        <w:fldChar w:fldCharType="begin"/>
      </w:r>
      <w:r w:rsidRPr="002905F4">
        <w:rPr>
          <w:snapToGrid w:val="0"/>
          <w:lang w:val="en-GB" w:eastAsia="en-US"/>
        </w:rPr>
        <w:instrText xml:space="preserve"> SEQ level0 \*arabic </w:instrText>
      </w:r>
      <w:r w:rsidRPr="00C2011C">
        <w:rPr>
          <w:snapToGrid w:val="0"/>
          <w:lang w:eastAsia="en-US"/>
        </w:rPr>
        <w:fldChar w:fldCharType="separate"/>
      </w:r>
      <w:r w:rsidR="008B3B68">
        <w:rPr>
          <w:noProof/>
          <w:snapToGrid w:val="0"/>
          <w:lang w:val="en-GB" w:eastAsia="en-US"/>
        </w:rPr>
        <w:t>144</w:t>
      </w:r>
      <w:r w:rsidRPr="00C2011C">
        <w:rPr>
          <w:snapToGrid w:val="0"/>
          <w:lang w:eastAsia="en-US"/>
        </w:rPr>
        <w:fldChar w:fldCharType="end"/>
      </w:r>
      <w:r w:rsidRPr="002905F4">
        <w:rPr>
          <w:snapToGrid w:val="0"/>
          <w:lang w:val="en-GB" w:eastAsia="en-US"/>
        </w:rPr>
        <w:t>.  </w:t>
      </w:r>
      <w:r w:rsidRPr="003611AE" w:rsidR="00851F05">
        <w:rPr>
          <w:snapToGrid w:val="0"/>
          <w:lang w:val="en-GB" w:eastAsia="en-US"/>
        </w:rPr>
        <w:t>The Court has</w:t>
      </w:r>
      <w:r w:rsidRPr="00851F05" w:rsidR="00851F05">
        <w:rPr>
          <w:snapToGrid w:val="0"/>
          <w:lang w:val="en-GB" w:eastAsia="en-US"/>
        </w:rPr>
        <w:t xml:space="preserve"> already</w:t>
      </w:r>
      <w:r w:rsidRPr="003611AE" w:rsidR="00851F05">
        <w:rPr>
          <w:snapToGrid w:val="0"/>
          <w:lang w:val="en-GB" w:eastAsia="en-US"/>
        </w:rPr>
        <w:t xml:space="preserve"> held</w:t>
      </w:r>
      <w:r w:rsidR="00851F05">
        <w:rPr>
          <w:snapToGrid w:val="0"/>
          <w:lang w:val="en-GB" w:eastAsia="en-US"/>
        </w:rPr>
        <w:t xml:space="preserve"> </w:t>
      </w:r>
      <w:r w:rsidRPr="003611AE" w:rsidR="00851F05">
        <w:rPr>
          <w:snapToGrid w:val="0"/>
          <w:lang w:val="en-GB" w:eastAsia="en-US"/>
        </w:rPr>
        <w:t xml:space="preserve">that </w:t>
      </w:r>
      <w:r w:rsidRPr="00851F05" w:rsidR="00851F05">
        <w:rPr>
          <w:snapToGrid w:val="0"/>
          <w:lang w:val="en-GB" w:eastAsia="en-US"/>
        </w:rPr>
        <w:t>the remedy before</w:t>
      </w:r>
      <w:r w:rsidR="00851F05">
        <w:rPr>
          <w:snapToGrid w:val="0"/>
          <w:lang w:val="en-GB" w:eastAsia="en-US"/>
        </w:rPr>
        <w:t xml:space="preserve"> the courts of appeal</w:t>
      </w:r>
      <w:r w:rsidRPr="003611AE" w:rsidR="00851F05">
        <w:rPr>
          <w:snapToGrid w:val="0"/>
          <w:lang w:val="en-GB" w:eastAsia="en-US"/>
        </w:rPr>
        <w:t xml:space="preserve"> introduced by the Pinto Act </w:t>
      </w:r>
      <w:r w:rsidRPr="00851F05" w:rsidR="00851F05">
        <w:rPr>
          <w:snapToGrid w:val="0"/>
          <w:lang w:val="en-GB" w:eastAsia="en-US"/>
        </w:rPr>
        <w:t>was</w:t>
      </w:r>
      <w:r w:rsidRPr="003611AE" w:rsidR="00851F05">
        <w:rPr>
          <w:snapToGrid w:val="0"/>
          <w:lang w:val="en-GB" w:eastAsia="en-US"/>
        </w:rPr>
        <w:t xml:space="preserve"> accessible and that there </w:t>
      </w:r>
      <w:r w:rsidR="00851F05">
        <w:rPr>
          <w:snapToGrid w:val="0"/>
          <w:lang w:val="en-GB" w:eastAsia="en-US"/>
        </w:rPr>
        <w:t>was</w:t>
      </w:r>
      <w:r w:rsidRPr="003611AE" w:rsidR="00851F05">
        <w:rPr>
          <w:snapToGrid w:val="0"/>
          <w:lang w:val="en-GB" w:eastAsia="en-US"/>
        </w:rPr>
        <w:t xml:space="preserve"> no reason to question </w:t>
      </w:r>
      <w:r w:rsidRPr="00851F05" w:rsidR="00851F05">
        <w:rPr>
          <w:snapToGrid w:val="0"/>
          <w:lang w:val="en-GB" w:eastAsia="en-US"/>
        </w:rPr>
        <w:t>its</w:t>
      </w:r>
      <w:r w:rsidRPr="003611AE" w:rsidR="00851F05">
        <w:rPr>
          <w:snapToGrid w:val="0"/>
          <w:lang w:val="en-GB" w:eastAsia="en-US"/>
        </w:rPr>
        <w:t xml:space="preserve"> effectiveness</w:t>
      </w:r>
      <w:r w:rsidRPr="00851F05" w:rsidR="00851F05">
        <w:rPr>
          <w:lang w:val="en-GB"/>
        </w:rPr>
        <w:t xml:space="preserve"> </w:t>
      </w:r>
      <w:r w:rsidRPr="003611AE">
        <w:rPr>
          <w:snapToGrid w:val="0"/>
          <w:lang w:val="en-GB" w:eastAsia="en-US"/>
        </w:rPr>
        <w:t>(</w:t>
      </w:r>
      <w:r w:rsidRPr="003611AE" w:rsidR="003611AE">
        <w:rPr>
          <w:snapToGrid w:val="0"/>
          <w:lang w:val="en-GB" w:eastAsia="en-US"/>
        </w:rPr>
        <w:t xml:space="preserve">see </w:t>
      </w:r>
      <w:r w:rsidRPr="003611AE" w:rsidR="003611AE">
        <w:rPr>
          <w:i/>
          <w:lang w:val="en-GB"/>
        </w:rPr>
        <w:t>Brusco v. Italy</w:t>
      </w:r>
      <w:r w:rsidRPr="003611AE" w:rsidR="003611AE">
        <w:rPr>
          <w:lang w:val="en-GB"/>
        </w:rPr>
        <w:t xml:space="preserve"> </w:t>
      </w:r>
      <w:r w:rsidR="00E54656">
        <w:rPr>
          <w:lang w:val="en-GB"/>
        </w:rPr>
        <w:t>(dec.), no. 69789/01, ECHR 2001-</w:t>
      </w:r>
      <w:r w:rsidRPr="003611AE" w:rsidR="003611AE">
        <w:rPr>
          <w:lang w:val="en-GB"/>
        </w:rPr>
        <w:t>IX</w:t>
      </w:r>
      <w:r w:rsidRPr="003611AE">
        <w:rPr>
          <w:snapToGrid w:val="0"/>
          <w:lang w:val="en-GB" w:eastAsia="en-US"/>
        </w:rPr>
        <w:t>).</w:t>
      </w:r>
      <w:r w:rsidR="00B910CA">
        <w:rPr>
          <w:snapToGrid w:val="0"/>
          <w:lang w:val="en-GB" w:eastAsia="en-US"/>
        </w:rPr>
        <w:t xml:space="preserve"> </w:t>
      </w:r>
      <w:r w:rsidRPr="00B910CA" w:rsidR="00B910CA">
        <w:rPr>
          <w:snapToGrid w:val="0"/>
          <w:lang w:val="en-GB" w:eastAsia="en-US"/>
        </w:rPr>
        <w:t>Moreover, h</w:t>
      </w:r>
      <w:r w:rsidRPr="00B910CA" w:rsidR="006C414B">
        <w:rPr>
          <w:snapToGrid w:val="0"/>
          <w:lang w:val="en-GB" w:eastAsia="en-US"/>
        </w:rPr>
        <w:t xml:space="preserve">aving regard to the nature of the Pinto Act and the context in which it was passed, the Court went on to find that there were grounds for departing from the general principle that the exhaustion requirement should be assessed with reference to </w:t>
      </w:r>
      <w:r w:rsidR="00B7372C">
        <w:rPr>
          <w:snapToGrid w:val="0"/>
          <w:lang w:val="en-GB" w:eastAsia="en-US"/>
        </w:rPr>
        <w:t>when</w:t>
      </w:r>
      <w:r w:rsidRPr="00B910CA" w:rsidR="006C414B">
        <w:rPr>
          <w:snapToGrid w:val="0"/>
          <w:lang w:val="en-GB" w:eastAsia="en-US"/>
        </w:rPr>
        <w:t xml:space="preserve"> the application </w:t>
      </w:r>
      <w:r w:rsidRPr="00B910CA" w:rsidR="008321D7">
        <w:rPr>
          <w:snapToGrid w:val="0"/>
          <w:lang w:val="en-GB" w:eastAsia="en-US"/>
        </w:rPr>
        <w:t>was</w:t>
      </w:r>
      <w:r w:rsidRPr="00B910CA" w:rsidR="00681536">
        <w:rPr>
          <w:snapToGrid w:val="0"/>
          <w:lang w:val="en-GB" w:eastAsia="en-US"/>
        </w:rPr>
        <w:t xml:space="preserve"> </w:t>
      </w:r>
      <w:r w:rsidRPr="00B910CA" w:rsidR="006C414B">
        <w:rPr>
          <w:snapToGrid w:val="0"/>
          <w:lang w:val="en-GB" w:eastAsia="en-US"/>
        </w:rPr>
        <w:t>lodged</w:t>
      </w:r>
      <w:r w:rsidRPr="00B910CA" w:rsidR="00B910CA">
        <w:rPr>
          <w:snapToGrid w:val="0"/>
          <w:lang w:val="en-GB" w:eastAsia="en-US"/>
        </w:rPr>
        <w:t xml:space="preserve">. </w:t>
      </w:r>
      <w:r w:rsidRPr="000976E6" w:rsidR="00B910CA">
        <w:rPr>
          <w:snapToGrid w:val="0"/>
          <w:lang w:val="en-GB" w:eastAsia="en-US"/>
        </w:rPr>
        <w:t xml:space="preserve">That was </w:t>
      </w:r>
      <w:r w:rsidR="000976E6">
        <w:rPr>
          <w:snapToGrid w:val="0"/>
          <w:lang w:val="en-GB" w:eastAsia="en-US"/>
        </w:rPr>
        <w:t>the case</w:t>
      </w:r>
      <w:r w:rsidRPr="000976E6">
        <w:rPr>
          <w:lang w:val="en-GB"/>
        </w:rPr>
        <w:t xml:space="preserve"> </w:t>
      </w:r>
      <w:r w:rsidRPr="000976E6" w:rsidR="006C414B">
        <w:rPr>
          <w:lang w:val="en-GB"/>
        </w:rPr>
        <w:t xml:space="preserve">not only in respect of applications lodged after the date on which the Act </w:t>
      </w:r>
      <w:r w:rsidRPr="000976E6" w:rsidR="008321D7">
        <w:rPr>
          <w:lang w:val="en-GB"/>
        </w:rPr>
        <w:t>ca</w:t>
      </w:r>
      <w:r w:rsidRPr="000976E6" w:rsidR="00681536">
        <w:rPr>
          <w:lang w:val="en-GB"/>
        </w:rPr>
        <w:t>me</w:t>
      </w:r>
      <w:r w:rsidRPr="000976E6" w:rsidR="006C414B">
        <w:rPr>
          <w:lang w:val="en-GB"/>
        </w:rPr>
        <w:t xml:space="preserve"> into force, but also of those which </w:t>
      </w:r>
      <w:r w:rsidRPr="000976E6" w:rsidR="008321D7">
        <w:rPr>
          <w:lang w:val="en-GB"/>
        </w:rPr>
        <w:t>were</w:t>
      </w:r>
      <w:r w:rsidRPr="000976E6" w:rsidR="006C414B">
        <w:rPr>
          <w:lang w:val="en-GB"/>
        </w:rPr>
        <w:t xml:space="preserve"> already</w:t>
      </w:r>
      <w:r w:rsidRPr="000976E6" w:rsidR="00681536">
        <w:rPr>
          <w:lang w:val="en-GB"/>
        </w:rPr>
        <w:t xml:space="preserve"> </w:t>
      </w:r>
      <w:r w:rsidRPr="000976E6" w:rsidR="006C414B">
        <w:rPr>
          <w:lang w:val="en-GB"/>
        </w:rPr>
        <w:t>on the Court</w:t>
      </w:r>
      <w:r w:rsidR="00E6191D">
        <w:rPr>
          <w:lang w:val="en-GB"/>
        </w:rPr>
        <w:t>’</w:t>
      </w:r>
      <w:r w:rsidRPr="000976E6" w:rsidR="006C414B">
        <w:rPr>
          <w:lang w:val="en-GB"/>
        </w:rPr>
        <w:t>s list of cases by that date</w:t>
      </w:r>
      <w:r w:rsidRPr="000976E6" w:rsidR="00B910CA">
        <w:rPr>
          <w:lang w:val="en-GB"/>
        </w:rPr>
        <w:t xml:space="preserve">. It had </w:t>
      </w:r>
      <w:r w:rsidRPr="000976E6" w:rsidR="000976E6">
        <w:rPr>
          <w:lang w:val="en-GB"/>
        </w:rPr>
        <w:t>taken into consideration</w:t>
      </w:r>
      <w:r w:rsidR="000976E6">
        <w:rPr>
          <w:lang w:val="en-GB"/>
        </w:rPr>
        <w:t>, among other things,</w:t>
      </w:r>
      <w:r w:rsidRPr="000976E6" w:rsidR="006C414B">
        <w:rPr>
          <w:lang w:val="en-GB"/>
        </w:rPr>
        <w:t xml:space="preserve"> the transitional provision provided for in section 6 of the Pinto Act </w:t>
      </w:r>
      <w:r w:rsidRPr="000976E6">
        <w:rPr>
          <w:lang w:val="en-GB"/>
        </w:rPr>
        <w:t>(</w:t>
      </w:r>
      <w:r w:rsidRPr="000976E6" w:rsidR="006C414B">
        <w:rPr>
          <w:lang w:val="en-GB"/>
        </w:rPr>
        <w:t>see paragraph 62 above</w:t>
      </w:r>
      <w:r w:rsidRPr="000976E6">
        <w:rPr>
          <w:lang w:val="en-GB"/>
        </w:rPr>
        <w:t xml:space="preserve">), </w:t>
      </w:r>
      <w:r w:rsidRPr="000976E6" w:rsidR="006C414B">
        <w:rPr>
          <w:lang w:val="en-GB"/>
        </w:rPr>
        <w:t>which afforded Italian litigants a genuine opportunity to obtain redress for their grievances at national level for all applications currently pending before the Court that ha</w:t>
      </w:r>
      <w:r w:rsidRPr="000976E6" w:rsidR="00681536">
        <w:rPr>
          <w:lang w:val="en-GB"/>
        </w:rPr>
        <w:t>d</w:t>
      </w:r>
      <w:r w:rsidRPr="000976E6" w:rsidR="006C414B">
        <w:rPr>
          <w:lang w:val="en-GB"/>
        </w:rPr>
        <w:t xml:space="preserve"> not yet been declared admissible </w:t>
      </w:r>
      <w:r w:rsidRPr="000976E6">
        <w:rPr>
          <w:snapToGrid w:val="0"/>
          <w:lang w:val="en-GB" w:eastAsia="en-US"/>
        </w:rPr>
        <w:t>(</w:t>
      </w:r>
      <w:r w:rsidRPr="000976E6" w:rsidR="006C414B">
        <w:rPr>
          <w:snapToGrid w:val="0"/>
          <w:lang w:val="en-GB" w:eastAsia="en-US"/>
        </w:rPr>
        <w:t>see</w:t>
      </w:r>
      <w:r w:rsidRPr="000976E6" w:rsidR="006C414B">
        <w:rPr>
          <w:i/>
          <w:snapToGrid w:val="0"/>
          <w:lang w:val="en-GB" w:eastAsia="en-US"/>
        </w:rPr>
        <w:t xml:space="preserve"> </w:t>
      </w:r>
      <w:r w:rsidRPr="000976E6">
        <w:rPr>
          <w:i/>
          <w:snapToGrid w:val="0"/>
          <w:lang w:val="en-GB" w:eastAsia="en-US"/>
        </w:rPr>
        <w:t>Brusco</w:t>
      </w:r>
      <w:r w:rsidRPr="00B7372C">
        <w:rPr>
          <w:snapToGrid w:val="0"/>
          <w:lang w:val="en-GB" w:eastAsia="en-US"/>
        </w:rPr>
        <w:t>,</w:t>
      </w:r>
      <w:r w:rsidRPr="000976E6">
        <w:rPr>
          <w:i/>
          <w:snapToGrid w:val="0"/>
          <w:lang w:val="en-GB" w:eastAsia="en-US"/>
        </w:rPr>
        <w:t xml:space="preserve"> </w:t>
      </w:r>
      <w:r w:rsidR="009A0953">
        <w:rPr>
          <w:snapToGrid w:val="0"/>
          <w:lang w:val="en-GB" w:eastAsia="en-US"/>
        </w:rPr>
        <w:t>cited above</w:t>
      </w:r>
      <w:r w:rsidRPr="000976E6">
        <w:rPr>
          <w:snapToGrid w:val="0"/>
          <w:lang w:val="en-GB" w:eastAsia="en-US"/>
        </w:rPr>
        <w:t>)</w:t>
      </w:r>
      <w:r w:rsidRPr="000976E6">
        <w:rPr>
          <w:lang w:val="en-GB"/>
        </w:rPr>
        <w:t>.</w:t>
      </w:r>
    </w:p>
    <w:p w:rsidRPr="00492DA9" w:rsidR="00F8606D" w:rsidP="00492DA9" w:rsidRDefault="00F8606D">
      <w:pPr>
        <w:pStyle w:val="JuPara"/>
        <w:rPr>
          <w:lang w:val="en-GB" w:eastAsia="en-US"/>
        </w:rPr>
      </w:pPr>
      <w:r w:rsidRPr="00C2011C">
        <w:fldChar w:fldCharType="begin"/>
      </w:r>
      <w:r w:rsidRPr="002905F4">
        <w:rPr>
          <w:lang w:val="en-GB"/>
        </w:rPr>
        <w:instrText xml:space="preserve"> SEQ level0 \*arabic </w:instrText>
      </w:r>
      <w:r w:rsidRPr="00C2011C">
        <w:fldChar w:fldCharType="separate"/>
      </w:r>
      <w:r w:rsidR="008B3B68">
        <w:rPr>
          <w:noProof/>
          <w:lang w:val="en-GB"/>
        </w:rPr>
        <w:t>145</w:t>
      </w:r>
      <w:r w:rsidRPr="00C2011C">
        <w:fldChar w:fldCharType="end"/>
      </w:r>
      <w:r w:rsidRPr="002905F4">
        <w:rPr>
          <w:lang w:val="en-GB"/>
        </w:rPr>
        <w:t>.  </w:t>
      </w:r>
      <w:r w:rsidRPr="002905F4" w:rsidR="00F95C24">
        <w:rPr>
          <w:lang w:val="en-GB"/>
        </w:rPr>
        <w:t>In the instant case the Chamber</w:t>
      </w:r>
      <w:r w:rsidR="003D5DEE">
        <w:rPr>
          <w:lang w:val="en-GB"/>
        </w:rPr>
        <w:t xml:space="preserve"> </w:t>
      </w:r>
      <w:r w:rsidRPr="002905F4" w:rsidR="00F95C24">
        <w:rPr>
          <w:lang w:val="en-GB"/>
        </w:rPr>
        <w:t>held that where applicant</w:t>
      </w:r>
      <w:r w:rsidR="008321D7">
        <w:rPr>
          <w:lang w:val="en-GB"/>
        </w:rPr>
        <w:t>s</w:t>
      </w:r>
      <w:r w:rsidRPr="002905F4">
        <w:rPr>
          <w:lang w:val="en-GB"/>
        </w:rPr>
        <w:t xml:space="preserve"> </w:t>
      </w:r>
      <w:r w:rsidRPr="002905F4" w:rsidR="00F95C24">
        <w:rPr>
          <w:lang w:val="en-GB"/>
        </w:rPr>
        <w:t xml:space="preserve">complained only of the amount of compensation and the discrepancy between that </w:t>
      </w:r>
      <w:r w:rsidR="009475BC">
        <w:rPr>
          <w:lang w:val="en-GB"/>
        </w:rPr>
        <w:t xml:space="preserve">amount </w:t>
      </w:r>
      <w:r w:rsidRPr="002905F4" w:rsidR="00F95C24">
        <w:rPr>
          <w:lang w:val="en-GB"/>
        </w:rPr>
        <w:t>and the amount which would have been awarded under A</w:t>
      </w:r>
      <w:r w:rsidRPr="002905F4">
        <w:rPr>
          <w:lang w:val="en-GB"/>
        </w:rPr>
        <w:t xml:space="preserve">rticle 41 </w:t>
      </w:r>
      <w:r w:rsidRPr="002905F4" w:rsidR="00F95C24">
        <w:rPr>
          <w:lang w:val="en-GB"/>
        </w:rPr>
        <w:t>of the</w:t>
      </w:r>
      <w:r w:rsidR="004C51EE">
        <w:rPr>
          <w:lang w:val="en-GB"/>
        </w:rPr>
        <w:t xml:space="preserve"> Convention</w:t>
      </w:r>
      <w:r w:rsidRPr="002905F4">
        <w:rPr>
          <w:lang w:val="en-GB"/>
        </w:rPr>
        <w:t xml:space="preserve"> </w:t>
      </w:r>
      <w:r w:rsidR="008321D7">
        <w:rPr>
          <w:lang w:val="en-GB"/>
        </w:rPr>
        <w:t>they were n</w:t>
      </w:r>
      <w:r w:rsidRPr="002905F4" w:rsidR="00492DA9">
        <w:rPr>
          <w:lang w:val="en-GB"/>
        </w:rPr>
        <w:t>ot required</w:t>
      </w:r>
      <w:r w:rsidR="008321D7">
        <w:rPr>
          <w:lang w:val="en-GB"/>
        </w:rPr>
        <w:t xml:space="preserve"> –</w:t>
      </w:r>
      <w:r w:rsidRPr="002905F4" w:rsidR="00492DA9">
        <w:rPr>
          <w:lang w:val="en-GB"/>
        </w:rPr>
        <w:t xml:space="preserve"> for the purpose of exhausting domestic remedies</w:t>
      </w:r>
      <w:r w:rsidR="008321D7">
        <w:rPr>
          <w:lang w:val="en-GB"/>
        </w:rPr>
        <w:t xml:space="preserve"> –</w:t>
      </w:r>
      <w:r w:rsidRPr="002905F4" w:rsidR="00492DA9">
        <w:rPr>
          <w:lang w:val="en-GB"/>
        </w:rPr>
        <w:t xml:space="preserve"> to appeal to the Court of Cassation against the Court of Appeal</w:t>
      </w:r>
      <w:r w:rsidR="00E6191D">
        <w:rPr>
          <w:lang w:val="en-GB"/>
        </w:rPr>
        <w:t>’</w:t>
      </w:r>
      <w:r w:rsidRPr="002905F4" w:rsidR="00492DA9">
        <w:rPr>
          <w:lang w:val="en-GB"/>
        </w:rPr>
        <w:t>s decision</w:t>
      </w:r>
      <w:r w:rsidRPr="002905F4">
        <w:rPr>
          <w:lang w:val="en-GB"/>
        </w:rPr>
        <w:t xml:space="preserve">. </w:t>
      </w:r>
      <w:r w:rsidR="008321D7">
        <w:rPr>
          <w:lang w:val="en-GB"/>
        </w:rPr>
        <w:t>T</w:t>
      </w:r>
      <w:r w:rsidRPr="00492DA9" w:rsidR="00F95C24">
        <w:rPr>
          <w:lang w:val="en-GB"/>
        </w:rPr>
        <w:t>he Chamber</w:t>
      </w:r>
      <w:r w:rsidR="00E87C15">
        <w:rPr>
          <w:lang w:val="en-GB"/>
        </w:rPr>
        <w:t xml:space="preserve"> </w:t>
      </w:r>
      <w:r w:rsidRPr="00492DA9" w:rsidR="00F95C24">
        <w:rPr>
          <w:lang w:val="en-GB"/>
        </w:rPr>
        <w:t xml:space="preserve">based </w:t>
      </w:r>
      <w:r w:rsidR="008321D7">
        <w:rPr>
          <w:lang w:val="en-GB"/>
        </w:rPr>
        <w:t>that conclusion</w:t>
      </w:r>
      <w:r w:rsidRPr="00492DA9" w:rsidR="00F95C24">
        <w:rPr>
          <w:lang w:val="en-GB"/>
        </w:rPr>
        <w:t xml:space="preserve"> on a</w:t>
      </w:r>
      <w:r w:rsidR="00594B4F">
        <w:rPr>
          <w:lang w:val="en-GB"/>
        </w:rPr>
        <w:t xml:space="preserve"> study</w:t>
      </w:r>
      <w:r w:rsidRPr="00492DA9" w:rsidR="00F95C24">
        <w:rPr>
          <w:lang w:val="en-GB"/>
        </w:rPr>
        <w:t xml:space="preserve"> of some one hundred Court of C</w:t>
      </w:r>
      <w:r w:rsidRPr="00492DA9">
        <w:rPr>
          <w:lang w:val="en-GB"/>
        </w:rPr>
        <w:t>assation</w:t>
      </w:r>
      <w:r w:rsidRPr="00E87C15" w:rsidR="00E87C15">
        <w:rPr>
          <w:lang w:val="en-GB"/>
        </w:rPr>
        <w:t xml:space="preserve"> </w:t>
      </w:r>
      <w:r w:rsidRPr="00492DA9" w:rsidR="00E87C15">
        <w:rPr>
          <w:lang w:val="en-GB"/>
        </w:rPr>
        <w:t>judgments</w:t>
      </w:r>
      <w:r w:rsidRPr="00492DA9" w:rsidR="00492DA9">
        <w:rPr>
          <w:lang w:val="en-GB"/>
        </w:rPr>
        <w:t>. In</w:t>
      </w:r>
      <w:r w:rsidRPr="00492DA9">
        <w:rPr>
          <w:lang w:val="en-GB"/>
        </w:rPr>
        <w:t xml:space="preserve"> </w:t>
      </w:r>
      <w:r w:rsidRPr="00492DA9" w:rsidR="00F95C24">
        <w:rPr>
          <w:lang w:val="en-GB"/>
        </w:rPr>
        <w:t xml:space="preserve">none of </w:t>
      </w:r>
      <w:r w:rsidRPr="00492DA9" w:rsidR="00492DA9">
        <w:rPr>
          <w:lang w:val="en-GB"/>
        </w:rPr>
        <w:t xml:space="preserve">those judgments had that court </w:t>
      </w:r>
      <w:r w:rsidR="008321D7">
        <w:rPr>
          <w:lang w:val="en-GB"/>
        </w:rPr>
        <w:t>entertained</w:t>
      </w:r>
      <w:r w:rsidRPr="00492DA9">
        <w:rPr>
          <w:lang w:val="en-GB"/>
        </w:rPr>
        <w:t xml:space="preserve"> </w:t>
      </w:r>
      <w:r w:rsidRPr="00492DA9" w:rsidR="00492DA9">
        <w:rPr>
          <w:lang w:val="en-GB"/>
        </w:rPr>
        <w:t xml:space="preserve">a complaint </w:t>
      </w:r>
      <w:r w:rsidR="00492DA9">
        <w:rPr>
          <w:lang w:val="en-GB"/>
        </w:rPr>
        <w:t>to</w:t>
      </w:r>
      <w:r w:rsidRPr="00492DA9" w:rsidR="00492DA9">
        <w:rPr>
          <w:lang w:val="en-GB"/>
        </w:rPr>
        <w:t xml:space="preserve"> the</w:t>
      </w:r>
      <w:r w:rsidR="00492DA9">
        <w:rPr>
          <w:lang w:val="en-GB"/>
        </w:rPr>
        <w:t xml:space="preserve"> </w:t>
      </w:r>
      <w:r w:rsidR="008321D7">
        <w:rPr>
          <w:lang w:val="en-GB"/>
        </w:rPr>
        <w:t>effect</w:t>
      </w:r>
      <w:r w:rsidR="00492DA9">
        <w:rPr>
          <w:lang w:val="en-GB"/>
        </w:rPr>
        <w:t xml:space="preserve"> that the amount awarded by the Court of Appeal was insufficient</w:t>
      </w:r>
      <w:r w:rsidRPr="00492DA9">
        <w:rPr>
          <w:lang w:val="en-GB"/>
        </w:rPr>
        <w:t xml:space="preserve"> </w:t>
      </w:r>
      <w:r w:rsidR="008321D7">
        <w:rPr>
          <w:lang w:val="en-GB"/>
        </w:rPr>
        <w:t>in relation to</w:t>
      </w:r>
      <w:r w:rsidR="00492DA9">
        <w:rPr>
          <w:lang w:val="en-GB"/>
        </w:rPr>
        <w:t xml:space="preserve"> the loss alleged or inadequate </w:t>
      </w:r>
      <w:r w:rsidR="008321D7">
        <w:rPr>
          <w:lang w:val="en-GB"/>
        </w:rPr>
        <w:t xml:space="preserve">in the light of </w:t>
      </w:r>
      <w:r w:rsidR="00492DA9">
        <w:rPr>
          <w:lang w:val="en-GB"/>
        </w:rPr>
        <w:t xml:space="preserve">the </w:t>
      </w:r>
      <w:smartTag w:uri="urn:schemas-microsoft-com:office:smarttags" w:element="place">
        <w:smartTag w:uri="urn:schemas-microsoft-com:office:smarttags" w:element="City">
          <w:r w:rsidRPr="00492DA9">
            <w:rPr>
              <w:lang w:val="en-GB"/>
            </w:rPr>
            <w:t>Strasbourg</w:t>
          </w:r>
        </w:smartTag>
      </w:smartTag>
      <w:r w:rsidR="00492DA9">
        <w:rPr>
          <w:lang w:val="en-GB"/>
        </w:rPr>
        <w:t xml:space="preserve"> case-law</w:t>
      </w:r>
      <w:r w:rsidRPr="00492DA9">
        <w:rPr>
          <w:lang w:val="en-GB"/>
        </w:rPr>
        <w:t xml:space="preserve"> (</w:t>
      </w:r>
      <w:r w:rsidRPr="00492DA9" w:rsidR="00492DA9">
        <w:rPr>
          <w:lang w:val="en-GB" w:eastAsia="en-US"/>
        </w:rPr>
        <w:t>see the extract</w:t>
      </w:r>
      <w:r w:rsidR="00B7372C">
        <w:rPr>
          <w:lang w:val="en-GB" w:eastAsia="en-US"/>
        </w:rPr>
        <w:t xml:space="preserve"> of the </w:t>
      </w:r>
      <w:r w:rsidR="009A0953">
        <w:rPr>
          <w:i/>
          <w:lang w:val="en-GB" w:eastAsia="en-US"/>
        </w:rPr>
        <w:t xml:space="preserve">Scordino </w:t>
      </w:r>
      <w:r w:rsidR="00B7372C">
        <w:rPr>
          <w:lang w:val="en-GB" w:eastAsia="en-US"/>
        </w:rPr>
        <w:t>admissibility decision</w:t>
      </w:r>
      <w:r w:rsidRPr="00492DA9" w:rsidR="00492DA9">
        <w:rPr>
          <w:lang w:val="en-GB" w:eastAsia="en-US"/>
        </w:rPr>
        <w:t xml:space="preserve"> quoted in</w:t>
      </w:r>
      <w:r w:rsidRPr="00492DA9">
        <w:rPr>
          <w:lang w:val="en-GB" w:eastAsia="en-US"/>
        </w:rPr>
        <w:t xml:space="preserve"> paragraph</w:t>
      </w:r>
      <w:r w:rsidRPr="00492DA9" w:rsidR="00492DA9">
        <w:rPr>
          <w:lang w:val="en-GB" w:eastAsia="en-US"/>
        </w:rPr>
        <w:t xml:space="preserve"> </w:t>
      </w:r>
      <w:r w:rsidR="0034141E">
        <w:rPr>
          <w:lang w:val="en-GB" w:eastAsia="en-US"/>
        </w:rPr>
        <w:t>13</w:t>
      </w:r>
      <w:r w:rsidR="00566BA5">
        <w:rPr>
          <w:lang w:val="en-GB" w:eastAsia="en-US"/>
        </w:rPr>
        <w:t>6</w:t>
      </w:r>
      <w:r w:rsidRPr="00492DA9" w:rsidR="00492DA9">
        <w:rPr>
          <w:lang w:val="en-GB" w:eastAsia="en-US"/>
        </w:rPr>
        <w:t xml:space="preserve"> above</w:t>
      </w:r>
      <w:r w:rsidRPr="00492DA9">
        <w:rPr>
          <w:lang w:val="en-GB" w:eastAsia="en-US"/>
        </w:rPr>
        <w:t>)</w:t>
      </w:r>
      <w:r w:rsidR="00512FB4">
        <w:rPr>
          <w:lang w:val="en-GB"/>
        </w:rPr>
        <w:t>.</w:t>
      </w:r>
    </w:p>
    <w:p w:rsidRPr="002A0715" w:rsidR="00F8606D" w:rsidP="00F8606D" w:rsidRDefault="00F8606D">
      <w:pPr>
        <w:pStyle w:val="JuParaChar1"/>
        <w:rPr>
          <w:i/>
          <w:iCs/>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146</w:t>
      </w:r>
      <w:r w:rsidRPr="00C2011C">
        <w:fldChar w:fldCharType="end"/>
      </w:r>
      <w:r w:rsidRPr="002A0715">
        <w:rPr>
          <w:lang w:val="en-GB"/>
        </w:rPr>
        <w:t>.  </w:t>
      </w:r>
      <w:r w:rsidRPr="00F95C24" w:rsidR="00F95C24">
        <w:rPr>
          <w:lang w:val="en-GB"/>
        </w:rPr>
        <w:t>The Court notes that on</w:t>
      </w:r>
      <w:r w:rsidRPr="00F95C24">
        <w:rPr>
          <w:lang w:val="en-GB"/>
        </w:rPr>
        <w:t xml:space="preserve"> </w:t>
      </w:r>
      <w:smartTag w:uri="urn:schemas-microsoft-com:office:smarttags" w:element="date">
        <w:smartTagPr>
          <w:attr w:name="Month" w:val="1"/>
          <w:attr w:name="Day" w:val="26"/>
          <w:attr w:name="Year" w:val="2004"/>
        </w:smartTagPr>
        <w:r w:rsidRPr="00F95C24">
          <w:rPr>
            <w:lang w:val="en-GB"/>
          </w:rPr>
          <w:t xml:space="preserve">26 </w:t>
        </w:r>
        <w:r w:rsidR="00F95C24" w:rsidRPr="00F95C24">
          <w:rPr>
            <w:lang w:val="en-GB"/>
          </w:rPr>
          <w:t>January 2004</w:t>
        </w:r>
      </w:smartTag>
      <w:r w:rsidRPr="00F95C24" w:rsidR="00F95C24">
        <w:rPr>
          <w:lang w:val="en-GB"/>
        </w:rPr>
        <w:t xml:space="preserve"> the</w:t>
      </w:r>
      <w:r w:rsidRPr="00F95C24">
        <w:rPr>
          <w:lang w:val="en-GB"/>
        </w:rPr>
        <w:t xml:space="preserve"> Cour</w:t>
      </w:r>
      <w:r w:rsidRPr="00F95C24" w:rsidR="00F95C24">
        <w:rPr>
          <w:lang w:val="en-GB"/>
        </w:rPr>
        <w:t>t of C</w:t>
      </w:r>
      <w:r w:rsidRPr="00F95C24">
        <w:rPr>
          <w:lang w:val="en-GB"/>
        </w:rPr>
        <w:t>assation</w:t>
      </w:r>
      <w:r w:rsidR="00F95C24">
        <w:rPr>
          <w:lang w:val="en-GB"/>
        </w:rPr>
        <w:t>,</w:t>
      </w:r>
      <w:r w:rsidRPr="00F95C24" w:rsidR="00F95C24">
        <w:rPr>
          <w:lang w:val="en-GB"/>
        </w:rPr>
        <w:t xml:space="preserve"> sitting as a full court, quashed four</w:t>
      </w:r>
      <w:r w:rsidRPr="00F95C24">
        <w:rPr>
          <w:lang w:val="en-GB"/>
        </w:rPr>
        <w:t xml:space="preserve"> d</w:t>
      </w:r>
      <w:r w:rsidRPr="00F95C24" w:rsidR="00F95C24">
        <w:rPr>
          <w:lang w:val="en-GB"/>
        </w:rPr>
        <w:t>e</w:t>
      </w:r>
      <w:r w:rsidRPr="00F95C24">
        <w:rPr>
          <w:lang w:val="en-GB"/>
        </w:rPr>
        <w:t xml:space="preserve">cisions </w:t>
      </w:r>
      <w:r w:rsidR="004569A6">
        <w:rPr>
          <w:lang w:val="en-GB"/>
        </w:rPr>
        <w:t>concerning</w:t>
      </w:r>
      <w:r w:rsidRPr="00F95C24">
        <w:rPr>
          <w:lang w:val="en-GB"/>
        </w:rPr>
        <w:t xml:space="preserve"> cas</w:t>
      </w:r>
      <w:r w:rsidRPr="00F95C24" w:rsidR="00F95C24">
        <w:rPr>
          <w:lang w:val="en-GB"/>
        </w:rPr>
        <w:t>es</w:t>
      </w:r>
      <w:r w:rsidRPr="00F95C24">
        <w:rPr>
          <w:lang w:val="en-GB"/>
        </w:rPr>
        <w:t xml:space="preserve"> </w:t>
      </w:r>
      <w:r w:rsidR="00F95C24">
        <w:rPr>
          <w:lang w:val="en-GB"/>
        </w:rPr>
        <w:t xml:space="preserve">in which the </w:t>
      </w:r>
      <w:r w:rsidRPr="00F95C24">
        <w:rPr>
          <w:lang w:val="en-GB"/>
        </w:rPr>
        <w:t>existence o</w:t>
      </w:r>
      <w:r w:rsidR="00F95C24">
        <w:rPr>
          <w:lang w:val="en-GB"/>
        </w:rPr>
        <w:t>r amount of non-pecuniary damage had been disputed</w:t>
      </w:r>
      <w:r w:rsidRPr="00F95C24">
        <w:rPr>
          <w:lang w:val="en-GB"/>
        </w:rPr>
        <w:t xml:space="preserve">. </w:t>
      </w:r>
      <w:r w:rsidRPr="00F95C24" w:rsidR="00F95C24">
        <w:rPr>
          <w:lang w:val="en-GB"/>
        </w:rPr>
        <w:t>In so doing</w:t>
      </w:r>
      <w:r w:rsidRPr="00F95C24">
        <w:rPr>
          <w:lang w:val="en-GB"/>
        </w:rPr>
        <w:t xml:space="preserve">, </w:t>
      </w:r>
      <w:r w:rsidRPr="00F95C24" w:rsidR="00F95C24">
        <w:rPr>
          <w:lang w:val="en-GB"/>
        </w:rPr>
        <w:t xml:space="preserve">it established the principle </w:t>
      </w:r>
      <w:r w:rsidR="00E87C15">
        <w:rPr>
          <w:lang w:val="en-GB"/>
        </w:rPr>
        <w:t>that</w:t>
      </w:r>
      <w:r w:rsidRPr="00F95C24" w:rsidR="00F95C24">
        <w:rPr>
          <w:lang w:val="en-GB"/>
        </w:rPr>
        <w:t xml:space="preserve"> </w:t>
      </w:r>
      <w:r w:rsidR="00F95C24">
        <w:rPr>
          <w:lang w:val="en-GB"/>
        </w:rPr>
        <w:t>“</w:t>
      </w:r>
      <w:r w:rsidRPr="00F95C24" w:rsidR="00F95C24">
        <w:rPr>
          <w:lang w:val="en-GB"/>
        </w:rPr>
        <w:t>the court of appeal</w:t>
      </w:r>
      <w:r w:rsidR="00E6191D">
        <w:rPr>
          <w:lang w:val="en-GB"/>
        </w:rPr>
        <w:t>’</w:t>
      </w:r>
      <w:r w:rsidRPr="00F95C24" w:rsidR="00F95C24">
        <w:rPr>
          <w:lang w:val="en-GB"/>
        </w:rPr>
        <w:t xml:space="preserve">s determination of non-pecuniary damage in accordance with section 2 of Law no. 89/2001, although inherently based on equitable principles, must be done in a legally defined framework since reference has to be made to the amounts awarded, in similar cases, by the </w:t>
      </w:r>
      <w:smartTag w:uri="urn:schemas-microsoft-com:office:smarttags" w:element="Street">
        <w:smartTag w:uri="urn:schemas-microsoft-com:office:smarttags" w:element="address">
          <w:r w:rsidR="00F95C24" w:rsidRPr="00F95C24">
            <w:rPr>
              <w:lang w:val="en-GB"/>
            </w:rPr>
            <w:t>Strasbourg Court</w:t>
          </w:r>
        </w:smartTag>
      </w:smartTag>
      <w:r w:rsidRPr="00F95C24" w:rsidR="00F95C24">
        <w:rPr>
          <w:lang w:val="en-GB"/>
        </w:rPr>
        <w:t>. Some divergenc</w:t>
      </w:r>
      <w:r w:rsidR="004E7A92">
        <w:rPr>
          <w:lang w:val="en-GB"/>
        </w:rPr>
        <w:t>e is permissible, within reason</w:t>
      </w:r>
      <w:r w:rsidRPr="00F95C24" w:rsidR="00F95C24">
        <w:rPr>
          <w:lang w:val="en-GB"/>
        </w:rPr>
        <w:t>”</w:t>
      </w:r>
      <w:r w:rsidRPr="00F95C24">
        <w:rPr>
          <w:iCs/>
          <w:lang w:val="en-GB"/>
        </w:rPr>
        <w:t xml:space="preserve"> </w:t>
      </w:r>
      <w:r w:rsidRPr="002A0715">
        <w:rPr>
          <w:iCs/>
          <w:lang w:val="en-GB"/>
        </w:rPr>
        <w:t>(</w:t>
      </w:r>
      <w:r w:rsidRPr="002A0715" w:rsidR="00F95C24">
        <w:rPr>
          <w:iCs/>
          <w:lang w:val="en-GB"/>
        </w:rPr>
        <w:t>see paragraph</w:t>
      </w:r>
      <w:r w:rsidRPr="002A0715">
        <w:rPr>
          <w:iCs/>
          <w:lang w:val="en-GB"/>
        </w:rPr>
        <w:t xml:space="preserve"> 63</w:t>
      </w:r>
      <w:r w:rsidR="009742DA">
        <w:rPr>
          <w:iCs/>
          <w:lang w:val="en-GB"/>
        </w:rPr>
        <w:t xml:space="preserve"> </w:t>
      </w:r>
      <w:r w:rsidRPr="002A0715" w:rsidR="00F95C24">
        <w:rPr>
          <w:iCs/>
          <w:lang w:val="en-GB"/>
        </w:rPr>
        <w:t>above</w:t>
      </w:r>
      <w:r w:rsidRPr="002A0715">
        <w:rPr>
          <w:iCs/>
          <w:lang w:val="en-GB"/>
        </w:rPr>
        <w:t>)</w:t>
      </w:r>
      <w:r w:rsidRPr="004C51EE">
        <w:rPr>
          <w:iCs/>
          <w:lang w:val="en-GB"/>
        </w:rPr>
        <w:t>.</w:t>
      </w:r>
    </w:p>
    <w:p w:rsidR="00967E1F" w:rsidP="00F8606D" w:rsidRDefault="00F8606D">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147</w:t>
      </w:r>
      <w:r w:rsidRPr="00C2011C">
        <w:fldChar w:fldCharType="end"/>
      </w:r>
      <w:r w:rsidRPr="002A0715">
        <w:rPr>
          <w:lang w:val="en-GB"/>
        </w:rPr>
        <w:t>.  </w:t>
      </w:r>
      <w:r w:rsidRPr="00F95C24" w:rsidR="00F95C24">
        <w:rPr>
          <w:lang w:val="en-GB"/>
        </w:rPr>
        <w:t>The Court takes note</w:t>
      </w:r>
      <w:r w:rsidRPr="00F95C24">
        <w:rPr>
          <w:lang w:val="en-GB"/>
        </w:rPr>
        <w:t xml:space="preserve"> </w:t>
      </w:r>
      <w:r w:rsidRPr="00F95C24" w:rsidR="00F95C24">
        <w:rPr>
          <w:lang w:val="en-GB"/>
        </w:rPr>
        <w:t xml:space="preserve">of that departure from precedent and welcomes the </w:t>
      </w:r>
      <w:r w:rsidR="00F95C24">
        <w:rPr>
          <w:lang w:val="en-GB"/>
        </w:rPr>
        <w:t>Court of C</w:t>
      </w:r>
      <w:r w:rsidRPr="00F95C24">
        <w:rPr>
          <w:lang w:val="en-GB"/>
        </w:rPr>
        <w:t>assation</w:t>
      </w:r>
      <w:r w:rsidR="00E6191D">
        <w:rPr>
          <w:lang w:val="en-GB"/>
        </w:rPr>
        <w:t>’</w:t>
      </w:r>
      <w:r w:rsidR="00E87C15">
        <w:rPr>
          <w:lang w:val="en-GB"/>
        </w:rPr>
        <w:t>s</w:t>
      </w:r>
      <w:r w:rsidRPr="00E87C15" w:rsidR="00E87C15">
        <w:rPr>
          <w:lang w:val="en-GB"/>
        </w:rPr>
        <w:t xml:space="preserve"> </w:t>
      </w:r>
      <w:r w:rsidRPr="00F95C24" w:rsidR="00E87C15">
        <w:rPr>
          <w:lang w:val="en-GB"/>
        </w:rPr>
        <w:t>efforts</w:t>
      </w:r>
      <w:r w:rsidRPr="00F95C24">
        <w:rPr>
          <w:lang w:val="en-GB"/>
        </w:rPr>
        <w:t xml:space="preserve"> </w:t>
      </w:r>
      <w:r w:rsidR="000C119D">
        <w:rPr>
          <w:lang w:val="en-GB"/>
        </w:rPr>
        <w:t xml:space="preserve">to bring its </w:t>
      </w:r>
      <w:r w:rsidR="00B478AD">
        <w:rPr>
          <w:lang w:val="en-GB"/>
        </w:rPr>
        <w:t xml:space="preserve">decisions </w:t>
      </w:r>
      <w:r w:rsidR="000C119D">
        <w:rPr>
          <w:lang w:val="en-GB"/>
        </w:rPr>
        <w:t>into line with European case-law</w:t>
      </w:r>
      <w:r w:rsidRPr="00F95C24">
        <w:rPr>
          <w:lang w:val="en-GB"/>
        </w:rPr>
        <w:t xml:space="preserve">. </w:t>
      </w:r>
      <w:r w:rsidRPr="00FF46E8" w:rsidR="00FF46E8">
        <w:rPr>
          <w:lang w:val="en-GB"/>
        </w:rPr>
        <w:t>It reiterates</w:t>
      </w:r>
      <w:r w:rsidR="00594B4F">
        <w:rPr>
          <w:lang w:val="en-GB"/>
        </w:rPr>
        <w:t>, furthermore,</w:t>
      </w:r>
      <w:r w:rsidRPr="00FF46E8">
        <w:rPr>
          <w:lang w:val="en-GB"/>
        </w:rPr>
        <w:t xml:space="preserve"> </w:t>
      </w:r>
      <w:r w:rsidRPr="00FF46E8" w:rsidR="00FF46E8">
        <w:rPr>
          <w:lang w:val="en-GB"/>
        </w:rPr>
        <w:t>having deemed</w:t>
      </w:r>
      <w:r w:rsidR="004E7A92">
        <w:rPr>
          <w:lang w:val="en-GB"/>
        </w:rPr>
        <w:t xml:space="preserve"> it </w:t>
      </w:r>
      <w:r w:rsidRPr="00FF46E8" w:rsidR="00FF46E8">
        <w:rPr>
          <w:lang w:val="en-GB"/>
        </w:rPr>
        <w:t xml:space="preserve">reasonable to </w:t>
      </w:r>
      <w:r w:rsidR="00FF46E8">
        <w:rPr>
          <w:lang w:val="en-GB"/>
        </w:rPr>
        <w:t>assume that the departure from precedent</w:t>
      </w:r>
      <w:r w:rsidRPr="00FF46E8">
        <w:rPr>
          <w:lang w:val="en-GB"/>
        </w:rPr>
        <w:t xml:space="preserve">, </w:t>
      </w:r>
      <w:r w:rsidR="009206DE">
        <w:rPr>
          <w:lang w:val="en-GB"/>
        </w:rPr>
        <w:t>in particular</w:t>
      </w:r>
      <w:r w:rsidRPr="00FF46E8" w:rsidR="009206DE">
        <w:rPr>
          <w:lang w:val="en-GB"/>
        </w:rPr>
        <w:t xml:space="preserve"> </w:t>
      </w:r>
      <w:r w:rsidRPr="00FF46E8" w:rsidR="000C119D">
        <w:rPr>
          <w:lang w:val="en-GB"/>
        </w:rPr>
        <w:t>judgment no.</w:t>
      </w:r>
      <w:r w:rsidR="00AF0A1F">
        <w:rPr>
          <w:lang w:val="en-GB"/>
        </w:rPr>
        <w:t xml:space="preserve"> </w:t>
      </w:r>
      <w:r w:rsidRPr="00FF46E8">
        <w:rPr>
          <w:lang w:val="en-GB"/>
        </w:rPr>
        <w:t xml:space="preserve">1340 </w:t>
      </w:r>
      <w:r w:rsidRPr="00FF46E8" w:rsidR="00FF46E8">
        <w:rPr>
          <w:lang w:val="en-GB"/>
        </w:rPr>
        <w:t>of the Court of C</w:t>
      </w:r>
      <w:r w:rsidRPr="00FF46E8">
        <w:rPr>
          <w:lang w:val="en-GB"/>
        </w:rPr>
        <w:t xml:space="preserve">assation, </w:t>
      </w:r>
      <w:r w:rsidR="00FF46E8">
        <w:rPr>
          <w:lang w:val="en-GB"/>
        </w:rPr>
        <w:t xml:space="preserve">must have been public knowledge from </w:t>
      </w:r>
      <w:r w:rsidR="004569A6">
        <w:rPr>
          <w:lang w:val="en-GB"/>
        </w:rPr>
        <w:t>26</w:t>
      </w:r>
      <w:r w:rsidR="00AF0A1F">
        <w:rPr>
          <w:lang w:val="en-GB"/>
        </w:rPr>
        <w:t xml:space="preserve"> </w:t>
      </w:r>
      <w:r w:rsidR="00FF46E8">
        <w:rPr>
          <w:lang w:val="en-GB"/>
        </w:rPr>
        <w:t>July 200</w:t>
      </w:r>
      <w:r w:rsidRPr="00FF46E8">
        <w:rPr>
          <w:lang w:val="en-GB"/>
        </w:rPr>
        <w:t xml:space="preserve">4. </w:t>
      </w:r>
      <w:r w:rsidRPr="006F5FFA" w:rsidR="006F5FFA">
        <w:rPr>
          <w:lang w:val="en-GB"/>
        </w:rPr>
        <w:t xml:space="preserve">It has </w:t>
      </w:r>
      <w:r w:rsidR="006F5FFA">
        <w:rPr>
          <w:lang w:val="en-GB"/>
        </w:rPr>
        <w:t>therefore held that,</w:t>
      </w:r>
      <w:r w:rsidRPr="006F5FFA">
        <w:rPr>
          <w:lang w:val="en-GB"/>
        </w:rPr>
        <w:t xml:space="preserve"> </w:t>
      </w:r>
      <w:r w:rsidRPr="006F5FFA" w:rsidR="006F5FFA">
        <w:rPr>
          <w:lang w:val="en-GB"/>
        </w:rPr>
        <w:t>from that</w:t>
      </w:r>
      <w:r w:rsidRPr="006F5FFA">
        <w:rPr>
          <w:lang w:val="en-GB"/>
        </w:rPr>
        <w:t xml:space="preserve"> date </w:t>
      </w:r>
      <w:r w:rsidRPr="006F5FFA" w:rsidR="006F5FFA">
        <w:rPr>
          <w:lang w:val="en-GB"/>
        </w:rPr>
        <w:t>onwards</w:t>
      </w:r>
      <w:r w:rsidR="006F5FFA">
        <w:rPr>
          <w:lang w:val="en-GB"/>
        </w:rPr>
        <w:t>,</w:t>
      </w:r>
      <w:r w:rsidRPr="006F5FFA" w:rsidR="006F5FFA">
        <w:rPr>
          <w:lang w:val="en-GB"/>
        </w:rPr>
        <w:t xml:space="preserve"> applicants should be required to </w:t>
      </w:r>
      <w:r w:rsidR="006F5FFA">
        <w:rPr>
          <w:lang w:val="en-GB"/>
        </w:rPr>
        <w:t>avail themselves of that remedy for the purposes of A</w:t>
      </w:r>
      <w:r w:rsidRPr="006F5FFA">
        <w:rPr>
          <w:snapToGrid w:val="0"/>
          <w:lang w:val="en-GB" w:eastAsia="en-US"/>
        </w:rPr>
        <w:t>rticle 35</w:t>
      </w:r>
      <w:r w:rsidR="00AF0A1F">
        <w:rPr>
          <w:snapToGrid w:val="0"/>
          <w:lang w:val="en-GB" w:eastAsia="en-US"/>
        </w:rPr>
        <w:t xml:space="preserve"> </w:t>
      </w:r>
      <w:r w:rsidRPr="006F5FFA">
        <w:rPr>
          <w:snapToGrid w:val="0"/>
          <w:lang w:val="en-GB" w:eastAsia="en-US"/>
        </w:rPr>
        <w:t>§</w:t>
      </w:r>
      <w:r w:rsidR="00AF0A1F">
        <w:rPr>
          <w:snapToGrid w:val="0"/>
          <w:lang w:val="en-GB" w:eastAsia="en-US"/>
        </w:rPr>
        <w:t xml:space="preserve"> </w:t>
      </w:r>
      <w:r w:rsidRPr="006F5FFA">
        <w:rPr>
          <w:snapToGrid w:val="0"/>
          <w:lang w:val="en-GB" w:eastAsia="en-US"/>
        </w:rPr>
        <w:t xml:space="preserve">1 </w:t>
      </w:r>
      <w:r w:rsidR="00B7372C">
        <w:rPr>
          <w:snapToGrid w:val="0"/>
          <w:lang w:val="en-GB" w:eastAsia="en-US"/>
        </w:rPr>
        <w:t>of the</w:t>
      </w:r>
      <w:r w:rsidRPr="006F5FFA">
        <w:rPr>
          <w:snapToGrid w:val="0"/>
          <w:lang w:val="en-GB" w:eastAsia="en-US"/>
        </w:rPr>
        <w:t xml:space="preserve"> Convention (</w:t>
      </w:r>
      <w:r w:rsidR="006F5FFA">
        <w:rPr>
          <w:snapToGrid w:val="0"/>
          <w:lang w:val="en-GB" w:eastAsia="en-US"/>
        </w:rPr>
        <w:t xml:space="preserve">see </w:t>
      </w:r>
      <w:r w:rsidRPr="006F5FFA">
        <w:rPr>
          <w:i/>
          <w:snapToGrid w:val="0"/>
          <w:lang w:val="en-GB" w:eastAsia="en-US"/>
        </w:rPr>
        <w:t xml:space="preserve">Di Sante </w:t>
      </w:r>
      <w:r w:rsidR="004E7A92">
        <w:rPr>
          <w:i/>
          <w:snapToGrid w:val="0"/>
          <w:lang w:val="en-GB" w:eastAsia="en-US"/>
        </w:rPr>
        <w:t>v</w:t>
      </w:r>
      <w:r w:rsidRPr="006F5FFA">
        <w:rPr>
          <w:i/>
          <w:snapToGrid w:val="0"/>
          <w:lang w:val="en-GB" w:eastAsia="en-US"/>
        </w:rPr>
        <w:t xml:space="preserve">. </w:t>
      </w:r>
      <w:r w:rsidR="004E7A92">
        <w:rPr>
          <w:i/>
          <w:snapToGrid w:val="0"/>
          <w:lang w:val="en-GB" w:eastAsia="en-US"/>
        </w:rPr>
        <w:t>Italy</w:t>
      </w:r>
      <w:r w:rsidRPr="006F5FFA">
        <w:rPr>
          <w:i/>
          <w:snapToGrid w:val="0"/>
          <w:lang w:val="en-GB" w:eastAsia="en-US"/>
        </w:rPr>
        <w:t xml:space="preserve"> </w:t>
      </w:r>
      <w:r w:rsidR="004E7A92">
        <w:rPr>
          <w:snapToGrid w:val="0"/>
          <w:lang w:val="en-GB" w:eastAsia="en-US"/>
        </w:rPr>
        <w:t>(de</w:t>
      </w:r>
      <w:r w:rsidRPr="006F5FFA">
        <w:rPr>
          <w:snapToGrid w:val="0"/>
          <w:lang w:val="en-GB" w:eastAsia="en-US"/>
        </w:rPr>
        <w:t xml:space="preserve">c.), </w:t>
      </w:r>
      <w:r w:rsidR="004E7A92">
        <w:rPr>
          <w:snapToGrid w:val="0"/>
          <w:lang w:val="en-GB" w:eastAsia="en-US"/>
        </w:rPr>
        <w:t>no.</w:t>
      </w:r>
      <w:r w:rsidR="00AF0A1F">
        <w:rPr>
          <w:snapToGrid w:val="0"/>
          <w:lang w:val="en-GB" w:eastAsia="en-US"/>
        </w:rPr>
        <w:t xml:space="preserve"> </w:t>
      </w:r>
      <w:r w:rsidRPr="006F5FFA">
        <w:rPr>
          <w:lang w:val="en-GB"/>
        </w:rPr>
        <w:t xml:space="preserve">56079/00, 24 </w:t>
      </w:r>
      <w:r w:rsidR="006F5FFA">
        <w:rPr>
          <w:lang w:val="en-GB"/>
        </w:rPr>
        <w:t>June</w:t>
      </w:r>
      <w:r w:rsidRPr="006F5FFA">
        <w:rPr>
          <w:lang w:val="en-GB"/>
        </w:rPr>
        <w:t xml:space="preserve"> 2004, </w:t>
      </w:r>
      <w:r w:rsidR="006F5FFA">
        <w:rPr>
          <w:lang w:val="en-GB"/>
        </w:rPr>
        <w:t>and</w:t>
      </w:r>
      <w:r w:rsidRPr="006F5FFA">
        <w:rPr>
          <w:lang w:val="en-GB"/>
        </w:rPr>
        <w:t xml:space="preserve">, </w:t>
      </w:r>
      <w:r w:rsidRPr="006F5FFA">
        <w:rPr>
          <w:i/>
          <w:lang w:val="en-GB"/>
        </w:rPr>
        <w:t>mutatis mutandis</w:t>
      </w:r>
      <w:r w:rsidRPr="006F5FFA">
        <w:rPr>
          <w:lang w:val="en-GB"/>
        </w:rPr>
        <w:t xml:space="preserve">, </w:t>
      </w:r>
      <w:r w:rsidRPr="006F5FFA">
        <w:rPr>
          <w:i/>
          <w:lang w:val="en-GB" w:eastAsia="en-US"/>
        </w:rPr>
        <w:t xml:space="preserve">Broca </w:t>
      </w:r>
      <w:r w:rsidR="006F5FFA">
        <w:rPr>
          <w:i/>
          <w:lang w:val="en-GB" w:eastAsia="en-US"/>
        </w:rPr>
        <w:t>and</w:t>
      </w:r>
      <w:r w:rsidRPr="006F5FFA">
        <w:rPr>
          <w:i/>
          <w:lang w:val="en-GB" w:eastAsia="en-US"/>
        </w:rPr>
        <w:t xml:space="preserve"> Texier-Micault </w:t>
      </w:r>
      <w:r w:rsidR="004E7A92">
        <w:rPr>
          <w:i/>
          <w:lang w:val="en-GB" w:eastAsia="en-US"/>
        </w:rPr>
        <w:t>v</w:t>
      </w:r>
      <w:r w:rsidRPr="006F5FFA">
        <w:rPr>
          <w:i/>
          <w:lang w:val="en-GB" w:eastAsia="en-US"/>
        </w:rPr>
        <w:t>. France</w:t>
      </w:r>
      <w:r w:rsidRPr="006F5FFA">
        <w:rPr>
          <w:lang w:val="en-GB" w:eastAsia="en-US"/>
        </w:rPr>
        <w:t xml:space="preserve">, </w:t>
      </w:r>
      <w:r w:rsidR="006F5FFA">
        <w:rPr>
          <w:lang w:val="en-GB" w:eastAsia="en-US"/>
        </w:rPr>
        <w:t>nos.</w:t>
      </w:r>
      <w:r w:rsidRPr="006F5FFA">
        <w:rPr>
          <w:lang w:val="en-GB" w:eastAsia="en-US"/>
        </w:rPr>
        <w:t xml:space="preserve"> 27928/02 </w:t>
      </w:r>
      <w:r w:rsidR="004E7A92">
        <w:rPr>
          <w:lang w:val="en-GB" w:eastAsia="en-US"/>
        </w:rPr>
        <w:t>and</w:t>
      </w:r>
      <w:r w:rsidRPr="006F5FFA">
        <w:rPr>
          <w:lang w:val="en-GB" w:eastAsia="en-US"/>
        </w:rPr>
        <w:t xml:space="preserve"> 31694/02, § 20, 21 </w:t>
      </w:r>
      <w:r w:rsidR="004E7A92">
        <w:rPr>
          <w:lang w:val="en-GB" w:eastAsia="en-US"/>
        </w:rPr>
        <w:t>October</w:t>
      </w:r>
      <w:r w:rsidRPr="006F5FFA">
        <w:rPr>
          <w:lang w:val="en-GB" w:eastAsia="en-US"/>
        </w:rPr>
        <w:t xml:space="preserve"> 2003</w:t>
      </w:r>
      <w:r w:rsidRPr="006F5FFA">
        <w:rPr>
          <w:snapToGrid w:val="0"/>
          <w:lang w:val="en-GB" w:eastAsia="en-US"/>
        </w:rPr>
        <w:t>).</w:t>
      </w:r>
    </w:p>
    <w:p w:rsidR="00967E1F" w:rsidP="00F8606D" w:rsidRDefault="00F8606D">
      <w:pPr>
        <w:pStyle w:val="JuParaChar1"/>
        <w:rPr>
          <w:szCs w:val="24"/>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148</w:t>
      </w:r>
      <w:r w:rsidRPr="00C2011C">
        <w:fldChar w:fldCharType="end"/>
      </w:r>
      <w:r w:rsidRPr="002A0715">
        <w:rPr>
          <w:lang w:val="en-GB"/>
        </w:rPr>
        <w:t>.  </w:t>
      </w:r>
      <w:r w:rsidRPr="00B815A4" w:rsidR="006F5FFA">
        <w:rPr>
          <w:lang w:val="en-GB"/>
        </w:rPr>
        <w:t>In the instant case the Grand</w:t>
      </w:r>
      <w:r w:rsidRPr="00B815A4">
        <w:rPr>
          <w:lang w:val="en-GB"/>
        </w:rPr>
        <w:t xml:space="preserve"> Chamb</w:t>
      </w:r>
      <w:r w:rsidRPr="00B815A4" w:rsidR="006F5FFA">
        <w:rPr>
          <w:lang w:val="en-GB"/>
        </w:rPr>
        <w:t>er</w:t>
      </w:r>
      <w:r w:rsidRPr="00B815A4">
        <w:rPr>
          <w:lang w:val="en-GB"/>
        </w:rPr>
        <w:t xml:space="preserve">, </w:t>
      </w:r>
      <w:r w:rsidRPr="00B815A4" w:rsidR="006F5FFA">
        <w:rPr>
          <w:lang w:val="en-GB"/>
        </w:rPr>
        <w:t>like the Chamber</w:t>
      </w:r>
      <w:r w:rsidRPr="00B815A4">
        <w:rPr>
          <w:lang w:val="en-GB"/>
        </w:rPr>
        <w:t xml:space="preserve">, </w:t>
      </w:r>
      <w:r w:rsidRPr="00B815A4" w:rsidR="006F5FFA">
        <w:rPr>
          <w:lang w:val="en-GB"/>
        </w:rPr>
        <w:t>notes that the time</w:t>
      </w:r>
      <w:r w:rsidR="004E7A92">
        <w:rPr>
          <w:lang w:val="en-GB"/>
        </w:rPr>
        <w:t>-limit for ap</w:t>
      </w:r>
      <w:r w:rsidRPr="00B815A4" w:rsidR="006F5FFA">
        <w:rPr>
          <w:lang w:val="en-GB"/>
        </w:rPr>
        <w:t>peal</w:t>
      </w:r>
      <w:r w:rsidR="004D12A8">
        <w:rPr>
          <w:lang w:val="en-GB"/>
        </w:rPr>
        <w:t>ing</w:t>
      </w:r>
      <w:r w:rsidRPr="00B815A4" w:rsidR="006F5FFA">
        <w:rPr>
          <w:lang w:val="en-GB"/>
        </w:rPr>
        <w:t xml:space="preserve"> to the Court of Ca</w:t>
      </w:r>
      <w:r w:rsidRPr="00B815A4">
        <w:rPr>
          <w:lang w:val="en-GB"/>
        </w:rPr>
        <w:t xml:space="preserve">ssation </w:t>
      </w:r>
      <w:r w:rsidRPr="00B815A4" w:rsidR="006F5FFA">
        <w:rPr>
          <w:lang w:val="en-GB"/>
        </w:rPr>
        <w:t xml:space="preserve">had expired before </w:t>
      </w:r>
      <w:r w:rsidRPr="00B815A4">
        <w:rPr>
          <w:lang w:val="en-GB"/>
        </w:rPr>
        <w:t>26 </w:t>
      </w:r>
      <w:r w:rsidRPr="00B815A4" w:rsidR="006F5FFA">
        <w:rPr>
          <w:lang w:val="en-GB"/>
        </w:rPr>
        <w:t>July</w:t>
      </w:r>
      <w:r w:rsidRPr="00B815A4">
        <w:rPr>
          <w:lang w:val="en-GB"/>
        </w:rPr>
        <w:t xml:space="preserve"> 2004 </w:t>
      </w:r>
      <w:r w:rsidRPr="00B815A4" w:rsidR="00B815A4">
        <w:rPr>
          <w:lang w:val="en-GB"/>
        </w:rPr>
        <w:t>and considers that, in the</w:t>
      </w:r>
      <w:r w:rsidR="004569A6">
        <w:rPr>
          <w:lang w:val="en-GB"/>
        </w:rPr>
        <w:t>se</w:t>
      </w:r>
      <w:r w:rsidRPr="00B815A4" w:rsidR="00B815A4">
        <w:rPr>
          <w:lang w:val="en-GB"/>
        </w:rPr>
        <w:t xml:space="preserve"> </w:t>
      </w:r>
      <w:r w:rsidR="00B815A4">
        <w:rPr>
          <w:lang w:val="en-GB"/>
        </w:rPr>
        <w:t>circumstances</w:t>
      </w:r>
      <w:r w:rsidRPr="00B815A4">
        <w:rPr>
          <w:lang w:val="en-GB"/>
        </w:rPr>
        <w:t xml:space="preserve">, </w:t>
      </w:r>
      <w:r w:rsidR="00B815A4">
        <w:rPr>
          <w:lang w:val="en-GB"/>
        </w:rPr>
        <w:t>the applicants were dispensed from the o</w:t>
      </w:r>
      <w:r w:rsidRPr="00B815A4">
        <w:rPr>
          <w:lang w:val="en-GB"/>
        </w:rPr>
        <w:t xml:space="preserve">bligation </w:t>
      </w:r>
      <w:r w:rsidR="00B815A4">
        <w:rPr>
          <w:lang w:val="en-GB"/>
        </w:rPr>
        <w:t>to exhaust domestic remedies</w:t>
      </w:r>
      <w:r w:rsidRPr="00B815A4">
        <w:rPr>
          <w:szCs w:val="24"/>
          <w:lang w:val="en-GB"/>
        </w:rPr>
        <w:t>.</w:t>
      </w:r>
    </w:p>
    <w:p w:rsidRPr="00B815A4" w:rsidR="00F8606D" w:rsidP="00F8606D" w:rsidRDefault="00F8606D">
      <w:pPr>
        <w:pStyle w:val="JuParaChar1"/>
        <w:rPr>
          <w:szCs w:val="24"/>
          <w:lang w:val="en-GB"/>
        </w:rPr>
      </w:pPr>
      <w:r w:rsidRPr="00C2011C">
        <w:rPr>
          <w:szCs w:val="24"/>
        </w:rPr>
        <w:fldChar w:fldCharType="begin"/>
      </w:r>
      <w:r w:rsidRPr="002A0715">
        <w:rPr>
          <w:szCs w:val="24"/>
          <w:lang w:val="en-GB"/>
        </w:rPr>
        <w:instrText xml:space="preserve"> SEQ level0 \*arabic </w:instrText>
      </w:r>
      <w:r w:rsidRPr="00C2011C">
        <w:rPr>
          <w:szCs w:val="24"/>
        </w:rPr>
        <w:fldChar w:fldCharType="separate"/>
      </w:r>
      <w:r w:rsidR="008B3B68">
        <w:rPr>
          <w:noProof/>
          <w:szCs w:val="24"/>
          <w:lang w:val="en-GB"/>
        </w:rPr>
        <w:t>149</w:t>
      </w:r>
      <w:r w:rsidRPr="00C2011C">
        <w:rPr>
          <w:szCs w:val="24"/>
        </w:rPr>
        <w:fldChar w:fldCharType="end"/>
      </w:r>
      <w:r w:rsidRPr="002A0715">
        <w:rPr>
          <w:szCs w:val="24"/>
          <w:lang w:val="en-GB"/>
        </w:rPr>
        <w:t>.  </w:t>
      </w:r>
      <w:r w:rsidR="004C51EE">
        <w:rPr>
          <w:szCs w:val="24"/>
          <w:lang w:val="en-GB"/>
        </w:rPr>
        <w:t>In the light of the</w:t>
      </w:r>
      <w:r w:rsidRPr="00B815A4" w:rsidR="00B815A4">
        <w:rPr>
          <w:szCs w:val="24"/>
          <w:lang w:val="en-GB"/>
        </w:rPr>
        <w:t>se conside</w:t>
      </w:r>
      <w:r w:rsidRPr="00B815A4">
        <w:rPr>
          <w:szCs w:val="24"/>
          <w:lang w:val="en-GB"/>
        </w:rPr>
        <w:t xml:space="preserve">rations, </w:t>
      </w:r>
      <w:r w:rsidRPr="00B815A4" w:rsidR="00B815A4">
        <w:rPr>
          <w:szCs w:val="24"/>
          <w:lang w:val="en-GB"/>
        </w:rPr>
        <w:t>the</w:t>
      </w:r>
      <w:r w:rsidRPr="00B815A4">
        <w:rPr>
          <w:szCs w:val="24"/>
          <w:lang w:val="en-GB"/>
        </w:rPr>
        <w:t xml:space="preserve"> Cour</w:t>
      </w:r>
      <w:r w:rsidRPr="00B815A4" w:rsidR="00B815A4">
        <w:rPr>
          <w:szCs w:val="24"/>
          <w:lang w:val="en-GB"/>
        </w:rPr>
        <w:t>t c</w:t>
      </w:r>
      <w:r w:rsidR="00B815A4">
        <w:rPr>
          <w:szCs w:val="24"/>
          <w:lang w:val="en-GB"/>
        </w:rPr>
        <w:t>on</w:t>
      </w:r>
      <w:r w:rsidR="009A0953">
        <w:rPr>
          <w:szCs w:val="24"/>
          <w:lang w:val="en-GB"/>
        </w:rPr>
        <w:t>c</w:t>
      </w:r>
      <w:r w:rsidR="00BE0920">
        <w:rPr>
          <w:szCs w:val="24"/>
          <w:lang w:val="en-GB"/>
        </w:rPr>
        <w:t>l</w:t>
      </w:r>
      <w:r w:rsidR="009A0953">
        <w:rPr>
          <w:szCs w:val="24"/>
          <w:lang w:val="en-GB"/>
        </w:rPr>
        <w:t>udes</w:t>
      </w:r>
      <w:r w:rsidR="00B815A4">
        <w:rPr>
          <w:szCs w:val="24"/>
          <w:lang w:val="en-GB"/>
        </w:rPr>
        <w:t xml:space="preserve"> that this objection must be dismissed.</w:t>
      </w:r>
    </w:p>
    <w:p w:rsidRPr="004836E1" w:rsidR="00F8606D" w:rsidP="00F8606D" w:rsidRDefault="00F8606D">
      <w:pPr>
        <w:pStyle w:val="JuHA0"/>
        <w:rPr>
          <w:lang w:val="en-GB"/>
        </w:rPr>
      </w:pPr>
      <w:r w:rsidRPr="002A0715">
        <w:rPr>
          <w:lang w:val="en-GB"/>
        </w:rPr>
        <w:t>B.  </w:t>
      </w:r>
      <w:r w:rsidRPr="004836E1" w:rsidR="004836E1">
        <w:rPr>
          <w:lang w:val="en-GB"/>
        </w:rPr>
        <w:t>The Government</w:t>
      </w:r>
      <w:r w:rsidR="00E6191D">
        <w:rPr>
          <w:lang w:val="en-GB"/>
        </w:rPr>
        <w:t>’</w:t>
      </w:r>
      <w:r w:rsidRPr="004836E1" w:rsidR="004836E1">
        <w:rPr>
          <w:lang w:val="en-GB"/>
        </w:rPr>
        <w:t>s preliminary objection concerning the</w:t>
      </w:r>
      <w:r w:rsidRPr="004836E1">
        <w:rPr>
          <w:lang w:val="en-GB"/>
        </w:rPr>
        <w:t xml:space="preserve"> </w:t>
      </w:r>
      <w:r w:rsidRPr="004836E1" w:rsidR="004836E1">
        <w:rPr>
          <w:lang w:val="en-GB"/>
        </w:rPr>
        <w:t>lack</w:t>
      </w:r>
      <w:r w:rsidR="004836E1">
        <w:rPr>
          <w:lang w:val="en-GB"/>
        </w:rPr>
        <w:t xml:space="preserve"> of “victim”</w:t>
      </w:r>
      <w:r w:rsidRPr="004E7A92" w:rsidR="004E7A92">
        <w:rPr>
          <w:lang w:val="en-GB"/>
        </w:rPr>
        <w:t xml:space="preserve"> </w:t>
      </w:r>
      <w:r w:rsidR="004E7A92">
        <w:rPr>
          <w:lang w:val="en-GB"/>
        </w:rPr>
        <w:t>status</w:t>
      </w:r>
    </w:p>
    <w:p w:rsidR="00967E1F" w:rsidP="00F8606D" w:rsidRDefault="00F8606D">
      <w:pPr>
        <w:ind w:firstLine="284"/>
        <w:jc w:val="both"/>
        <w:rPr>
          <w:snapToGrid w:val="0"/>
          <w:color w:val="000000"/>
          <w:lang w:eastAsia="en-US"/>
        </w:rPr>
      </w:pPr>
      <w:r w:rsidRPr="00C2011C">
        <w:rPr>
          <w:snapToGrid w:val="0"/>
          <w:color w:val="000000"/>
          <w:lang w:eastAsia="en-US"/>
        </w:rPr>
        <w:fldChar w:fldCharType="begin"/>
      </w:r>
      <w:r w:rsidRPr="002A0715">
        <w:rPr>
          <w:snapToGrid w:val="0"/>
          <w:color w:val="000000"/>
          <w:lang w:eastAsia="en-US"/>
        </w:rPr>
        <w:instrText xml:space="preserve"> SEQ level0 \*arabic </w:instrText>
      </w:r>
      <w:r w:rsidRPr="00C2011C">
        <w:rPr>
          <w:snapToGrid w:val="0"/>
          <w:color w:val="000000"/>
          <w:lang w:eastAsia="en-US"/>
        </w:rPr>
        <w:fldChar w:fldCharType="separate"/>
      </w:r>
      <w:r w:rsidR="008B3B68">
        <w:rPr>
          <w:noProof/>
          <w:snapToGrid w:val="0"/>
          <w:color w:val="000000"/>
          <w:lang w:eastAsia="en-US"/>
        </w:rPr>
        <w:t>150</w:t>
      </w:r>
      <w:r w:rsidRPr="00C2011C">
        <w:rPr>
          <w:snapToGrid w:val="0"/>
          <w:color w:val="000000"/>
          <w:lang w:eastAsia="en-US"/>
        </w:rPr>
        <w:fldChar w:fldCharType="end"/>
      </w:r>
      <w:r w:rsidRPr="002A0715">
        <w:rPr>
          <w:snapToGrid w:val="0"/>
          <w:color w:val="000000"/>
          <w:lang w:eastAsia="en-US"/>
        </w:rPr>
        <w:t>.  </w:t>
      </w:r>
      <w:r w:rsidRPr="004836E1" w:rsidR="004836E1">
        <w:rPr>
          <w:snapToGrid w:val="0"/>
          <w:color w:val="000000"/>
          <w:lang w:eastAsia="en-US"/>
        </w:rPr>
        <w:t>As before the Chamber, the Government argued that, in award</w:t>
      </w:r>
      <w:r w:rsidR="009742DA">
        <w:rPr>
          <w:snapToGrid w:val="0"/>
          <w:color w:val="000000"/>
          <w:lang w:eastAsia="en-US"/>
        </w:rPr>
        <w:t>ing compensation</w:t>
      </w:r>
      <w:r w:rsidRPr="004836E1" w:rsidR="004836E1">
        <w:rPr>
          <w:snapToGrid w:val="0"/>
          <w:color w:val="000000"/>
          <w:lang w:eastAsia="en-US"/>
        </w:rPr>
        <w:t xml:space="preserve"> to the applicants, the </w:t>
      </w:r>
      <w:smartTag w:uri="urn:schemas-microsoft-com:office:smarttags" w:element="place">
        <w:smartTag w:uri="urn:schemas-microsoft-com:office:smarttags" w:element="City">
          <w:r w:rsidR="004836E1" w:rsidRPr="004836E1">
            <w:rPr>
              <w:snapToGrid w:val="0"/>
              <w:color w:val="000000"/>
              <w:lang w:eastAsia="en-US"/>
            </w:rPr>
            <w:t>Reggio di Calabria</w:t>
          </w:r>
        </w:smartTag>
      </w:smartTag>
      <w:r w:rsidRPr="004836E1" w:rsidR="004836E1">
        <w:rPr>
          <w:snapToGrid w:val="0"/>
          <w:color w:val="000000"/>
          <w:lang w:eastAsia="en-US"/>
        </w:rPr>
        <w:t xml:space="preserve"> Court of Appeal had not only acknowledged that there had been a violation of their right to a hearing within a reasonable time but had also</w:t>
      </w:r>
      <w:r w:rsidR="004836E1">
        <w:rPr>
          <w:snapToGrid w:val="0"/>
          <w:color w:val="000000"/>
          <w:lang w:eastAsia="en-US"/>
        </w:rPr>
        <w:t xml:space="preserve"> made good the </w:t>
      </w:r>
      <w:r w:rsidR="00BC371A">
        <w:rPr>
          <w:snapToGrid w:val="0"/>
          <w:color w:val="000000"/>
          <w:lang w:eastAsia="en-US"/>
        </w:rPr>
        <w:t xml:space="preserve">loss </w:t>
      </w:r>
      <w:r w:rsidR="004836E1">
        <w:rPr>
          <w:snapToGrid w:val="0"/>
          <w:color w:val="000000"/>
          <w:lang w:eastAsia="en-US"/>
        </w:rPr>
        <w:t>sustained</w:t>
      </w:r>
      <w:r w:rsidRPr="004836E1">
        <w:rPr>
          <w:snapToGrid w:val="0"/>
          <w:color w:val="000000"/>
          <w:lang w:eastAsia="en-US"/>
        </w:rPr>
        <w:t xml:space="preserve">. </w:t>
      </w:r>
      <w:r w:rsidRPr="004836E1" w:rsidR="004836E1">
        <w:rPr>
          <w:snapToGrid w:val="0"/>
          <w:color w:val="000000"/>
          <w:lang w:eastAsia="en-US"/>
        </w:rPr>
        <w:t xml:space="preserve">Consequently, the applicants </w:t>
      </w:r>
      <w:r w:rsidR="004569A6">
        <w:rPr>
          <w:snapToGrid w:val="0"/>
          <w:color w:val="000000"/>
          <w:lang w:eastAsia="en-US"/>
        </w:rPr>
        <w:t xml:space="preserve">had </w:t>
      </w:r>
      <w:r w:rsidRPr="004836E1" w:rsidR="004836E1">
        <w:rPr>
          <w:snapToGrid w:val="0"/>
          <w:color w:val="000000"/>
          <w:lang w:eastAsia="en-US"/>
        </w:rPr>
        <w:t>lost</w:t>
      </w:r>
      <w:r w:rsidRPr="004836E1">
        <w:rPr>
          <w:snapToGrid w:val="0"/>
          <w:color w:val="000000"/>
          <w:lang w:eastAsia="en-US"/>
        </w:rPr>
        <w:t xml:space="preserve"> </w:t>
      </w:r>
      <w:r w:rsidR="004E7A92">
        <w:rPr>
          <w:snapToGrid w:val="0"/>
          <w:color w:val="000000"/>
          <w:lang w:eastAsia="en-US"/>
        </w:rPr>
        <w:t>their “</w:t>
      </w:r>
      <w:r w:rsidRPr="004836E1" w:rsidR="004836E1">
        <w:rPr>
          <w:snapToGrid w:val="0"/>
          <w:color w:val="000000"/>
          <w:lang w:eastAsia="en-US"/>
        </w:rPr>
        <w:t>victim</w:t>
      </w:r>
      <w:r w:rsidR="004E7A92">
        <w:rPr>
          <w:snapToGrid w:val="0"/>
          <w:color w:val="000000"/>
          <w:lang w:eastAsia="en-US"/>
        </w:rPr>
        <w:t>”</w:t>
      </w:r>
      <w:r w:rsidRPr="004836E1" w:rsidR="004836E1">
        <w:rPr>
          <w:snapToGrid w:val="0"/>
          <w:color w:val="000000"/>
          <w:lang w:eastAsia="en-US"/>
        </w:rPr>
        <w:t xml:space="preserve"> status</w:t>
      </w:r>
      <w:r w:rsidRPr="004836E1">
        <w:rPr>
          <w:snapToGrid w:val="0"/>
          <w:color w:val="000000"/>
          <w:lang w:eastAsia="en-US"/>
        </w:rPr>
        <w:t>.</w:t>
      </w:r>
    </w:p>
    <w:p w:rsidRPr="004836E1" w:rsidR="00F8606D" w:rsidP="00124007" w:rsidRDefault="00F8606D">
      <w:pPr>
        <w:pStyle w:val="JuH1"/>
        <w:outlineLvl w:val="0"/>
        <w:rPr>
          <w:lang w:val="en-GB"/>
        </w:rPr>
      </w:pPr>
      <w:r w:rsidRPr="004836E1">
        <w:rPr>
          <w:lang w:val="en-GB"/>
        </w:rPr>
        <w:t>1.  </w:t>
      </w:r>
      <w:r w:rsidRPr="004836E1" w:rsidR="004836E1">
        <w:rPr>
          <w:lang w:val="en-GB"/>
        </w:rPr>
        <w:t>The Chambe</w:t>
      </w:r>
      <w:r w:rsidR="00BC371A">
        <w:rPr>
          <w:lang w:val="en-GB"/>
        </w:rPr>
        <w:t>r</w:t>
      </w:r>
      <w:r w:rsidRPr="004836E1" w:rsidR="004836E1">
        <w:rPr>
          <w:lang w:val="en-GB"/>
        </w:rPr>
        <w:t xml:space="preserve"> decision</w:t>
      </w:r>
    </w:p>
    <w:p w:rsidRPr="004836E1" w:rsidR="00F8606D" w:rsidP="00F8606D" w:rsidRDefault="00F8606D">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151</w:t>
      </w:r>
      <w:r w:rsidRPr="00C2011C">
        <w:fldChar w:fldCharType="end"/>
      </w:r>
      <w:r w:rsidRPr="002A0715">
        <w:rPr>
          <w:lang w:val="en-GB"/>
        </w:rPr>
        <w:t>.  </w:t>
      </w:r>
      <w:r w:rsidRPr="004836E1" w:rsidR="004836E1">
        <w:rPr>
          <w:lang w:val="en-GB"/>
        </w:rPr>
        <w:t>In its admissibility decision</w:t>
      </w:r>
      <w:r w:rsidR="004E7A92">
        <w:rPr>
          <w:lang w:val="en-GB"/>
        </w:rPr>
        <w:t xml:space="preserve"> </w:t>
      </w:r>
      <w:r w:rsidRPr="004836E1" w:rsidR="004836E1">
        <w:rPr>
          <w:lang w:val="en-GB"/>
        </w:rPr>
        <w:t>the Chamber</w:t>
      </w:r>
      <w:r w:rsidRPr="004836E1">
        <w:rPr>
          <w:lang w:val="en-GB"/>
        </w:rPr>
        <w:t xml:space="preserve"> </w:t>
      </w:r>
      <w:r w:rsidRPr="004836E1" w:rsidR="004836E1">
        <w:rPr>
          <w:lang w:val="en-GB"/>
        </w:rPr>
        <w:t xml:space="preserve">stated that the applicants could </w:t>
      </w:r>
      <w:r w:rsidR="004E7A92">
        <w:rPr>
          <w:lang w:val="en-GB"/>
        </w:rPr>
        <w:t>still claim</w:t>
      </w:r>
      <w:r w:rsidRPr="004836E1" w:rsidR="004836E1">
        <w:rPr>
          <w:lang w:val="en-GB"/>
        </w:rPr>
        <w:t xml:space="preserve"> to be </w:t>
      </w:r>
      <w:r w:rsidR="004836E1">
        <w:rPr>
          <w:lang w:val="en-GB"/>
        </w:rPr>
        <w:t>“</w:t>
      </w:r>
      <w:r w:rsidRPr="004836E1" w:rsidR="004836E1">
        <w:rPr>
          <w:lang w:val="en-GB"/>
        </w:rPr>
        <w:t>victims</w:t>
      </w:r>
      <w:r w:rsidR="004836E1">
        <w:rPr>
          <w:lang w:val="en-GB"/>
        </w:rPr>
        <w:t>”</w:t>
      </w:r>
      <w:r w:rsidRPr="004836E1" w:rsidR="004836E1">
        <w:rPr>
          <w:lang w:val="en-GB"/>
        </w:rPr>
        <w:t xml:space="preserve"> within the meaning of A</w:t>
      </w:r>
      <w:r w:rsidRPr="004836E1">
        <w:rPr>
          <w:lang w:val="en-GB"/>
        </w:rPr>
        <w:t xml:space="preserve">rticle 34 </w:t>
      </w:r>
      <w:r w:rsidRPr="004836E1" w:rsidR="004836E1">
        <w:rPr>
          <w:lang w:val="en-GB"/>
        </w:rPr>
        <w:t>of the</w:t>
      </w:r>
      <w:r w:rsidRPr="004836E1">
        <w:rPr>
          <w:lang w:val="en-GB"/>
        </w:rPr>
        <w:t xml:space="preserve"> Convention, </w:t>
      </w:r>
      <w:r w:rsidR="004836E1">
        <w:rPr>
          <w:lang w:val="en-GB"/>
        </w:rPr>
        <w:t>even though</w:t>
      </w:r>
      <w:r w:rsidRPr="004836E1" w:rsidR="004836E1">
        <w:rPr>
          <w:lang w:val="en-GB"/>
        </w:rPr>
        <w:t xml:space="preserve"> the domestic courts had acknowledged </w:t>
      </w:r>
      <w:r w:rsidR="004836E1">
        <w:rPr>
          <w:lang w:val="en-GB"/>
        </w:rPr>
        <w:t xml:space="preserve">that there </w:t>
      </w:r>
      <w:r w:rsidRPr="004836E1" w:rsidR="004836E1">
        <w:rPr>
          <w:lang w:val="en-GB"/>
        </w:rPr>
        <w:t>had been a</w:t>
      </w:r>
      <w:r w:rsidRPr="004836E1">
        <w:rPr>
          <w:lang w:val="en-GB"/>
        </w:rPr>
        <w:t xml:space="preserve"> violation, </w:t>
      </w:r>
      <w:r w:rsidR="004836E1">
        <w:rPr>
          <w:lang w:val="en-GB"/>
        </w:rPr>
        <w:t xml:space="preserve">as the compensation obtained at domestic level under the </w:t>
      </w:r>
      <w:r w:rsidRPr="004836E1">
        <w:rPr>
          <w:lang w:val="en-GB"/>
        </w:rPr>
        <w:t>Pinto</w:t>
      </w:r>
      <w:r w:rsidR="004836E1">
        <w:rPr>
          <w:lang w:val="en-GB"/>
        </w:rPr>
        <w:t xml:space="preserve"> Act was not capable of </w:t>
      </w:r>
      <w:r w:rsidR="004569A6">
        <w:rPr>
          <w:lang w:val="en-GB"/>
        </w:rPr>
        <w:t>making good</w:t>
      </w:r>
      <w:r w:rsidR="004836E1">
        <w:rPr>
          <w:lang w:val="en-GB"/>
        </w:rPr>
        <w:t xml:space="preserve"> the </w:t>
      </w:r>
      <w:r w:rsidR="00BC371A">
        <w:rPr>
          <w:lang w:val="en-GB"/>
        </w:rPr>
        <w:t xml:space="preserve">loss </w:t>
      </w:r>
      <w:r w:rsidR="004836E1">
        <w:rPr>
          <w:lang w:val="en-GB"/>
        </w:rPr>
        <w:t>sustained</w:t>
      </w:r>
      <w:r w:rsidRPr="004836E1">
        <w:rPr>
          <w:lang w:val="en-GB"/>
        </w:rPr>
        <w:t>.</w:t>
      </w:r>
    </w:p>
    <w:p w:rsidRPr="002E19D8" w:rsidR="00F8606D" w:rsidP="00124007" w:rsidRDefault="00F8606D">
      <w:pPr>
        <w:pStyle w:val="JuH1"/>
        <w:outlineLvl w:val="0"/>
        <w:rPr>
          <w:lang w:val="en-GB"/>
        </w:rPr>
      </w:pPr>
      <w:r w:rsidRPr="002E19D8">
        <w:rPr>
          <w:lang w:val="en-GB"/>
        </w:rPr>
        <w:t>2.  </w:t>
      </w:r>
      <w:r w:rsidRPr="002E19D8" w:rsidR="002E19D8">
        <w:rPr>
          <w:lang w:val="en-GB"/>
        </w:rPr>
        <w:t>Submissions of those appearing before the Court</w:t>
      </w:r>
    </w:p>
    <w:p w:rsidR="00967E1F" w:rsidP="002E19D8" w:rsidRDefault="00E54656">
      <w:pPr>
        <w:pStyle w:val="JuHa"/>
        <w:rPr>
          <w:lang w:val="en-GB"/>
        </w:rPr>
      </w:pPr>
      <w:r>
        <w:rPr>
          <w:lang w:val="en-GB"/>
        </w:rPr>
        <w:t>(</w:t>
      </w:r>
      <w:r w:rsidR="001566A1">
        <w:rPr>
          <w:lang w:val="en-GB"/>
        </w:rPr>
        <w:t>a</w:t>
      </w:r>
      <w:r w:rsidRPr="002A0715" w:rsidR="002E19D8">
        <w:rPr>
          <w:lang w:val="en-GB"/>
        </w:rPr>
        <w:t>)  </w:t>
      </w:r>
      <w:r w:rsidRPr="002A0715" w:rsidR="00710560">
        <w:rPr>
          <w:lang w:val="en-GB"/>
        </w:rPr>
        <w:t>The Govern</w:t>
      </w:r>
      <w:r w:rsidRPr="002A0715" w:rsidR="002E19D8">
        <w:rPr>
          <w:lang w:val="en-GB"/>
        </w:rPr>
        <w:t>ment</w:t>
      </w:r>
    </w:p>
    <w:p w:rsidR="00967E1F" w:rsidP="002E19D8" w:rsidRDefault="001566A1">
      <w:pPr>
        <w:ind w:firstLine="284"/>
        <w:jc w:val="both"/>
      </w:pPr>
      <w:r>
        <w:fldChar w:fldCharType="begin"/>
      </w:r>
      <w:r>
        <w:instrText xml:space="preserve"> SEQ level0 \*arabic </w:instrText>
      </w:r>
      <w:r>
        <w:fldChar w:fldCharType="separate"/>
      </w:r>
      <w:r w:rsidR="008B3B68">
        <w:rPr>
          <w:noProof/>
        </w:rPr>
        <w:t>152</w:t>
      </w:r>
      <w:r>
        <w:fldChar w:fldCharType="end"/>
      </w:r>
      <w:r>
        <w:t>.  </w:t>
      </w:r>
      <w:r w:rsidRPr="00710560" w:rsidR="00710560">
        <w:t>According to the Government</w:t>
      </w:r>
      <w:r w:rsidRPr="00710560" w:rsidR="002E19D8">
        <w:t xml:space="preserve">, </w:t>
      </w:r>
      <w:r w:rsidR="004E7A92">
        <w:t>the applicants were no longer “</w:t>
      </w:r>
      <w:r w:rsidRPr="00710560" w:rsidR="00710560">
        <w:t>victims</w:t>
      </w:r>
      <w:r w:rsidR="004E7A92">
        <w:t>”</w:t>
      </w:r>
      <w:r w:rsidRPr="00710560" w:rsidR="00710560">
        <w:t xml:space="preserve"> of the alleged violation because they had obtained</w:t>
      </w:r>
      <w:r w:rsidRPr="004E7A92" w:rsidR="004E7A92">
        <w:t xml:space="preserve"> </w:t>
      </w:r>
      <w:r w:rsidR="004E7A92">
        <w:t>from the Court of Appeal</w:t>
      </w:r>
      <w:r w:rsidRPr="00710560" w:rsidR="00710560">
        <w:t xml:space="preserve"> </w:t>
      </w:r>
      <w:r w:rsidR="00710560">
        <w:t xml:space="preserve">a decision </w:t>
      </w:r>
      <w:r w:rsidR="004E7A92">
        <w:t>finding that the</w:t>
      </w:r>
      <w:r w:rsidR="00710560">
        <w:t xml:space="preserve"> “reasonable time” had been exceeded</w:t>
      </w:r>
      <w:r w:rsidR="004C51EE">
        <w:t>,</w:t>
      </w:r>
      <w:r w:rsidR="00710560">
        <w:t xml:space="preserve"> </w:t>
      </w:r>
      <w:r w:rsidR="00B7372C">
        <w:t>as well as</w:t>
      </w:r>
      <w:r w:rsidR="00710560">
        <w:t xml:space="preserve"> compensation</w:t>
      </w:r>
      <w:r w:rsidRPr="00710560" w:rsidR="002E19D8">
        <w:t>.</w:t>
      </w:r>
    </w:p>
    <w:p w:rsidR="00967E1F" w:rsidP="002E19D8" w:rsidRDefault="002E19D8">
      <w:pPr>
        <w:ind w:firstLine="284"/>
        <w:jc w:val="both"/>
        <w:rPr>
          <w:snapToGrid w:val="0"/>
          <w:color w:val="000000"/>
          <w:lang w:eastAsia="en-US"/>
        </w:rPr>
      </w:pPr>
      <w:r w:rsidRPr="00C2011C">
        <w:fldChar w:fldCharType="begin"/>
      </w:r>
      <w:r w:rsidRPr="002A0715">
        <w:instrText xml:space="preserve"> SEQ level0 \*arabic </w:instrText>
      </w:r>
      <w:r w:rsidRPr="00C2011C">
        <w:fldChar w:fldCharType="separate"/>
      </w:r>
      <w:r w:rsidR="008B3B68">
        <w:rPr>
          <w:noProof/>
        </w:rPr>
        <w:t>153</w:t>
      </w:r>
      <w:r w:rsidRPr="00C2011C">
        <w:fldChar w:fldCharType="end"/>
      </w:r>
      <w:r w:rsidRPr="002A0715">
        <w:t>.  </w:t>
      </w:r>
      <w:r w:rsidRPr="00710560" w:rsidR="00710560">
        <w:t xml:space="preserve">Regarding the amount obtained under the </w:t>
      </w:r>
      <w:r w:rsidRPr="00710560">
        <w:t>Pinto</w:t>
      </w:r>
      <w:r w:rsidRPr="00710560" w:rsidR="00710560">
        <w:t xml:space="preserve"> Act</w:t>
      </w:r>
      <w:r w:rsidRPr="00710560">
        <w:rPr>
          <w:snapToGrid w:val="0"/>
          <w:color w:val="000000"/>
          <w:lang w:eastAsia="en-US"/>
        </w:rPr>
        <w:t xml:space="preserve">, </w:t>
      </w:r>
      <w:r w:rsidRPr="00710560" w:rsidR="00710560">
        <w:rPr>
          <w:snapToGrid w:val="0"/>
          <w:color w:val="000000"/>
          <w:lang w:eastAsia="en-US"/>
        </w:rPr>
        <w:t>the sum could not be called into question by the</w:t>
      </w:r>
      <w:r w:rsidRPr="00710560">
        <w:rPr>
          <w:snapToGrid w:val="0"/>
          <w:color w:val="000000"/>
          <w:lang w:eastAsia="en-US"/>
        </w:rPr>
        <w:t xml:space="preserve"> Cour</w:t>
      </w:r>
      <w:r w:rsidRPr="00710560" w:rsidR="00710560">
        <w:rPr>
          <w:snapToGrid w:val="0"/>
          <w:color w:val="000000"/>
          <w:lang w:eastAsia="en-US"/>
        </w:rPr>
        <w:t xml:space="preserve">t because the domestic court had </w:t>
      </w:r>
      <w:r w:rsidR="00710560">
        <w:rPr>
          <w:snapToGrid w:val="0"/>
          <w:color w:val="000000"/>
          <w:lang w:eastAsia="en-US"/>
        </w:rPr>
        <w:t>made its decision on an equitable basis and in accordance with the margin of appre</w:t>
      </w:r>
      <w:r w:rsidRPr="00710560">
        <w:rPr>
          <w:snapToGrid w:val="0"/>
          <w:color w:val="000000"/>
          <w:lang w:eastAsia="en-US"/>
        </w:rPr>
        <w:t xml:space="preserve">ciation </w:t>
      </w:r>
      <w:r w:rsidR="00710560">
        <w:rPr>
          <w:snapToGrid w:val="0"/>
          <w:color w:val="000000"/>
          <w:lang w:eastAsia="en-US"/>
        </w:rPr>
        <w:t xml:space="preserve">available to it regarding just </w:t>
      </w:r>
      <w:r w:rsidRPr="00710560">
        <w:rPr>
          <w:snapToGrid w:val="0"/>
          <w:color w:val="000000"/>
          <w:lang w:eastAsia="en-US"/>
        </w:rPr>
        <w:t xml:space="preserve">satisfaction. </w:t>
      </w:r>
      <w:r w:rsidRPr="00710560" w:rsidR="00710560">
        <w:rPr>
          <w:snapToGrid w:val="0"/>
          <w:color w:val="000000"/>
          <w:lang w:eastAsia="en-US"/>
        </w:rPr>
        <w:t>The assessment of the level of compensation thus fell outside the Court</w:t>
      </w:r>
      <w:r w:rsidR="00E6191D">
        <w:rPr>
          <w:snapToGrid w:val="0"/>
          <w:color w:val="000000"/>
          <w:lang w:eastAsia="en-US"/>
        </w:rPr>
        <w:t>’</w:t>
      </w:r>
      <w:r w:rsidRPr="00710560" w:rsidR="00710560">
        <w:rPr>
          <w:snapToGrid w:val="0"/>
          <w:color w:val="000000"/>
          <w:lang w:eastAsia="en-US"/>
        </w:rPr>
        <w:t>s competence</w:t>
      </w:r>
      <w:r w:rsidR="00710560">
        <w:rPr>
          <w:snapToGrid w:val="0"/>
          <w:color w:val="000000"/>
          <w:lang w:eastAsia="en-US"/>
        </w:rPr>
        <w:t xml:space="preserve"> in accordance with the subsidiarity principle and the margin of appre</w:t>
      </w:r>
      <w:r w:rsidRPr="00710560">
        <w:rPr>
          <w:snapToGrid w:val="0"/>
          <w:color w:val="000000"/>
          <w:lang w:eastAsia="en-US"/>
        </w:rPr>
        <w:t xml:space="preserve">ciation </w:t>
      </w:r>
      <w:r w:rsidR="00710560">
        <w:rPr>
          <w:snapToGrid w:val="0"/>
          <w:color w:val="000000"/>
          <w:lang w:eastAsia="en-US"/>
        </w:rPr>
        <w:t>left to the States</w:t>
      </w:r>
      <w:r w:rsidRPr="00710560">
        <w:rPr>
          <w:snapToGrid w:val="0"/>
          <w:color w:val="000000"/>
          <w:lang w:eastAsia="en-US"/>
        </w:rPr>
        <w:t>.</w:t>
      </w:r>
    </w:p>
    <w:p w:rsidRPr="00262063" w:rsidR="002E19D8" w:rsidP="002E19D8" w:rsidRDefault="004E7A92">
      <w:pPr>
        <w:pStyle w:val="JuParaChar1"/>
        <w:rPr>
          <w:lang w:val="en-GB"/>
        </w:rPr>
      </w:pPr>
      <w:r>
        <w:rPr>
          <w:lang w:val="en-GB"/>
        </w:rPr>
        <w:t>In that connection t</w:t>
      </w:r>
      <w:r w:rsidRPr="005455DC" w:rsidR="005455DC">
        <w:rPr>
          <w:lang w:val="en-GB"/>
        </w:rPr>
        <w:t xml:space="preserve">he Government considered that the acknowledgment of the existence of damage and the determination of quantum were part of the assessment of evidence which fell within the jurisdiction of the domestic courts and was in theory outside the competence of the supranational court. Although the Court did admittedly have the power to review decisions submitted to it with a view to ensuring that the reasoning was neither manifestly unreasonable nor arbitrary and was consonant with logic and the lessons derived from experience actually encountered in the social context, it could not, however, impose its own criteria or substitute its own beliefs for </w:t>
      </w:r>
      <w:r>
        <w:rPr>
          <w:lang w:val="en-GB"/>
        </w:rPr>
        <w:t>those</w:t>
      </w:r>
      <w:r w:rsidRPr="005455DC" w:rsidR="005455DC">
        <w:rPr>
          <w:lang w:val="en-GB"/>
        </w:rPr>
        <w:t xml:space="preserve"> of the domestic courts in assessing the evidence</w:t>
      </w:r>
      <w:r w:rsidRPr="00262063" w:rsidR="002E19D8">
        <w:rPr>
          <w:lang w:val="en-GB"/>
        </w:rPr>
        <w:t>.</w:t>
      </w:r>
    </w:p>
    <w:p w:rsidRPr="00BF642C" w:rsidR="002E19D8" w:rsidP="002E19D8" w:rsidRDefault="002E19D8">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154</w:t>
      </w:r>
      <w:r w:rsidRPr="00C2011C">
        <w:fldChar w:fldCharType="end"/>
      </w:r>
      <w:r w:rsidRPr="002A0715">
        <w:rPr>
          <w:lang w:val="en-GB"/>
        </w:rPr>
        <w:t>.  </w:t>
      </w:r>
      <w:r w:rsidRPr="00262063" w:rsidR="00262063">
        <w:rPr>
          <w:lang w:val="en-GB"/>
        </w:rPr>
        <w:t xml:space="preserve">Furthermore, the Government pointed out that </w:t>
      </w:r>
      <w:r w:rsidRPr="00BF642C" w:rsidR="00BF642C">
        <w:rPr>
          <w:lang w:val="en-GB"/>
        </w:rPr>
        <w:t>the Court had to strike a fair balance between the requirement of clarity and respect for principles such as the States</w:t>
      </w:r>
      <w:r w:rsidR="00E6191D">
        <w:rPr>
          <w:lang w:val="en-GB"/>
        </w:rPr>
        <w:t>’</w:t>
      </w:r>
      <w:r w:rsidRPr="00BF642C" w:rsidR="00BF642C">
        <w:rPr>
          <w:lang w:val="en-GB"/>
        </w:rPr>
        <w:t xml:space="preserve"> margin of appreciation and subsidiarity. The attempt to strike that balance had to be governed by the general rule that any factor to be taken into account which was stated loosely or vaguely in the Strasbourg case-law had to be considered with the greatest respect for the corresponding margin of appreciation to be enjoyed by each State without fear of being subsequently disavowed by the Court</w:t>
      </w:r>
      <w:r w:rsidRPr="00BF642C">
        <w:rPr>
          <w:lang w:val="en-GB"/>
        </w:rPr>
        <w:t>.</w:t>
      </w:r>
    </w:p>
    <w:p w:rsidR="00967E1F" w:rsidP="002E19D8" w:rsidRDefault="002E19D8">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155</w:t>
      </w:r>
      <w:r w:rsidRPr="00C2011C">
        <w:fldChar w:fldCharType="end"/>
      </w:r>
      <w:r w:rsidRPr="002A0715">
        <w:rPr>
          <w:lang w:val="en-GB"/>
        </w:rPr>
        <w:t>.  </w:t>
      </w:r>
      <w:r w:rsidRPr="0031506D" w:rsidR="0031506D">
        <w:rPr>
          <w:lang w:val="en-GB"/>
        </w:rPr>
        <w:t>The Government</w:t>
      </w:r>
      <w:r w:rsidR="0031506D">
        <w:rPr>
          <w:lang w:val="en-GB"/>
        </w:rPr>
        <w:t xml:space="preserve"> then</w:t>
      </w:r>
      <w:r w:rsidRPr="0031506D" w:rsidR="0031506D">
        <w:rPr>
          <w:lang w:val="en-GB"/>
        </w:rPr>
        <w:t xml:space="preserve"> felt it important to explain the criteria used in Italian law</w:t>
      </w:r>
      <w:r w:rsidR="0031506D">
        <w:rPr>
          <w:lang w:val="en-GB"/>
        </w:rPr>
        <w:t xml:space="preserve"> relating to non-pecuniary damage</w:t>
      </w:r>
      <w:r w:rsidRPr="0031506D">
        <w:rPr>
          <w:lang w:val="en-GB"/>
        </w:rPr>
        <w:t>.</w:t>
      </w:r>
    </w:p>
    <w:p w:rsidRPr="005455DC" w:rsidR="002E19D8" w:rsidP="002E19D8" w:rsidRDefault="005455DC">
      <w:pPr>
        <w:pStyle w:val="JuParaChar1"/>
        <w:keepLines/>
        <w:rPr>
          <w:lang w:val="en-GB"/>
        </w:rPr>
      </w:pPr>
      <w:r w:rsidRPr="005455DC">
        <w:rPr>
          <w:lang w:val="en-GB"/>
        </w:rPr>
        <w:t xml:space="preserve">Under the </w:t>
      </w:r>
      <w:r w:rsidRPr="005455DC" w:rsidR="002E19D8">
        <w:rPr>
          <w:lang w:val="en-GB"/>
        </w:rPr>
        <w:t>Pinto</w:t>
      </w:r>
      <w:r w:rsidRPr="005455DC">
        <w:rPr>
          <w:lang w:val="en-GB"/>
        </w:rPr>
        <w:t xml:space="preserve"> Act</w:t>
      </w:r>
      <w:r w:rsidRPr="005455DC" w:rsidR="002E19D8">
        <w:rPr>
          <w:lang w:val="en-GB"/>
        </w:rPr>
        <w:t>,</w:t>
      </w:r>
      <w:r w:rsidR="004E7A92">
        <w:rPr>
          <w:lang w:val="en-GB"/>
        </w:rPr>
        <w:t xml:space="preserve"> only the years beyond</w:t>
      </w:r>
      <w:r w:rsidRPr="005455DC">
        <w:rPr>
          <w:lang w:val="en-GB"/>
        </w:rPr>
        <w:t xml:space="preserve"> </w:t>
      </w:r>
      <w:r w:rsidR="004E7A92">
        <w:rPr>
          <w:lang w:val="en-GB"/>
        </w:rPr>
        <w:t>an</w:t>
      </w:r>
      <w:r w:rsidRPr="005455DC">
        <w:rPr>
          <w:lang w:val="en-GB"/>
        </w:rPr>
        <w:t xml:space="preserve"> </w:t>
      </w:r>
      <w:r w:rsidR="004E7A92">
        <w:rPr>
          <w:lang w:val="en-GB"/>
        </w:rPr>
        <w:t xml:space="preserve">average period that could be regarded as </w:t>
      </w:r>
      <w:r w:rsidRPr="005455DC">
        <w:rPr>
          <w:lang w:val="en-GB"/>
        </w:rPr>
        <w:t xml:space="preserve">“reasonable” had to be taken into account when assessing the </w:t>
      </w:r>
      <w:r>
        <w:rPr>
          <w:lang w:val="en-GB"/>
        </w:rPr>
        <w:t>damage</w:t>
      </w:r>
      <w:r w:rsidRPr="005455DC" w:rsidR="002E19D8">
        <w:rPr>
          <w:lang w:val="en-GB"/>
        </w:rPr>
        <w:t>.</w:t>
      </w:r>
      <w:r>
        <w:rPr>
          <w:lang w:val="en-GB"/>
        </w:rPr>
        <w:t xml:space="preserve"> Furthermore, the existence of non-pecuniary damage did not implicitly flow from the finding of a violation. On the contrary, non-pecuniary damage had to be determined and proved in accordance with the relevant provisions of the Civil Code. </w:t>
      </w:r>
      <w:r w:rsidRPr="005455DC">
        <w:rPr>
          <w:lang w:val="en-GB"/>
        </w:rPr>
        <w:t xml:space="preserve">The Court of Cassation had </w:t>
      </w:r>
      <w:r w:rsidR="00D822B1">
        <w:rPr>
          <w:lang w:val="en-GB"/>
        </w:rPr>
        <w:t>asserted</w:t>
      </w:r>
      <w:r w:rsidRPr="005455DC">
        <w:rPr>
          <w:lang w:val="en-GB"/>
        </w:rPr>
        <w:t xml:space="preserve">, though, that non-pecuniary damage was a normal consequence of a breach of the reasonable-time requirement that </w:t>
      </w:r>
      <w:r w:rsidR="00D822B1">
        <w:rPr>
          <w:lang w:val="en-GB"/>
        </w:rPr>
        <w:t xml:space="preserve">from then on </w:t>
      </w:r>
      <w:r w:rsidRPr="005455DC">
        <w:rPr>
          <w:lang w:val="en-GB"/>
        </w:rPr>
        <w:t xml:space="preserve">did not have to be proved by the applicant. </w:t>
      </w:r>
      <w:r w:rsidR="00D822B1">
        <w:rPr>
          <w:lang w:val="en-GB"/>
        </w:rPr>
        <w:t>According to the Court of Cassation, i</w:t>
      </w:r>
      <w:r w:rsidRPr="005455DC">
        <w:rPr>
          <w:lang w:val="en-GB"/>
        </w:rPr>
        <w:t xml:space="preserve">t was up to the State to provide proof that in a particular case an inordinately long wait for a judgment had not occasioned the applicant any anxiety or </w:t>
      </w:r>
      <w:r w:rsidR="004569A6">
        <w:rPr>
          <w:lang w:val="en-GB"/>
        </w:rPr>
        <w:t>distress but</w:t>
      </w:r>
      <w:r w:rsidR="00566BA5">
        <w:rPr>
          <w:lang w:val="en-GB"/>
        </w:rPr>
        <w:t xml:space="preserve">, on the contrary, </w:t>
      </w:r>
      <w:r w:rsidR="004569A6">
        <w:rPr>
          <w:lang w:val="en-GB"/>
        </w:rPr>
        <w:t>had been</w:t>
      </w:r>
      <w:r w:rsidRPr="005455DC">
        <w:rPr>
          <w:lang w:val="en-GB"/>
        </w:rPr>
        <w:t xml:space="preserve"> advantageous or that the applicant </w:t>
      </w:r>
      <w:r w:rsidR="00D822B1">
        <w:rPr>
          <w:lang w:val="en-GB"/>
        </w:rPr>
        <w:t>had been</w:t>
      </w:r>
      <w:r w:rsidRPr="005455DC" w:rsidR="00D822B1">
        <w:rPr>
          <w:lang w:val="en-GB"/>
        </w:rPr>
        <w:t xml:space="preserve"> </w:t>
      </w:r>
      <w:r w:rsidRPr="005455DC">
        <w:rPr>
          <w:lang w:val="en-GB"/>
        </w:rPr>
        <w:t>aware of having instituted or contested proceedings on the basis of erroneous arguments (Court of Cassation</w:t>
      </w:r>
      <w:r w:rsidR="00AC0EB2">
        <w:rPr>
          <w:lang w:val="en-GB"/>
        </w:rPr>
        <w:t>, 29 March-11 May 2004,</w:t>
      </w:r>
      <w:r w:rsidRPr="005455DC">
        <w:rPr>
          <w:lang w:val="en-GB"/>
        </w:rPr>
        <w:t xml:space="preserve"> no.</w:t>
      </w:r>
      <w:r w:rsidR="00AF0A1F">
        <w:rPr>
          <w:lang w:val="en-GB"/>
        </w:rPr>
        <w:t xml:space="preserve"> </w:t>
      </w:r>
      <w:r w:rsidRPr="005455DC">
        <w:rPr>
          <w:lang w:val="en-GB"/>
        </w:rPr>
        <w:t>8896), for example</w:t>
      </w:r>
      <w:r w:rsidR="004C51EE">
        <w:rPr>
          <w:lang w:val="en-GB"/>
        </w:rPr>
        <w:t>,</w:t>
      </w:r>
      <w:r w:rsidRPr="005455DC">
        <w:rPr>
          <w:lang w:val="en-GB"/>
        </w:rPr>
        <w:t xml:space="preserve"> where </w:t>
      </w:r>
      <w:r w:rsidR="00566BA5">
        <w:rPr>
          <w:lang w:val="en-GB"/>
        </w:rPr>
        <w:t>the applicant</w:t>
      </w:r>
      <w:r w:rsidRPr="005455DC" w:rsidR="00D822B1">
        <w:rPr>
          <w:lang w:val="en-GB"/>
        </w:rPr>
        <w:t xml:space="preserve"> </w:t>
      </w:r>
      <w:r w:rsidR="00D822B1">
        <w:rPr>
          <w:lang w:val="en-GB"/>
        </w:rPr>
        <w:t>had been</w:t>
      </w:r>
      <w:r w:rsidRPr="005455DC" w:rsidR="00D822B1">
        <w:rPr>
          <w:lang w:val="en-GB"/>
        </w:rPr>
        <w:t xml:space="preserve"> </w:t>
      </w:r>
      <w:r w:rsidRPr="005455DC">
        <w:rPr>
          <w:lang w:val="en-GB"/>
        </w:rPr>
        <w:t xml:space="preserve">well aware from the outset that </w:t>
      </w:r>
      <w:r w:rsidR="00566BA5">
        <w:rPr>
          <w:lang w:val="en-GB"/>
        </w:rPr>
        <w:t>he or she</w:t>
      </w:r>
      <w:r w:rsidRPr="005455DC">
        <w:rPr>
          <w:lang w:val="en-GB"/>
        </w:rPr>
        <w:t xml:space="preserve"> had no chance of </w:t>
      </w:r>
      <w:r w:rsidR="00B7372C">
        <w:rPr>
          <w:lang w:val="en-GB"/>
        </w:rPr>
        <w:t>success</w:t>
      </w:r>
      <w:r w:rsidRPr="005455DC">
        <w:rPr>
          <w:lang w:val="en-GB"/>
        </w:rPr>
        <w:t>.</w:t>
      </w:r>
    </w:p>
    <w:p w:rsidRPr="005455DC" w:rsidR="002E19D8" w:rsidP="002E19D8" w:rsidRDefault="002E19D8">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156</w:t>
      </w:r>
      <w:r w:rsidRPr="00C2011C">
        <w:fldChar w:fldCharType="end"/>
      </w:r>
      <w:r w:rsidRPr="002A0715">
        <w:rPr>
          <w:lang w:val="en-GB"/>
        </w:rPr>
        <w:t>.  </w:t>
      </w:r>
      <w:r w:rsidRPr="005455DC" w:rsidR="005455DC">
        <w:rPr>
          <w:lang w:val="en-GB"/>
        </w:rPr>
        <w:t>The Government observed lastly that, under A</w:t>
      </w:r>
      <w:r w:rsidRPr="005455DC">
        <w:rPr>
          <w:lang w:val="en-GB"/>
        </w:rPr>
        <w:t xml:space="preserve">rticle 41 </w:t>
      </w:r>
      <w:r w:rsidRPr="005455DC" w:rsidR="005455DC">
        <w:rPr>
          <w:lang w:val="en-GB"/>
        </w:rPr>
        <w:t>of the</w:t>
      </w:r>
      <w:r w:rsidR="005455DC">
        <w:rPr>
          <w:lang w:val="en-GB"/>
        </w:rPr>
        <w:t xml:space="preserve"> Convention, </w:t>
      </w:r>
      <w:r w:rsidRPr="005455DC" w:rsidR="005455DC">
        <w:rPr>
          <w:lang w:val="en-GB"/>
        </w:rPr>
        <w:t>the</w:t>
      </w:r>
      <w:r w:rsidRPr="005455DC">
        <w:rPr>
          <w:lang w:val="en-GB"/>
        </w:rPr>
        <w:t xml:space="preserve"> Cour</w:t>
      </w:r>
      <w:r w:rsidRPr="005455DC" w:rsidR="005455DC">
        <w:rPr>
          <w:lang w:val="en-GB"/>
        </w:rPr>
        <w:t xml:space="preserve">t awarded just satisfaction </w:t>
      </w:r>
      <w:r w:rsidRPr="005455DC" w:rsidR="005455DC">
        <w:rPr>
          <w:bCs/>
          <w:lang w:val="en-GB"/>
        </w:rPr>
        <w:t xml:space="preserve">if appropriate, </w:t>
      </w:r>
      <w:r w:rsidR="004E7A92">
        <w:rPr>
          <w:bCs/>
          <w:lang w:val="en-GB"/>
        </w:rPr>
        <w:t>and sometimes</w:t>
      </w:r>
      <w:r w:rsidRPr="005455DC" w:rsidR="005455DC">
        <w:rPr>
          <w:bCs/>
          <w:lang w:val="en-GB"/>
        </w:rPr>
        <w:t xml:space="preserve"> </w:t>
      </w:r>
      <w:r w:rsidR="004E7A92">
        <w:rPr>
          <w:bCs/>
          <w:lang w:val="en-GB"/>
        </w:rPr>
        <w:t xml:space="preserve">held that </w:t>
      </w:r>
      <w:r w:rsidRPr="005455DC" w:rsidR="005455DC">
        <w:rPr>
          <w:bCs/>
          <w:lang w:val="en-GB"/>
        </w:rPr>
        <w:t>a finding of a violation suffice</w:t>
      </w:r>
      <w:r w:rsidR="004E7A92">
        <w:rPr>
          <w:bCs/>
          <w:lang w:val="en-GB"/>
        </w:rPr>
        <w:t>d</w:t>
      </w:r>
      <w:r w:rsidRPr="005455DC" w:rsidR="005455DC">
        <w:rPr>
          <w:bCs/>
          <w:lang w:val="en-GB"/>
        </w:rPr>
        <w:t>.</w:t>
      </w:r>
      <w:r w:rsidRPr="005455DC" w:rsidR="005455DC">
        <w:rPr>
          <w:lang w:val="en-GB"/>
        </w:rPr>
        <w:t xml:space="preserve"> </w:t>
      </w:r>
      <w:r w:rsidR="005455DC">
        <w:rPr>
          <w:lang w:val="en-GB"/>
        </w:rPr>
        <w:t>T</w:t>
      </w:r>
      <w:r w:rsidRPr="005455DC" w:rsidR="005455DC">
        <w:rPr>
          <w:lang w:val="en-GB"/>
        </w:rPr>
        <w:t>h</w:t>
      </w:r>
      <w:r w:rsidR="004E7A92">
        <w:rPr>
          <w:lang w:val="en-GB"/>
        </w:rPr>
        <w:t>at possibility should also be available to the States, which should also be</w:t>
      </w:r>
      <w:r w:rsidRPr="005455DC" w:rsidR="005455DC">
        <w:rPr>
          <w:lang w:val="en-GB"/>
        </w:rPr>
        <w:t xml:space="preserve"> able to vary the amounts </w:t>
      </w:r>
      <w:r w:rsidR="00853ACF">
        <w:rPr>
          <w:lang w:val="en-GB"/>
        </w:rPr>
        <w:t>they</w:t>
      </w:r>
      <w:r w:rsidRPr="005455DC" w:rsidR="005455DC">
        <w:rPr>
          <w:lang w:val="en-GB"/>
        </w:rPr>
        <w:t xml:space="preserve"> awarded</w:t>
      </w:r>
      <w:r w:rsidR="00AC0EB2">
        <w:rPr>
          <w:lang w:val="en-GB"/>
        </w:rPr>
        <w:t>, even</w:t>
      </w:r>
      <w:r w:rsidRPr="005455DC" w:rsidR="005455DC">
        <w:rPr>
          <w:lang w:val="en-GB"/>
        </w:rPr>
        <w:t xml:space="preserve"> to the point of awarding nothing</w:t>
      </w:r>
      <w:r w:rsidR="005455DC">
        <w:rPr>
          <w:lang w:val="en-GB"/>
        </w:rPr>
        <w:t xml:space="preserve"> in some cases</w:t>
      </w:r>
      <w:r w:rsidRPr="005455DC">
        <w:rPr>
          <w:lang w:val="en-GB"/>
        </w:rPr>
        <w:t>.</w:t>
      </w:r>
    </w:p>
    <w:p w:rsidRPr="00C2011C" w:rsidR="002E19D8" w:rsidP="005455DC" w:rsidRDefault="002E19D8">
      <w:pPr>
        <w:ind w:firstLine="284"/>
        <w:jc w:val="both"/>
      </w:pPr>
      <w:r w:rsidRPr="00C2011C">
        <w:fldChar w:fldCharType="begin"/>
      </w:r>
      <w:r w:rsidRPr="00C2011C">
        <w:instrText xml:space="preserve"> SEQ level0 \*arabic </w:instrText>
      </w:r>
      <w:r w:rsidRPr="00C2011C">
        <w:fldChar w:fldCharType="separate"/>
      </w:r>
      <w:r w:rsidR="008B3B68">
        <w:rPr>
          <w:noProof/>
        </w:rPr>
        <w:t>157</w:t>
      </w:r>
      <w:r w:rsidRPr="00C2011C">
        <w:fldChar w:fldCharType="end"/>
      </w:r>
      <w:r w:rsidRPr="00C2011C">
        <w:t>.  </w:t>
      </w:r>
      <w:r w:rsidR="005455DC">
        <w:t>The Government</w:t>
      </w:r>
      <w:r w:rsidRPr="00C2011C">
        <w:t xml:space="preserve"> </w:t>
      </w:r>
      <w:r w:rsidR="005455DC">
        <w:t xml:space="preserve">then asked the </w:t>
      </w:r>
      <w:r w:rsidRPr="000E45DE" w:rsidR="005455DC">
        <w:t>Court to clarify the various aspects of the reasoning</w:t>
      </w:r>
      <w:r w:rsidR="0070494C">
        <w:t xml:space="preserve"> that le</w:t>
      </w:r>
      <w:r w:rsidR="005455DC">
        <w:t>d to its decisions, both in respect of the parts relating to a violation and those regarding just satisfaction.</w:t>
      </w:r>
      <w:r w:rsidRPr="000E45DE" w:rsidR="005455DC">
        <w:t xml:space="preserve"> </w:t>
      </w:r>
      <w:r w:rsidR="005455DC">
        <w:t>They submitted that the Court should follow the approach used by the domestic courts and explain in each case how many years had to be regarded as “natural” for each stage of proceedings, how many might be acceptable having regard to the complexity of the case, how many delays were attributable to each party, the importance of the stakes in the proceedings, the outcome of the proceedings and how the just satisfaction to be awarded was calculated on the basis of those factors.</w:t>
      </w:r>
    </w:p>
    <w:p w:rsidR="00967E1F" w:rsidP="002E19D8" w:rsidRDefault="002E19D8">
      <w:pPr>
        <w:pStyle w:val="JuParaChar1"/>
        <w:rPr>
          <w:lang w:val="en-GB"/>
        </w:rPr>
      </w:pPr>
      <w:r w:rsidRPr="00C2011C">
        <w:fldChar w:fldCharType="begin"/>
      </w:r>
      <w:r w:rsidRPr="005455DC">
        <w:rPr>
          <w:lang w:val="en-GB"/>
        </w:rPr>
        <w:instrText xml:space="preserve"> SEQ level0 \*arabic </w:instrText>
      </w:r>
      <w:r w:rsidRPr="00C2011C">
        <w:fldChar w:fldCharType="separate"/>
      </w:r>
      <w:r w:rsidR="008B3B68">
        <w:rPr>
          <w:noProof/>
          <w:lang w:val="en-GB"/>
        </w:rPr>
        <w:t>158</w:t>
      </w:r>
      <w:r w:rsidRPr="00C2011C">
        <w:fldChar w:fldCharType="end"/>
      </w:r>
      <w:r w:rsidRPr="005455DC">
        <w:rPr>
          <w:lang w:val="en-GB"/>
        </w:rPr>
        <w:t>.  </w:t>
      </w:r>
      <w:r w:rsidRPr="005455DC" w:rsidR="005455DC">
        <w:rPr>
          <w:lang w:val="en-GB"/>
        </w:rPr>
        <w:t>At the hearing the Government indicated</w:t>
      </w:r>
      <w:r w:rsidR="005455DC">
        <w:rPr>
          <w:lang w:val="en-GB"/>
        </w:rPr>
        <w:t>, lastly,</w:t>
      </w:r>
      <w:r w:rsidRPr="005455DC" w:rsidR="005455DC">
        <w:rPr>
          <w:lang w:val="en-GB"/>
        </w:rPr>
        <w:t xml:space="preserve"> that as far as the procedural costs were concerned the applicant</w:t>
      </w:r>
      <w:r w:rsidR="004569A6">
        <w:rPr>
          <w:lang w:val="en-GB"/>
        </w:rPr>
        <w:t>s</w:t>
      </w:r>
      <w:r w:rsidRPr="005455DC" w:rsidR="005455DC">
        <w:rPr>
          <w:lang w:val="en-GB"/>
        </w:rPr>
        <w:t xml:space="preserve"> had obtained </w:t>
      </w:r>
      <w:r w:rsidR="005455DC">
        <w:rPr>
          <w:lang w:val="en-GB"/>
        </w:rPr>
        <w:t>only partial</w:t>
      </w:r>
      <w:r w:rsidRPr="005455DC" w:rsidR="005455DC">
        <w:rPr>
          <w:lang w:val="en-GB"/>
        </w:rPr>
        <w:t xml:space="preserve"> reimbursement</w:t>
      </w:r>
      <w:r w:rsidR="005455DC">
        <w:rPr>
          <w:lang w:val="en-GB"/>
        </w:rPr>
        <w:t xml:space="preserve"> from the courts because one of the parties against </w:t>
      </w:r>
      <w:r w:rsidR="00853ACF">
        <w:rPr>
          <w:lang w:val="en-GB"/>
        </w:rPr>
        <w:t xml:space="preserve">which </w:t>
      </w:r>
      <w:r w:rsidR="005455DC">
        <w:rPr>
          <w:lang w:val="en-GB"/>
        </w:rPr>
        <w:t>the proceedings had been instituted could not be considered a party to the proceedings</w:t>
      </w:r>
      <w:r w:rsidRPr="005455DC" w:rsidR="005455DC">
        <w:rPr>
          <w:lang w:val="en-GB"/>
        </w:rPr>
        <w:t>.</w:t>
      </w:r>
    </w:p>
    <w:p w:rsidR="002E19D8" w:rsidP="002E19D8" w:rsidRDefault="002E19D8">
      <w:pPr>
        <w:pStyle w:val="JuParaChar1"/>
        <w:rPr>
          <w:lang w:val="en-GB"/>
        </w:rPr>
      </w:pPr>
      <w:r w:rsidRPr="00C2011C">
        <w:fldChar w:fldCharType="begin"/>
      </w:r>
      <w:r w:rsidRPr="005455DC">
        <w:rPr>
          <w:lang w:val="en-GB"/>
        </w:rPr>
        <w:instrText xml:space="preserve"> SEQ level0 \*arabic </w:instrText>
      </w:r>
      <w:r w:rsidRPr="00C2011C">
        <w:fldChar w:fldCharType="separate"/>
      </w:r>
      <w:r w:rsidR="008B3B68">
        <w:rPr>
          <w:noProof/>
          <w:lang w:val="en-GB"/>
        </w:rPr>
        <w:t>159</w:t>
      </w:r>
      <w:r w:rsidRPr="00C2011C">
        <w:fldChar w:fldCharType="end"/>
      </w:r>
      <w:r w:rsidRPr="005455DC">
        <w:rPr>
          <w:lang w:val="en-GB"/>
        </w:rPr>
        <w:t>.  </w:t>
      </w:r>
      <w:r w:rsidRPr="005455DC" w:rsidR="005455DC">
        <w:rPr>
          <w:lang w:val="en-GB"/>
        </w:rPr>
        <w:t>For all the foregoing reasons, the Government argued that the applicant</w:t>
      </w:r>
      <w:r w:rsidR="005455DC">
        <w:rPr>
          <w:lang w:val="en-GB"/>
        </w:rPr>
        <w:t>s</w:t>
      </w:r>
      <w:r w:rsidRPr="005455DC" w:rsidR="005455DC">
        <w:rPr>
          <w:lang w:val="en-GB"/>
        </w:rPr>
        <w:t xml:space="preserve"> should no longer be regarded</w:t>
      </w:r>
      <w:r w:rsidR="005455DC">
        <w:rPr>
          <w:lang w:val="en-GB"/>
        </w:rPr>
        <w:t xml:space="preserve"> as</w:t>
      </w:r>
      <w:r w:rsidRPr="005455DC" w:rsidR="005455DC">
        <w:rPr>
          <w:lang w:val="en-GB"/>
        </w:rPr>
        <w:t xml:space="preserve"> “victim</w:t>
      </w:r>
      <w:r w:rsidR="005455DC">
        <w:rPr>
          <w:lang w:val="en-GB"/>
        </w:rPr>
        <w:t>s</w:t>
      </w:r>
      <w:r w:rsidRPr="005455DC" w:rsidR="005455DC">
        <w:rPr>
          <w:lang w:val="en-GB"/>
        </w:rPr>
        <w:t xml:space="preserve">” of a violation </w:t>
      </w:r>
      <w:r w:rsidR="00853ACF">
        <w:rPr>
          <w:lang w:val="en-GB"/>
        </w:rPr>
        <w:t xml:space="preserve">due to </w:t>
      </w:r>
      <w:r w:rsidR="005455DC">
        <w:rPr>
          <w:lang w:val="en-GB"/>
        </w:rPr>
        <w:t>the excessive length of the proceedings</w:t>
      </w:r>
      <w:r w:rsidRPr="005455DC">
        <w:rPr>
          <w:lang w:val="en-GB"/>
        </w:rPr>
        <w:t>.</w:t>
      </w:r>
    </w:p>
    <w:p w:rsidR="00967E1F" w:rsidP="00124007" w:rsidRDefault="00E54656">
      <w:pPr>
        <w:pStyle w:val="JuHa"/>
        <w:outlineLvl w:val="0"/>
        <w:rPr>
          <w:lang w:val="en-GB"/>
        </w:rPr>
      </w:pPr>
      <w:r>
        <w:rPr>
          <w:lang w:val="en-GB"/>
        </w:rPr>
        <w:t>(</w:t>
      </w:r>
      <w:r w:rsidR="001566A1">
        <w:rPr>
          <w:lang w:val="en-GB"/>
        </w:rPr>
        <w:t>b</w:t>
      </w:r>
      <w:r w:rsidRPr="002A0715" w:rsidR="001566A1">
        <w:rPr>
          <w:lang w:val="en-GB"/>
        </w:rPr>
        <w:t>)  The applicants</w:t>
      </w:r>
    </w:p>
    <w:p w:rsidRPr="002E19D8" w:rsidR="001566A1" w:rsidP="001566A1" w:rsidRDefault="001566A1">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160</w:t>
      </w:r>
      <w:r w:rsidRPr="00C2011C">
        <w:fldChar w:fldCharType="end"/>
      </w:r>
      <w:r w:rsidRPr="002A0715">
        <w:rPr>
          <w:lang w:val="en-GB"/>
        </w:rPr>
        <w:t>.  </w:t>
      </w:r>
      <w:r w:rsidRPr="002E19D8">
        <w:rPr>
          <w:lang w:val="en-GB"/>
        </w:rPr>
        <w:t xml:space="preserve">The applicants submitted that they were still </w:t>
      </w:r>
      <w:r>
        <w:rPr>
          <w:lang w:val="en-GB"/>
        </w:rPr>
        <w:t>“</w:t>
      </w:r>
      <w:r w:rsidRPr="002E19D8">
        <w:rPr>
          <w:lang w:val="en-GB"/>
        </w:rPr>
        <w:t>victims</w:t>
      </w:r>
      <w:r>
        <w:rPr>
          <w:lang w:val="en-GB"/>
        </w:rPr>
        <w:t>”</w:t>
      </w:r>
      <w:r w:rsidRPr="002E19D8">
        <w:rPr>
          <w:lang w:val="en-GB"/>
        </w:rPr>
        <w:t xml:space="preserve"> of the </w:t>
      </w:r>
      <w:r w:rsidRPr="002E19D8" w:rsidR="007907E5">
        <w:rPr>
          <w:lang w:val="en-GB"/>
        </w:rPr>
        <w:t xml:space="preserve">alleged </w:t>
      </w:r>
      <w:r w:rsidRPr="002E19D8">
        <w:rPr>
          <w:lang w:val="en-GB"/>
        </w:rPr>
        <w:t>violation because the amount awarded them by the Court of Appeal wa</w:t>
      </w:r>
      <w:r>
        <w:rPr>
          <w:lang w:val="en-GB"/>
        </w:rPr>
        <w:t>s derisory and</w:t>
      </w:r>
      <w:r w:rsidRPr="002E19D8">
        <w:rPr>
          <w:lang w:val="en-GB"/>
        </w:rPr>
        <w:t xml:space="preserve"> </w:t>
      </w:r>
      <w:r>
        <w:rPr>
          <w:lang w:val="en-GB"/>
        </w:rPr>
        <w:t>bore no relation whatsoever to the</w:t>
      </w:r>
      <w:r w:rsidRPr="002E19D8">
        <w:rPr>
          <w:lang w:val="en-GB"/>
        </w:rPr>
        <w:t xml:space="preserve"> </w:t>
      </w:r>
      <w:r>
        <w:rPr>
          <w:lang w:val="en-GB"/>
        </w:rPr>
        <w:t>levels of compensation awarded by the Court</w:t>
      </w:r>
      <w:r w:rsidRPr="002E19D8">
        <w:rPr>
          <w:lang w:val="en-GB"/>
        </w:rPr>
        <w:t>.</w:t>
      </w:r>
    </w:p>
    <w:p w:rsidRPr="002E19D8" w:rsidR="001566A1" w:rsidP="001566A1" w:rsidRDefault="001566A1">
      <w:pPr>
        <w:pStyle w:val="JuParaChar1"/>
        <w:rPr>
          <w:lang w:val="en-GB" w:eastAsia="en-US"/>
        </w:rPr>
      </w:pPr>
      <w:r w:rsidRPr="00C2011C">
        <w:fldChar w:fldCharType="begin"/>
      </w:r>
      <w:r w:rsidRPr="002A0715">
        <w:rPr>
          <w:lang w:val="en-GB"/>
        </w:rPr>
        <w:instrText xml:space="preserve"> SEQ level0 \*arabic </w:instrText>
      </w:r>
      <w:r w:rsidRPr="00C2011C">
        <w:fldChar w:fldCharType="separate"/>
      </w:r>
      <w:r w:rsidR="008B3B68">
        <w:rPr>
          <w:noProof/>
          <w:lang w:val="en-GB"/>
        </w:rPr>
        <w:t>161</w:t>
      </w:r>
      <w:r w:rsidRPr="00C2011C">
        <w:fldChar w:fldCharType="end"/>
      </w:r>
      <w:r w:rsidRPr="002A0715">
        <w:rPr>
          <w:lang w:val="en-GB"/>
        </w:rPr>
        <w:t>.  </w:t>
      </w:r>
      <w:r>
        <w:rPr>
          <w:lang w:val="en-GB"/>
        </w:rPr>
        <w:t>Relying on</w:t>
      </w:r>
      <w:r w:rsidRPr="002E19D8">
        <w:rPr>
          <w:lang w:val="en-GB"/>
        </w:rPr>
        <w:t xml:space="preserve"> </w:t>
      </w:r>
      <w:r>
        <w:rPr>
          <w:i/>
          <w:lang w:val="en-GB" w:eastAsia="en-US"/>
        </w:rPr>
        <w:t xml:space="preserve">Holzinger v. </w:t>
      </w:r>
      <w:smartTag w:uri="urn:schemas-microsoft-com:office:smarttags" w:element="place">
        <w:smartTag w:uri="urn:schemas-microsoft-com:office:smarttags" w:element="country-region">
          <w:r>
            <w:rPr>
              <w:i/>
              <w:lang w:val="en-GB" w:eastAsia="en-US"/>
            </w:rPr>
            <w:t>Austria</w:t>
          </w:r>
        </w:smartTag>
      </w:smartTag>
      <w:r>
        <w:rPr>
          <w:i/>
          <w:lang w:val="en-GB" w:eastAsia="en-US"/>
        </w:rPr>
        <w:t xml:space="preserve"> (n</w:t>
      </w:r>
      <w:r w:rsidRPr="002E19D8">
        <w:rPr>
          <w:i/>
          <w:lang w:val="en-GB" w:eastAsia="en-US"/>
        </w:rPr>
        <w:t>o. 1)</w:t>
      </w:r>
      <w:r w:rsidRPr="002E19D8">
        <w:rPr>
          <w:lang w:val="en-GB" w:eastAsia="en-US"/>
        </w:rPr>
        <w:t xml:space="preserve"> (</w:t>
      </w:r>
      <w:r>
        <w:rPr>
          <w:lang w:val="en-GB" w:eastAsia="en-US"/>
        </w:rPr>
        <w:t>no.</w:t>
      </w:r>
      <w:r w:rsidRPr="002E19D8">
        <w:rPr>
          <w:lang w:val="en-GB" w:eastAsia="en-US"/>
        </w:rPr>
        <w:t xml:space="preserve"> 23459/94, §</w:t>
      </w:r>
      <w:r w:rsidR="007907E5">
        <w:rPr>
          <w:lang w:val="en-GB" w:eastAsia="en-US"/>
        </w:rPr>
        <w:t xml:space="preserve"> </w:t>
      </w:r>
      <w:r w:rsidRPr="002E19D8">
        <w:rPr>
          <w:lang w:val="en-GB" w:eastAsia="en-US"/>
        </w:rPr>
        <w:t xml:space="preserve">21, </w:t>
      </w:r>
      <w:r>
        <w:rPr>
          <w:lang w:val="en-GB" w:eastAsia="en-US"/>
        </w:rPr>
        <w:t>ECHR</w:t>
      </w:r>
      <w:r w:rsidR="007907E5">
        <w:rPr>
          <w:lang w:val="en-GB" w:eastAsia="en-US"/>
        </w:rPr>
        <w:t xml:space="preserve"> 2001-</w:t>
      </w:r>
      <w:r w:rsidRPr="002E19D8">
        <w:rPr>
          <w:lang w:val="en-GB" w:eastAsia="en-US"/>
        </w:rPr>
        <w:t>I), the applicants submitted that the Court had power to asses</w:t>
      </w:r>
      <w:r>
        <w:rPr>
          <w:lang w:val="en-GB" w:eastAsia="en-US"/>
        </w:rPr>
        <w:t>s the amount of the compensation received at domestic level in order to determine whether they had victim status</w:t>
      </w:r>
      <w:r w:rsidRPr="002E19D8">
        <w:rPr>
          <w:lang w:val="en-GB" w:eastAsia="en-US"/>
        </w:rPr>
        <w:t>. In so doing, it could compare that amount w</w:t>
      </w:r>
      <w:r>
        <w:rPr>
          <w:lang w:val="en-GB" w:eastAsia="en-US"/>
        </w:rPr>
        <w:t>ith the amount it would itself have awarded in just</w:t>
      </w:r>
      <w:r w:rsidRPr="002E19D8">
        <w:rPr>
          <w:lang w:val="en-GB" w:eastAsia="en-US"/>
        </w:rPr>
        <w:t xml:space="preserve"> satisfaction.</w:t>
      </w:r>
    </w:p>
    <w:p w:rsidRPr="004B5691" w:rsidR="001566A1" w:rsidP="001566A1" w:rsidRDefault="001566A1">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162</w:t>
      </w:r>
      <w:r w:rsidRPr="00C2011C">
        <w:fldChar w:fldCharType="end"/>
      </w:r>
      <w:r w:rsidRPr="002A0715">
        <w:rPr>
          <w:lang w:val="en-GB"/>
        </w:rPr>
        <w:t>.  </w:t>
      </w:r>
      <w:r w:rsidRPr="002E19D8">
        <w:rPr>
          <w:lang w:val="en-GB"/>
        </w:rPr>
        <w:t xml:space="preserve">The applicants disputed the contention that once a finding of a breach of the </w:t>
      </w:r>
      <w:r>
        <w:rPr>
          <w:lang w:val="en-GB"/>
        </w:rPr>
        <w:t>“</w:t>
      </w:r>
      <w:r w:rsidRPr="002E19D8">
        <w:rPr>
          <w:lang w:val="en-GB"/>
        </w:rPr>
        <w:t>reasonable</w:t>
      </w:r>
      <w:r w:rsidR="001C1BC1">
        <w:rPr>
          <w:lang w:val="en-GB"/>
        </w:rPr>
        <w:t xml:space="preserve"> </w:t>
      </w:r>
      <w:r w:rsidRPr="002E19D8">
        <w:rPr>
          <w:lang w:val="en-GB"/>
        </w:rPr>
        <w:t>time</w:t>
      </w:r>
      <w:r>
        <w:rPr>
          <w:lang w:val="en-GB"/>
        </w:rPr>
        <w:t xml:space="preserve">” </w:t>
      </w:r>
      <w:r w:rsidR="007907E5">
        <w:rPr>
          <w:lang w:val="en-GB"/>
        </w:rPr>
        <w:t>requirement</w:t>
      </w:r>
      <w:r>
        <w:rPr>
          <w:lang w:val="en-GB"/>
        </w:rPr>
        <w:t xml:space="preserve"> had been made</w:t>
      </w:r>
      <w:r w:rsidRPr="002E19D8">
        <w:rPr>
          <w:lang w:val="en-GB"/>
        </w:rPr>
        <w:t xml:space="preserve">, </w:t>
      </w:r>
      <w:r>
        <w:rPr>
          <w:lang w:val="en-GB"/>
        </w:rPr>
        <w:t>it was possible not to award any compensation</w:t>
      </w:r>
      <w:r w:rsidRPr="002E19D8">
        <w:rPr>
          <w:lang w:val="en-GB"/>
        </w:rPr>
        <w:t xml:space="preserve">. </w:t>
      </w:r>
      <w:r w:rsidRPr="004B5691">
        <w:rPr>
          <w:lang w:val="en-GB"/>
        </w:rPr>
        <w:t xml:space="preserve">In their submission, where the courts found that the proceedings had been excessive </w:t>
      </w:r>
      <w:r>
        <w:rPr>
          <w:lang w:val="en-GB"/>
        </w:rPr>
        <w:t>in length</w:t>
      </w:r>
      <w:r w:rsidRPr="004B5691">
        <w:rPr>
          <w:lang w:val="en-GB"/>
        </w:rPr>
        <w:t xml:space="preserve">, </w:t>
      </w:r>
      <w:r>
        <w:rPr>
          <w:lang w:val="en-GB"/>
        </w:rPr>
        <w:t>it meant that the interested parties had had</w:t>
      </w:r>
      <w:r w:rsidR="007907E5">
        <w:rPr>
          <w:lang w:val="en-GB"/>
        </w:rPr>
        <w:t xml:space="preserve"> time “</w:t>
      </w:r>
      <w:r>
        <w:rPr>
          <w:lang w:val="en-GB"/>
        </w:rPr>
        <w:t>stolen” from them</w:t>
      </w:r>
      <w:r w:rsidRPr="004B5691">
        <w:rPr>
          <w:lang w:val="en-GB"/>
        </w:rPr>
        <w:t xml:space="preserve">. As that time could not be given back, </w:t>
      </w:r>
      <w:r>
        <w:rPr>
          <w:lang w:val="en-GB"/>
        </w:rPr>
        <w:t xml:space="preserve">it was necessary to award </w:t>
      </w:r>
      <w:r w:rsidRPr="004B5691">
        <w:rPr>
          <w:lang w:val="en-GB"/>
        </w:rPr>
        <w:t>pecuniary compensation</w:t>
      </w:r>
      <w:r>
        <w:rPr>
          <w:lang w:val="en-GB"/>
        </w:rPr>
        <w:t xml:space="preserve">. </w:t>
      </w:r>
      <w:r w:rsidRPr="002A0715">
        <w:rPr>
          <w:lang w:val="en-GB"/>
        </w:rPr>
        <w:t xml:space="preserve">Failing that, the violation persisted. </w:t>
      </w:r>
      <w:r w:rsidRPr="004B5691">
        <w:rPr>
          <w:lang w:val="en-GB"/>
        </w:rPr>
        <w:t>In that connecti</w:t>
      </w:r>
      <w:r>
        <w:rPr>
          <w:lang w:val="en-GB"/>
        </w:rPr>
        <w:t>on the applicants referred to “</w:t>
      </w:r>
      <w:r w:rsidRPr="004B5691">
        <w:rPr>
          <w:lang w:val="en-GB"/>
        </w:rPr>
        <w:t>minim</w:t>
      </w:r>
      <w:r>
        <w:rPr>
          <w:lang w:val="en-GB"/>
        </w:rPr>
        <w:t>um</w:t>
      </w:r>
      <w:r w:rsidR="00AF0A1F">
        <w:rPr>
          <w:lang w:val="en-GB"/>
        </w:rPr>
        <w:t xml:space="preserve"> </w:t>
      </w:r>
      <w:r>
        <w:rPr>
          <w:lang w:val="en-GB"/>
        </w:rPr>
        <w:t>damage”</w:t>
      </w:r>
      <w:r w:rsidRPr="004B5691">
        <w:rPr>
          <w:lang w:val="en-GB"/>
        </w:rPr>
        <w:t xml:space="preserve"> implicitly flow</w:t>
      </w:r>
      <w:r>
        <w:rPr>
          <w:lang w:val="en-GB"/>
        </w:rPr>
        <w:t>ing</w:t>
      </w:r>
      <w:r w:rsidRPr="004B5691">
        <w:rPr>
          <w:lang w:val="en-GB"/>
        </w:rPr>
        <w:t xml:space="preserve"> from a finding of a violation</w:t>
      </w:r>
      <w:r>
        <w:rPr>
          <w:lang w:val="en-GB"/>
        </w:rPr>
        <w:t xml:space="preserve"> and</w:t>
      </w:r>
      <w:r w:rsidRPr="004B5691">
        <w:rPr>
          <w:lang w:val="en-GB"/>
        </w:rPr>
        <w:t xml:space="preserve"> </w:t>
      </w:r>
      <w:r>
        <w:rPr>
          <w:lang w:val="en-GB"/>
        </w:rPr>
        <w:t>which would be the same for everyone</w:t>
      </w:r>
      <w:r w:rsidRPr="004B5691">
        <w:rPr>
          <w:lang w:val="en-GB"/>
        </w:rPr>
        <w:t xml:space="preserve">. To that minimum amount should be added sums that took account of </w:t>
      </w:r>
      <w:r>
        <w:rPr>
          <w:lang w:val="en-GB"/>
        </w:rPr>
        <w:t>other factors, such as the stakes involved for the person, to be evaluated on a case-by-case basis.</w:t>
      </w:r>
    </w:p>
    <w:p w:rsidR="00967E1F" w:rsidP="001566A1" w:rsidRDefault="001566A1">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163</w:t>
      </w:r>
      <w:r w:rsidRPr="00C2011C">
        <w:fldChar w:fldCharType="end"/>
      </w:r>
      <w:r w:rsidRPr="002A0715">
        <w:rPr>
          <w:lang w:val="en-GB"/>
        </w:rPr>
        <w:t>.  </w:t>
      </w:r>
      <w:r w:rsidRPr="004B5691">
        <w:rPr>
          <w:lang w:val="en-GB"/>
        </w:rPr>
        <w:t xml:space="preserve">Given that the remedy introduced by the Pinto Act </w:t>
      </w:r>
      <w:r>
        <w:rPr>
          <w:lang w:val="en-GB"/>
        </w:rPr>
        <w:t>was</w:t>
      </w:r>
      <w:r w:rsidRPr="004B5691">
        <w:rPr>
          <w:lang w:val="en-GB"/>
        </w:rPr>
        <w:t xml:space="preserve"> only compensatory, and in the absence of any remedy capable of preventing the breach, the applicants maintained that the compensation – in order to be deemed capable of </w:t>
      </w:r>
      <w:r w:rsidR="00640B24">
        <w:rPr>
          <w:lang w:val="en-GB"/>
        </w:rPr>
        <w:t>making good</w:t>
      </w:r>
      <w:r>
        <w:rPr>
          <w:lang w:val="en-GB"/>
        </w:rPr>
        <w:t xml:space="preserve"> the alleged </w:t>
      </w:r>
      <w:r w:rsidR="00640B24">
        <w:rPr>
          <w:lang w:val="en-GB"/>
        </w:rPr>
        <w:t>loss</w:t>
      </w:r>
      <w:r w:rsidRPr="004B5691">
        <w:rPr>
          <w:lang w:val="en-GB"/>
        </w:rPr>
        <w:t xml:space="preserve"> – </w:t>
      </w:r>
      <w:r>
        <w:rPr>
          <w:lang w:val="en-GB"/>
        </w:rPr>
        <w:t xml:space="preserve">had to be of a sufficient level, that is, bear a reasonable relation to the amounts awarded by the </w:t>
      </w:r>
      <w:r w:rsidRPr="004B5691">
        <w:rPr>
          <w:lang w:val="en-GB"/>
        </w:rPr>
        <w:t>Cour</w:t>
      </w:r>
      <w:r>
        <w:rPr>
          <w:lang w:val="en-GB"/>
        </w:rPr>
        <w:t>t</w:t>
      </w:r>
      <w:r w:rsidRPr="004B5691">
        <w:rPr>
          <w:lang w:val="en-GB"/>
        </w:rPr>
        <w:t>.</w:t>
      </w:r>
    </w:p>
    <w:p w:rsidRPr="00075856" w:rsidR="001566A1" w:rsidP="001566A1" w:rsidRDefault="001566A1">
      <w:pPr>
        <w:pStyle w:val="JuParaChar1"/>
        <w:rPr>
          <w:lang w:val="en-GB"/>
        </w:rPr>
      </w:pPr>
      <w:r w:rsidRPr="00075856">
        <w:rPr>
          <w:lang w:val="en-GB"/>
        </w:rPr>
        <w:t xml:space="preserve">Moreover, the applicants pointed out that the amounts awarded by the domestic courts in defamation or </w:t>
      </w:r>
      <w:r>
        <w:rPr>
          <w:lang w:val="en-GB"/>
        </w:rPr>
        <w:t xml:space="preserve">personal </w:t>
      </w:r>
      <w:r w:rsidRPr="00075856">
        <w:rPr>
          <w:lang w:val="en-GB"/>
        </w:rPr>
        <w:t xml:space="preserve">injury cases were </w:t>
      </w:r>
      <w:r>
        <w:rPr>
          <w:lang w:val="en-GB"/>
        </w:rPr>
        <w:t>significantly higher than the amounts awarded by the</w:t>
      </w:r>
      <w:r w:rsidRPr="00075856">
        <w:rPr>
          <w:lang w:val="en-GB"/>
        </w:rPr>
        <w:t xml:space="preserve"> Cour</w:t>
      </w:r>
      <w:r>
        <w:rPr>
          <w:lang w:val="en-GB"/>
        </w:rPr>
        <w:t xml:space="preserve">t </w:t>
      </w:r>
      <w:r w:rsidR="00D41473">
        <w:rPr>
          <w:lang w:val="en-GB"/>
        </w:rPr>
        <w:t>under the head of non-pecuniary damage</w:t>
      </w:r>
      <w:r>
        <w:rPr>
          <w:lang w:val="en-GB"/>
        </w:rPr>
        <w:t xml:space="preserve"> in length-of-proceedings cases</w:t>
      </w:r>
      <w:r w:rsidRPr="00075856">
        <w:rPr>
          <w:lang w:val="en-GB"/>
        </w:rPr>
        <w:t>.</w:t>
      </w:r>
    </w:p>
    <w:p w:rsidR="00967E1F" w:rsidP="001566A1" w:rsidRDefault="001566A1">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164</w:t>
      </w:r>
      <w:r w:rsidRPr="00C2011C">
        <w:fldChar w:fldCharType="end"/>
      </w:r>
      <w:r w:rsidRPr="002A0715">
        <w:rPr>
          <w:lang w:val="en-GB"/>
        </w:rPr>
        <w:t>.  </w:t>
      </w:r>
      <w:r w:rsidRPr="00075856">
        <w:rPr>
          <w:lang w:val="en-GB"/>
        </w:rPr>
        <w:t xml:space="preserve">In conclusion, a comparison between the compensation received at national level and the amounts awarded by the Court in just satisfaction </w:t>
      </w:r>
      <w:r>
        <w:rPr>
          <w:lang w:val="en-GB"/>
        </w:rPr>
        <w:t>was not only</w:t>
      </w:r>
      <w:r w:rsidRPr="00075856">
        <w:rPr>
          <w:lang w:val="en-GB"/>
        </w:rPr>
        <w:t xml:space="preserve"> possible</w:t>
      </w:r>
      <w:r w:rsidR="007907E5">
        <w:rPr>
          <w:lang w:val="en-GB"/>
        </w:rPr>
        <w:t>,</w:t>
      </w:r>
      <w:r>
        <w:rPr>
          <w:lang w:val="en-GB"/>
        </w:rPr>
        <w:t xml:space="preserve"> but necessary</w:t>
      </w:r>
      <w:r w:rsidRPr="00075856">
        <w:rPr>
          <w:lang w:val="en-GB"/>
        </w:rPr>
        <w:t>.</w:t>
      </w:r>
    </w:p>
    <w:p w:rsidRPr="00783D47" w:rsidR="001566A1" w:rsidP="001566A1" w:rsidRDefault="001566A1">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165</w:t>
      </w:r>
      <w:r w:rsidRPr="00C2011C">
        <w:fldChar w:fldCharType="end"/>
      </w:r>
      <w:r w:rsidRPr="002A0715">
        <w:rPr>
          <w:lang w:val="en-GB"/>
        </w:rPr>
        <w:t>.  </w:t>
      </w:r>
      <w:r w:rsidRPr="00783D47">
        <w:rPr>
          <w:lang w:val="en-GB"/>
        </w:rPr>
        <w:t>The applicants observed that the</w:t>
      </w:r>
      <w:r>
        <w:rPr>
          <w:lang w:val="en-GB"/>
        </w:rPr>
        <w:t xml:space="preserve"> amount</w:t>
      </w:r>
      <w:r w:rsidRPr="00783D47">
        <w:rPr>
          <w:lang w:val="en-GB"/>
        </w:rPr>
        <w:t xml:space="preserve"> awarded </w:t>
      </w:r>
      <w:r>
        <w:rPr>
          <w:lang w:val="en-GB"/>
        </w:rPr>
        <w:t xml:space="preserve">them in </w:t>
      </w:r>
      <w:r w:rsidRPr="00783D47">
        <w:rPr>
          <w:lang w:val="en-GB"/>
        </w:rPr>
        <w:t>compensation under the Pinto Act</w:t>
      </w:r>
      <w:r w:rsidRPr="004E7A92">
        <w:rPr>
          <w:lang w:val="en-GB"/>
        </w:rPr>
        <w:t xml:space="preserve"> </w:t>
      </w:r>
      <w:r>
        <w:rPr>
          <w:lang w:val="en-GB"/>
        </w:rPr>
        <w:t>was EUR 2,450</w:t>
      </w:r>
      <w:r w:rsidRPr="00783D47">
        <w:rPr>
          <w:lang w:val="en-GB"/>
        </w:rPr>
        <w:t xml:space="preserve">. </w:t>
      </w:r>
      <w:r>
        <w:rPr>
          <w:lang w:val="en-GB"/>
        </w:rPr>
        <w:t>According to</w:t>
      </w:r>
      <w:r w:rsidRPr="00783D47">
        <w:rPr>
          <w:lang w:val="en-GB"/>
        </w:rPr>
        <w:t xml:space="preserve"> the Chamber, that amount corresponded to about 10% </w:t>
      </w:r>
      <w:r>
        <w:rPr>
          <w:lang w:val="en-GB"/>
        </w:rPr>
        <w:t>of the amount that the Court would have awarded in a similar case</w:t>
      </w:r>
      <w:r w:rsidRPr="00783D47">
        <w:rPr>
          <w:lang w:val="en-GB"/>
        </w:rPr>
        <w:t>. Furthermore, the legal costs payable by them</w:t>
      </w:r>
      <w:r w:rsidR="00E54656">
        <w:rPr>
          <w:lang w:val="en-GB"/>
        </w:rPr>
        <w:t xml:space="preserve"> came to EUR 1,500, plus 20</w:t>
      </w:r>
      <w:r w:rsidRPr="00783D47">
        <w:rPr>
          <w:lang w:val="en-GB"/>
        </w:rPr>
        <w:t xml:space="preserve">% VAT (value-added tax) </w:t>
      </w:r>
      <w:r>
        <w:rPr>
          <w:lang w:val="en-GB"/>
        </w:rPr>
        <w:t>and</w:t>
      </w:r>
      <w:r w:rsidRPr="00783D47">
        <w:rPr>
          <w:lang w:val="en-GB"/>
        </w:rPr>
        <w:t xml:space="preserve"> 2% CPA (contribution to the lawyers</w:t>
      </w:r>
      <w:r w:rsidR="00E6191D">
        <w:rPr>
          <w:lang w:val="en-GB"/>
        </w:rPr>
        <w:t>’</w:t>
      </w:r>
      <w:r w:rsidRPr="00783D47">
        <w:rPr>
          <w:lang w:val="en-GB"/>
        </w:rPr>
        <w:t xml:space="preserve"> insurance fund), </w:t>
      </w:r>
      <w:r>
        <w:rPr>
          <w:lang w:val="en-GB"/>
        </w:rPr>
        <w:t xml:space="preserve">that is, </w:t>
      </w:r>
      <w:r w:rsidRPr="00783D47">
        <w:rPr>
          <w:lang w:val="en-GB"/>
        </w:rPr>
        <w:t>EUR</w:t>
      </w:r>
      <w:r>
        <w:rPr>
          <w:lang w:val="en-GB"/>
        </w:rPr>
        <w:t xml:space="preserve"> 1,834</w:t>
      </w:r>
      <w:r w:rsidRPr="00783D47">
        <w:rPr>
          <w:lang w:val="en-GB"/>
        </w:rPr>
        <w:t xml:space="preserve">. Accordingly, the compensation actually awarded, </w:t>
      </w:r>
      <w:r>
        <w:rPr>
          <w:lang w:val="en-GB"/>
        </w:rPr>
        <w:t>after deduction of</w:t>
      </w:r>
      <w:r w:rsidRPr="00783D47">
        <w:rPr>
          <w:lang w:val="en-GB"/>
        </w:rPr>
        <w:t xml:space="preserve"> legal costs, </w:t>
      </w:r>
      <w:r>
        <w:rPr>
          <w:lang w:val="en-GB"/>
        </w:rPr>
        <w:t xml:space="preserve">came to </w:t>
      </w:r>
      <w:r w:rsidRPr="00783D47">
        <w:rPr>
          <w:lang w:val="en-GB"/>
        </w:rPr>
        <w:t>EUR</w:t>
      </w:r>
      <w:r>
        <w:rPr>
          <w:lang w:val="en-GB"/>
        </w:rPr>
        <w:t xml:space="preserve"> 614</w:t>
      </w:r>
      <w:r w:rsidRPr="00783D47">
        <w:rPr>
          <w:lang w:val="en-GB"/>
        </w:rPr>
        <w:t xml:space="preserve">, </w:t>
      </w:r>
      <w:r>
        <w:rPr>
          <w:lang w:val="en-GB"/>
        </w:rPr>
        <w:t>that is,</w:t>
      </w:r>
      <w:r w:rsidRPr="00783D47">
        <w:rPr>
          <w:lang w:val="en-GB"/>
        </w:rPr>
        <w:t xml:space="preserve"> EUR </w:t>
      </w:r>
      <w:r>
        <w:rPr>
          <w:lang w:val="en-GB"/>
        </w:rPr>
        <w:t>153.50 each</w:t>
      </w:r>
      <w:r w:rsidRPr="00783D47">
        <w:rPr>
          <w:lang w:val="en-GB"/>
        </w:rPr>
        <w:t>.</w:t>
      </w:r>
    </w:p>
    <w:p w:rsidRPr="00336901" w:rsidR="00BF642C" w:rsidP="00124007" w:rsidRDefault="00BF642C">
      <w:pPr>
        <w:pStyle w:val="JuH1"/>
        <w:outlineLvl w:val="0"/>
        <w:rPr>
          <w:lang w:val="en-GB"/>
        </w:rPr>
      </w:pPr>
      <w:r w:rsidRPr="002A0715">
        <w:rPr>
          <w:lang w:val="en-GB"/>
        </w:rPr>
        <w:t>3.  </w:t>
      </w:r>
      <w:r w:rsidR="00A35232">
        <w:rPr>
          <w:lang w:val="en-GB"/>
        </w:rPr>
        <w:t>Third-party interveners</w:t>
      </w:r>
    </w:p>
    <w:p w:rsidR="00967E1F" w:rsidP="00BF642C" w:rsidRDefault="00E54656">
      <w:pPr>
        <w:pStyle w:val="JuHa"/>
        <w:rPr>
          <w:lang w:val="en-GB"/>
        </w:rPr>
      </w:pPr>
      <w:r>
        <w:rPr>
          <w:lang w:val="en-GB"/>
        </w:rPr>
        <w:t>(</w:t>
      </w:r>
      <w:r w:rsidRPr="00336901" w:rsidR="00BF642C">
        <w:rPr>
          <w:lang w:val="en-GB"/>
        </w:rPr>
        <w:t>a)  </w:t>
      </w:r>
      <w:r w:rsidRPr="00336901" w:rsidR="005455DC">
        <w:rPr>
          <w:lang w:val="en-GB"/>
        </w:rPr>
        <w:t xml:space="preserve">The Czech </w:t>
      </w:r>
      <w:r w:rsidR="007907E5">
        <w:rPr>
          <w:lang w:val="en-GB"/>
        </w:rPr>
        <w:t>G</w:t>
      </w:r>
      <w:r w:rsidRPr="00336901" w:rsidR="005455DC">
        <w:rPr>
          <w:lang w:val="en-GB"/>
        </w:rPr>
        <w:t>overnment</w:t>
      </w:r>
    </w:p>
    <w:p w:rsidRPr="00C2011C" w:rsidR="00BF642C" w:rsidP="005455DC" w:rsidRDefault="00BF642C">
      <w:pPr>
        <w:pStyle w:val="JuParaCharChar"/>
      </w:pPr>
      <w:r w:rsidRPr="00C2011C">
        <w:fldChar w:fldCharType="begin"/>
      </w:r>
      <w:r w:rsidRPr="00C2011C">
        <w:instrText xml:space="preserve"> SEQ level0 \*arabic </w:instrText>
      </w:r>
      <w:r w:rsidRPr="00C2011C">
        <w:fldChar w:fldCharType="separate"/>
      </w:r>
      <w:r w:rsidR="008B3B68">
        <w:rPr>
          <w:noProof/>
        </w:rPr>
        <w:t>166</w:t>
      </w:r>
      <w:r w:rsidRPr="00C2011C">
        <w:fldChar w:fldCharType="end"/>
      </w:r>
      <w:r w:rsidRPr="00C2011C">
        <w:t>.  </w:t>
      </w:r>
      <w:r w:rsidRPr="0044108D" w:rsidR="005455DC">
        <w:rPr>
          <w:bCs/>
        </w:rPr>
        <w:t xml:space="preserve">In the Czech </w:t>
      </w:r>
      <w:r w:rsidR="007907E5">
        <w:rPr>
          <w:bCs/>
        </w:rPr>
        <w:t>G</w:t>
      </w:r>
      <w:r w:rsidRPr="0044108D" w:rsidR="005455DC">
        <w:rPr>
          <w:bCs/>
        </w:rPr>
        <w:t>overnment</w:t>
      </w:r>
      <w:r w:rsidR="00E6191D">
        <w:rPr>
          <w:bCs/>
        </w:rPr>
        <w:t>’</w:t>
      </w:r>
      <w:r w:rsidRPr="0044108D" w:rsidR="005455DC">
        <w:rPr>
          <w:bCs/>
        </w:rPr>
        <w:t>s submission,</w:t>
      </w:r>
      <w:r w:rsidRPr="00F95D62" w:rsidR="005455DC">
        <w:rPr>
          <w:szCs w:val="24"/>
        </w:rPr>
        <w:t xml:space="preserve"> </w:t>
      </w:r>
      <w:r w:rsidR="005455DC">
        <w:t>the Court should</w:t>
      </w:r>
      <w:r w:rsidRPr="00AC3F9B" w:rsidR="005455DC">
        <w:t xml:space="preserve"> confine itself to </w:t>
      </w:r>
      <w:r w:rsidR="005455DC">
        <w:t>ensuring that</w:t>
      </w:r>
      <w:r w:rsidRPr="00AC3F9B" w:rsidR="005455DC">
        <w:t xml:space="preserve"> the</w:t>
      </w:r>
      <w:r w:rsidRPr="00F95D62" w:rsidR="005455DC">
        <w:t xml:space="preserve"> </w:t>
      </w:r>
      <w:r w:rsidRPr="00AC3F9B" w:rsidR="005455DC">
        <w:t>consequences</w:t>
      </w:r>
      <w:r w:rsidR="005455DC">
        <w:t xml:space="preserve"> of the</w:t>
      </w:r>
      <w:r w:rsidRPr="00AC3F9B" w:rsidR="005455DC">
        <w:t xml:space="preserve"> </w:t>
      </w:r>
      <w:r w:rsidR="005455DC">
        <w:t>case-law</w:t>
      </w:r>
      <w:r w:rsidRPr="00AC3F9B" w:rsidR="005455DC">
        <w:t xml:space="preserve"> policy choices made by the domestic </w:t>
      </w:r>
      <w:r w:rsidR="005455DC">
        <w:t>courts</w:t>
      </w:r>
      <w:r w:rsidRPr="00AC3F9B" w:rsidR="005455DC">
        <w:t xml:space="preserve"> </w:t>
      </w:r>
      <w:r w:rsidR="005455DC">
        <w:t>were</w:t>
      </w:r>
      <w:r w:rsidRPr="00AC3F9B" w:rsidR="005455DC">
        <w:t xml:space="preserve"> </w:t>
      </w:r>
      <w:r w:rsidR="005455DC">
        <w:t>in keeping w</w:t>
      </w:r>
      <w:r w:rsidR="004569A6">
        <w:t>ith the Convention. Its review sh</w:t>
      </w:r>
      <w:r w:rsidR="005455DC">
        <w:t>ould</w:t>
      </w:r>
      <w:r w:rsidRPr="00AC3F9B" w:rsidR="005455DC">
        <w:t xml:space="preserve"> be more or less rigorous, depending on the </w:t>
      </w:r>
      <w:r w:rsidR="005455DC">
        <w:t>margin of appreciation</w:t>
      </w:r>
      <w:r w:rsidRPr="00AC3F9B" w:rsidR="005455DC">
        <w:t xml:space="preserve"> that the Court </w:t>
      </w:r>
      <w:r w:rsidR="005455DC">
        <w:t>allowed</w:t>
      </w:r>
      <w:r w:rsidRPr="00AC3F9B" w:rsidR="005455DC">
        <w:t xml:space="preserve"> </w:t>
      </w:r>
      <w:r w:rsidR="005455DC">
        <w:t>national authorities</w:t>
      </w:r>
      <w:r w:rsidRPr="00AC3F9B" w:rsidR="005455DC">
        <w:t xml:space="preserve">. </w:t>
      </w:r>
      <w:r w:rsidR="005455DC">
        <w:t>The Court should</w:t>
      </w:r>
      <w:r w:rsidRPr="00AC3F9B" w:rsidR="005455DC">
        <w:t xml:space="preserve"> </w:t>
      </w:r>
      <w:r w:rsidR="00D822B1">
        <w:t xml:space="preserve">only </w:t>
      </w:r>
      <w:r w:rsidRPr="00AC3F9B" w:rsidR="005455DC">
        <w:t>ensur</w:t>
      </w:r>
      <w:r w:rsidR="002905F4">
        <w:t>e</w:t>
      </w:r>
      <w:r w:rsidRPr="00AC3F9B" w:rsidR="005455DC">
        <w:t xml:space="preserve"> that</w:t>
      </w:r>
      <w:r w:rsidR="00D822B1">
        <w:t>,</w:t>
      </w:r>
      <w:r w:rsidRPr="00D822B1" w:rsidR="00D822B1">
        <w:t xml:space="preserve"> </w:t>
      </w:r>
      <w:r w:rsidRPr="00AC3F9B" w:rsidR="00D822B1">
        <w:t>in</w:t>
      </w:r>
      <w:r w:rsidR="00D822B1">
        <w:t xml:space="preserve"> accordance </w:t>
      </w:r>
      <w:r w:rsidRPr="00AC3F9B" w:rsidR="00D822B1">
        <w:t>with</w:t>
      </w:r>
      <w:r w:rsidR="00D822B1">
        <w:t xml:space="preserve"> </w:t>
      </w:r>
      <w:r w:rsidRPr="00AC3F9B" w:rsidR="00D822B1">
        <w:t>Article 13</w:t>
      </w:r>
      <w:r w:rsidR="003E5004">
        <w:t xml:space="preserve"> of the Convention</w:t>
      </w:r>
      <w:r w:rsidR="00D822B1">
        <w:t>,</w:t>
      </w:r>
      <w:r w:rsidRPr="002905F4" w:rsidR="00D822B1">
        <w:t xml:space="preserve"> </w:t>
      </w:r>
      <w:r w:rsidRPr="00AC3F9B" w:rsidR="005455DC">
        <w:t xml:space="preserve">the </w:t>
      </w:r>
      <w:r w:rsidR="005455DC">
        <w:t>national authorities</w:t>
      </w:r>
      <w:r w:rsidR="00D822B1">
        <w:t xml:space="preserve"> </w:t>
      </w:r>
      <w:r w:rsidR="002905F4">
        <w:t>complied with</w:t>
      </w:r>
      <w:r w:rsidRPr="00AC3F9B" w:rsidR="005455DC">
        <w:t xml:space="preserve"> the principles established in its </w:t>
      </w:r>
      <w:r w:rsidR="005455DC">
        <w:t>case-law</w:t>
      </w:r>
      <w:r w:rsidRPr="00AC3F9B" w:rsidR="005455DC">
        <w:t xml:space="preserve"> </w:t>
      </w:r>
      <w:r w:rsidR="003E5004">
        <w:t xml:space="preserve">or </w:t>
      </w:r>
      <w:r w:rsidR="005455DC">
        <w:t xml:space="preserve">applied </w:t>
      </w:r>
      <w:r w:rsidRPr="00AC3F9B" w:rsidR="005455DC">
        <w:t>the provisions of their own domestic law in such a way that applicants enjoy</w:t>
      </w:r>
      <w:r w:rsidR="005455DC">
        <w:t>ed</w:t>
      </w:r>
      <w:r w:rsidRPr="00AC3F9B" w:rsidR="005455DC">
        <w:t xml:space="preserve"> a level of protection in respect of their rights and freedoms as gua</w:t>
      </w:r>
      <w:r w:rsidR="005455DC">
        <w:t>ranteed by the Convention that wa</w:t>
      </w:r>
      <w:r w:rsidRPr="00AC3F9B" w:rsidR="005455DC">
        <w:t xml:space="preserve">s greater than or equivalent to that which they would enjoy if the </w:t>
      </w:r>
      <w:r w:rsidR="005455DC">
        <w:t>national authorities</w:t>
      </w:r>
      <w:r w:rsidRPr="00AC3F9B" w:rsidR="005455DC">
        <w:t xml:space="preserve"> applied the Convention</w:t>
      </w:r>
      <w:r w:rsidR="00E6191D">
        <w:t>’</w:t>
      </w:r>
      <w:r w:rsidRPr="00AC3F9B" w:rsidR="005455DC">
        <w:t>s provisions direct</w:t>
      </w:r>
      <w:r w:rsidR="005455DC">
        <w:t>ly</w:t>
      </w:r>
      <w:r w:rsidRPr="00AC3F9B" w:rsidR="005455DC">
        <w:t>.</w:t>
      </w:r>
      <w:r w:rsidR="005455DC">
        <w:t xml:space="preserve"> T</w:t>
      </w:r>
      <w:r w:rsidRPr="00AC3F9B" w:rsidR="005455DC">
        <w:t xml:space="preserve">he Court should not go any further except in cases where the </w:t>
      </w:r>
      <w:r w:rsidR="00E63577">
        <w:t>result</w:t>
      </w:r>
      <w:r w:rsidR="00640B24">
        <w:t xml:space="preserve"> arrived at</w:t>
      </w:r>
      <w:r w:rsidR="005455DC">
        <w:t xml:space="preserve"> </w:t>
      </w:r>
      <w:r w:rsidRPr="00AC3F9B" w:rsidR="005455DC">
        <w:t xml:space="preserve">by the </w:t>
      </w:r>
      <w:r w:rsidR="005455DC">
        <w:t>national authorities</w:t>
      </w:r>
      <w:r w:rsidRPr="00AC3F9B" w:rsidR="005455DC">
        <w:t xml:space="preserve"> appear</w:t>
      </w:r>
      <w:r w:rsidR="005455DC">
        <w:t>ed</w:t>
      </w:r>
      <w:r w:rsidRPr="00AC3F9B" w:rsidR="005455DC">
        <w:t>, on the face of it, arbitrary.</w:t>
      </w:r>
    </w:p>
    <w:p w:rsidRPr="00C2011C" w:rsidR="00BF642C" w:rsidP="00336901" w:rsidRDefault="00BF642C">
      <w:pPr>
        <w:pStyle w:val="JuParaCharChar"/>
      </w:pPr>
      <w:r w:rsidRPr="00C2011C">
        <w:fldChar w:fldCharType="begin"/>
      </w:r>
      <w:r w:rsidRPr="00C2011C">
        <w:instrText xml:space="preserve"> SEQ level0 \*arabic </w:instrText>
      </w:r>
      <w:r w:rsidRPr="00C2011C">
        <w:fldChar w:fldCharType="separate"/>
      </w:r>
      <w:r w:rsidR="008B3B68">
        <w:rPr>
          <w:noProof/>
        </w:rPr>
        <w:t>167</w:t>
      </w:r>
      <w:r w:rsidRPr="00C2011C">
        <w:fldChar w:fldCharType="end"/>
      </w:r>
      <w:r w:rsidRPr="00C2011C">
        <w:t>.  </w:t>
      </w:r>
      <w:r w:rsidR="00336901">
        <w:t>The Czech Government acknowledged that the adequacy of the amount awarded at domestic level was one of the criteria of effectiveness of an application for compensation within the meaning of Article 13. However, in view of the wide margin of appreciation that should be available to the Contracting Parties in implementing Article 13, they considered that the Court should subsequently exercise only “limited control”, thus restricted to satisfying itself that the national authorities had not made a “manifest error in assessment” of the non-pecuniary damage caused by the excessive length of judicial proceedings.</w:t>
      </w:r>
    </w:p>
    <w:p w:rsidRPr="00336901" w:rsidR="00BF642C" w:rsidP="00BF642C" w:rsidRDefault="00BF642C">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168</w:t>
      </w:r>
      <w:r w:rsidRPr="00C2011C">
        <w:fldChar w:fldCharType="end"/>
      </w:r>
      <w:r w:rsidRPr="002A0715">
        <w:rPr>
          <w:lang w:val="en-GB"/>
        </w:rPr>
        <w:t>.  </w:t>
      </w:r>
      <w:r w:rsidRPr="00336901" w:rsidR="00336901">
        <w:rPr>
          <w:lang w:val="en-GB"/>
        </w:rPr>
        <w:t>Moreover, as the</w:t>
      </w:r>
      <w:r w:rsidR="00336901">
        <w:rPr>
          <w:lang w:val="en-GB"/>
        </w:rPr>
        <w:t xml:space="preserve"> Czech Government</w:t>
      </w:r>
      <w:r w:rsidRPr="00336901" w:rsidR="00336901">
        <w:rPr>
          <w:lang w:val="en-GB"/>
        </w:rPr>
        <w:t xml:space="preserve"> wanted to provide the</w:t>
      </w:r>
      <w:r w:rsidR="00336901">
        <w:rPr>
          <w:lang w:val="en-GB"/>
        </w:rPr>
        <w:t>ir</w:t>
      </w:r>
      <w:r w:rsidRPr="00336901" w:rsidR="00336901">
        <w:rPr>
          <w:lang w:val="en-GB"/>
        </w:rPr>
        <w:t xml:space="preserve"> country with a </w:t>
      </w:r>
      <w:r w:rsidR="004569A6">
        <w:rPr>
          <w:lang w:val="en-GB"/>
        </w:rPr>
        <w:t>compensatory</w:t>
      </w:r>
      <w:r w:rsidRPr="00336901" w:rsidR="00336901">
        <w:rPr>
          <w:lang w:val="en-GB"/>
        </w:rPr>
        <w:t xml:space="preserve"> remedy in addition to the existing preventive domestic remedy, they asked the Court to provide as many guidelines as</w:t>
      </w:r>
      <w:r w:rsidRPr="00336901" w:rsidR="00336901">
        <w:rPr>
          <w:szCs w:val="24"/>
          <w:lang w:val="en-GB"/>
        </w:rPr>
        <w:t xml:space="preserve"> possible in that connection so that they could </w:t>
      </w:r>
      <w:r w:rsidR="00157B36">
        <w:rPr>
          <w:szCs w:val="24"/>
          <w:lang w:val="en-GB"/>
        </w:rPr>
        <w:t>put</w:t>
      </w:r>
      <w:r w:rsidRPr="00336901" w:rsidR="00336901">
        <w:rPr>
          <w:szCs w:val="24"/>
          <w:lang w:val="en-GB"/>
        </w:rPr>
        <w:t xml:space="preserve"> in place a remedy which would incontestably be effective</w:t>
      </w:r>
      <w:r w:rsidRPr="00336901">
        <w:rPr>
          <w:szCs w:val="24"/>
          <w:lang w:val="en-GB"/>
        </w:rPr>
        <w:t>.</w:t>
      </w:r>
    </w:p>
    <w:p w:rsidRPr="002A0715" w:rsidR="00BF642C" w:rsidP="00124007" w:rsidRDefault="00E54656">
      <w:pPr>
        <w:pStyle w:val="JuHa"/>
        <w:outlineLvl w:val="0"/>
        <w:rPr>
          <w:lang w:val="en-GB"/>
        </w:rPr>
      </w:pPr>
      <w:r>
        <w:rPr>
          <w:lang w:val="en-GB"/>
        </w:rPr>
        <w:t>(</w:t>
      </w:r>
      <w:r w:rsidRPr="002A0715" w:rsidR="00BF642C">
        <w:rPr>
          <w:lang w:val="en-GB"/>
        </w:rPr>
        <w:t>b)  </w:t>
      </w:r>
      <w:r w:rsidRPr="002A0715" w:rsidR="00336901">
        <w:rPr>
          <w:lang w:val="en-GB"/>
        </w:rPr>
        <w:t>The Polish Government</w:t>
      </w:r>
    </w:p>
    <w:p w:rsidRPr="00336901" w:rsidR="00BF642C" w:rsidP="00336901" w:rsidRDefault="00BF642C">
      <w:pPr>
        <w:pStyle w:val="JuParaCharChar"/>
        <w:rPr>
          <w:szCs w:val="24"/>
        </w:rPr>
      </w:pPr>
      <w:r w:rsidRPr="00C2011C">
        <w:rPr>
          <w:bCs/>
        </w:rPr>
        <w:fldChar w:fldCharType="begin"/>
      </w:r>
      <w:r w:rsidRPr="00C2011C">
        <w:rPr>
          <w:bCs/>
        </w:rPr>
        <w:instrText xml:space="preserve"> SEQ level0 \*arabic </w:instrText>
      </w:r>
      <w:r w:rsidRPr="00C2011C">
        <w:rPr>
          <w:bCs/>
        </w:rPr>
        <w:fldChar w:fldCharType="separate"/>
      </w:r>
      <w:r w:rsidR="008B3B68">
        <w:rPr>
          <w:bCs/>
          <w:noProof/>
        </w:rPr>
        <w:t>169</w:t>
      </w:r>
      <w:r w:rsidRPr="00C2011C">
        <w:rPr>
          <w:bCs/>
        </w:rPr>
        <w:fldChar w:fldCharType="end"/>
      </w:r>
      <w:r w:rsidRPr="00C2011C">
        <w:rPr>
          <w:bCs/>
        </w:rPr>
        <w:t>.  </w:t>
      </w:r>
      <w:r w:rsidRPr="00096526" w:rsidR="00336901">
        <w:rPr>
          <w:bCs/>
        </w:rPr>
        <w:t>In the Polish Government</w:t>
      </w:r>
      <w:r w:rsidR="00E6191D">
        <w:rPr>
          <w:bCs/>
        </w:rPr>
        <w:t>’</w:t>
      </w:r>
      <w:r w:rsidRPr="00096526" w:rsidR="00336901">
        <w:rPr>
          <w:bCs/>
        </w:rPr>
        <w:t>s submission</w:t>
      </w:r>
      <w:r w:rsidRPr="00096526" w:rsidR="00336901">
        <w:t>, an assessment of the facts of</w:t>
      </w:r>
      <w:r w:rsidRPr="008C0768" w:rsidR="00336901">
        <w:t xml:space="preserve"> the case with a view to deter</w:t>
      </w:r>
      <w:r w:rsidR="00336901">
        <w:t xml:space="preserve">mining whether </w:t>
      </w:r>
      <w:r w:rsidR="00336901">
        <w:rPr>
          <w:szCs w:val="24"/>
        </w:rPr>
        <w:t>the “reasonable</w:t>
      </w:r>
      <w:r w:rsidR="00BC371A">
        <w:rPr>
          <w:szCs w:val="24"/>
        </w:rPr>
        <w:t xml:space="preserve"> </w:t>
      </w:r>
      <w:r w:rsidR="00336901">
        <w:rPr>
          <w:szCs w:val="24"/>
        </w:rPr>
        <w:t xml:space="preserve">time” </w:t>
      </w:r>
      <w:r w:rsidR="003E5004">
        <w:rPr>
          <w:szCs w:val="24"/>
        </w:rPr>
        <w:t xml:space="preserve">had been exceeded </w:t>
      </w:r>
      <w:r w:rsidR="00336901">
        <w:rPr>
          <w:szCs w:val="24"/>
        </w:rPr>
        <w:t>was part of the examination of the evidence conducted by the domestic courts.</w:t>
      </w:r>
      <w:r w:rsidRPr="008C0768" w:rsidR="00336901">
        <w:rPr>
          <w:szCs w:val="24"/>
        </w:rPr>
        <w:t xml:space="preserve"> It </w:t>
      </w:r>
      <w:r w:rsidR="00336901">
        <w:rPr>
          <w:szCs w:val="24"/>
        </w:rPr>
        <w:t>was</w:t>
      </w:r>
      <w:r w:rsidRPr="008C0768" w:rsidR="00336901">
        <w:rPr>
          <w:szCs w:val="24"/>
        </w:rPr>
        <w:t xml:space="preserve"> therefore debatable to what extent a supranational body </w:t>
      </w:r>
      <w:r w:rsidR="00336901">
        <w:rPr>
          <w:szCs w:val="24"/>
        </w:rPr>
        <w:t>could intervene in this process</w:t>
      </w:r>
      <w:r w:rsidR="003E5004">
        <w:rPr>
          <w:szCs w:val="24"/>
        </w:rPr>
        <w:t>. It</w:t>
      </w:r>
      <w:r w:rsidRPr="00640DDE" w:rsidR="003E5004">
        <w:rPr>
          <w:szCs w:val="24"/>
        </w:rPr>
        <w:t xml:space="preserve"> </w:t>
      </w:r>
      <w:r w:rsidR="003E5004">
        <w:rPr>
          <w:szCs w:val="24"/>
        </w:rPr>
        <w:t>was</w:t>
      </w:r>
      <w:r w:rsidRPr="00640DDE" w:rsidR="003E5004">
        <w:rPr>
          <w:szCs w:val="24"/>
        </w:rPr>
        <w:t xml:space="preserve">, rather, commonly accepted that in most cases the facts </w:t>
      </w:r>
      <w:r w:rsidR="003E5004">
        <w:rPr>
          <w:szCs w:val="24"/>
        </w:rPr>
        <w:t>would</w:t>
      </w:r>
      <w:r w:rsidRPr="00640DDE" w:rsidR="003E5004">
        <w:rPr>
          <w:szCs w:val="24"/>
        </w:rPr>
        <w:t xml:space="preserve"> have been established by th</w:t>
      </w:r>
      <w:r w:rsidR="003E5004">
        <w:rPr>
          <w:szCs w:val="24"/>
        </w:rPr>
        <w:t>e domestic courts and that the Court</w:t>
      </w:r>
      <w:r w:rsidR="00E6191D">
        <w:rPr>
          <w:szCs w:val="24"/>
        </w:rPr>
        <w:t>’</w:t>
      </w:r>
      <w:r w:rsidR="003E5004">
        <w:rPr>
          <w:szCs w:val="24"/>
        </w:rPr>
        <w:t>s task would be limited to examining</w:t>
      </w:r>
      <w:r w:rsidRPr="00640DDE" w:rsidR="003E5004">
        <w:rPr>
          <w:szCs w:val="24"/>
        </w:rPr>
        <w:t xml:space="preserve"> </w:t>
      </w:r>
      <w:r w:rsidR="003E5004">
        <w:rPr>
          <w:szCs w:val="24"/>
        </w:rPr>
        <w:t xml:space="preserve">whether the </w:t>
      </w:r>
      <w:r w:rsidRPr="00640DDE" w:rsidR="003E5004">
        <w:rPr>
          <w:szCs w:val="24"/>
        </w:rPr>
        <w:t>Convention</w:t>
      </w:r>
      <w:r w:rsidR="003E5004">
        <w:rPr>
          <w:szCs w:val="24"/>
        </w:rPr>
        <w:t xml:space="preserve"> had been complied with</w:t>
      </w:r>
      <w:r w:rsidRPr="00640DDE" w:rsidR="003E5004">
        <w:rPr>
          <w:szCs w:val="24"/>
        </w:rPr>
        <w:t>. The Court</w:t>
      </w:r>
      <w:r w:rsidR="00E6191D">
        <w:rPr>
          <w:szCs w:val="24"/>
        </w:rPr>
        <w:t>’</w:t>
      </w:r>
      <w:r w:rsidRPr="00640DDE" w:rsidR="003E5004">
        <w:rPr>
          <w:szCs w:val="24"/>
        </w:rPr>
        <w:t>s case-law a</w:t>
      </w:r>
      <w:r w:rsidR="003E5004">
        <w:rPr>
          <w:szCs w:val="24"/>
        </w:rPr>
        <w:t>ppeared</w:t>
      </w:r>
      <w:r w:rsidRPr="00640DDE" w:rsidR="003E5004">
        <w:rPr>
          <w:szCs w:val="24"/>
        </w:rPr>
        <w:t xml:space="preserve"> to be </w:t>
      </w:r>
      <w:r w:rsidR="00640B24">
        <w:rPr>
          <w:szCs w:val="24"/>
        </w:rPr>
        <w:t>confined</w:t>
      </w:r>
      <w:r w:rsidRPr="00640DDE" w:rsidR="003E5004">
        <w:rPr>
          <w:szCs w:val="24"/>
        </w:rPr>
        <w:t xml:space="preserve"> to assess</w:t>
      </w:r>
      <w:r w:rsidR="00640B24">
        <w:rPr>
          <w:szCs w:val="24"/>
        </w:rPr>
        <w:t>ing</w:t>
      </w:r>
      <w:r w:rsidRPr="00640DDE" w:rsidR="003E5004">
        <w:rPr>
          <w:szCs w:val="24"/>
        </w:rPr>
        <w:t xml:space="preserve"> whether the domestic courts</w:t>
      </w:r>
      <w:r w:rsidR="00E6191D">
        <w:rPr>
          <w:szCs w:val="24"/>
        </w:rPr>
        <w:t>’</w:t>
      </w:r>
      <w:r w:rsidRPr="00640DDE" w:rsidR="003E5004">
        <w:rPr>
          <w:szCs w:val="24"/>
        </w:rPr>
        <w:t xml:space="preserve"> decisions</w:t>
      </w:r>
      <w:r w:rsidR="00384B54">
        <w:rPr>
          <w:szCs w:val="24"/>
        </w:rPr>
        <w:t>,</w:t>
      </w:r>
      <w:r w:rsidRPr="00640DDE" w:rsidR="003E5004">
        <w:rPr>
          <w:szCs w:val="24"/>
        </w:rPr>
        <w:t xml:space="preserve"> </w:t>
      </w:r>
      <w:r w:rsidR="00640B24">
        <w:rPr>
          <w:szCs w:val="24"/>
        </w:rPr>
        <w:t xml:space="preserve">given </w:t>
      </w:r>
      <w:r w:rsidR="0077557D">
        <w:rPr>
          <w:szCs w:val="24"/>
        </w:rPr>
        <w:t>in accordance with domestic procedure previously approved by the Court</w:t>
      </w:r>
      <w:r w:rsidR="00384B54">
        <w:rPr>
          <w:szCs w:val="24"/>
        </w:rPr>
        <w:t>,</w:t>
      </w:r>
      <w:r w:rsidR="003E5004">
        <w:rPr>
          <w:szCs w:val="24"/>
        </w:rPr>
        <w:t xml:space="preserve"> had properly applied the general rules to the </w:t>
      </w:r>
      <w:r w:rsidR="0077557D">
        <w:rPr>
          <w:szCs w:val="24"/>
        </w:rPr>
        <w:t>specific</w:t>
      </w:r>
      <w:r w:rsidR="003E5004">
        <w:rPr>
          <w:szCs w:val="24"/>
        </w:rPr>
        <w:t xml:space="preserve"> case</w:t>
      </w:r>
      <w:r w:rsidRPr="00640DDE" w:rsidR="003E5004">
        <w:rPr>
          <w:szCs w:val="24"/>
        </w:rPr>
        <w:t xml:space="preserve">. In the absence of precise indicators </w:t>
      </w:r>
      <w:r w:rsidR="003E5004">
        <w:rPr>
          <w:szCs w:val="24"/>
        </w:rPr>
        <w:t>on which</w:t>
      </w:r>
      <w:r w:rsidRPr="00640DDE" w:rsidR="003E5004">
        <w:rPr>
          <w:szCs w:val="24"/>
        </w:rPr>
        <w:t xml:space="preserve"> to assess</w:t>
      </w:r>
      <w:r w:rsidR="003E5004">
        <w:rPr>
          <w:szCs w:val="24"/>
        </w:rPr>
        <w:t xml:space="preserve"> </w:t>
      </w:r>
      <w:r w:rsidRPr="00640DDE" w:rsidR="003E5004">
        <w:rPr>
          <w:szCs w:val="24"/>
        </w:rPr>
        <w:t>the facts and cal</w:t>
      </w:r>
      <w:r w:rsidR="003E5004">
        <w:rPr>
          <w:szCs w:val="24"/>
        </w:rPr>
        <w:t>cu</w:t>
      </w:r>
      <w:r w:rsidRPr="00640DDE" w:rsidR="003E5004">
        <w:rPr>
          <w:szCs w:val="24"/>
        </w:rPr>
        <w:t>lat</w:t>
      </w:r>
      <w:r w:rsidR="003E5004">
        <w:rPr>
          <w:szCs w:val="24"/>
        </w:rPr>
        <w:t>e</w:t>
      </w:r>
      <w:r w:rsidRPr="00640DDE" w:rsidR="003E5004">
        <w:rPr>
          <w:szCs w:val="24"/>
        </w:rPr>
        <w:t xml:space="preserve"> the amount of compensation</w:t>
      </w:r>
      <w:r w:rsidR="003E5004">
        <w:rPr>
          <w:szCs w:val="24"/>
        </w:rPr>
        <w:t>, there were no grounds on which to dispute the</w:t>
      </w:r>
      <w:r w:rsidRPr="00640DDE" w:rsidR="003E5004">
        <w:rPr>
          <w:szCs w:val="24"/>
        </w:rPr>
        <w:t xml:space="preserve"> d</w:t>
      </w:r>
      <w:r w:rsidR="003E5004">
        <w:rPr>
          <w:szCs w:val="24"/>
        </w:rPr>
        <w:t>e</w:t>
      </w:r>
      <w:r w:rsidRPr="00640DDE" w:rsidR="003E5004">
        <w:rPr>
          <w:szCs w:val="24"/>
        </w:rPr>
        <w:t xml:space="preserve">cisions </w:t>
      </w:r>
      <w:r w:rsidR="003E5004">
        <w:rPr>
          <w:szCs w:val="24"/>
        </w:rPr>
        <w:t>of the domestic courts</w:t>
      </w:r>
      <w:r w:rsidRPr="00640DDE" w:rsidR="003E5004">
        <w:rPr>
          <w:szCs w:val="24"/>
        </w:rPr>
        <w:t>.</w:t>
      </w:r>
      <w:r w:rsidR="003E5004">
        <w:rPr>
          <w:szCs w:val="24"/>
        </w:rPr>
        <w:t xml:space="preserve"> </w:t>
      </w:r>
      <w:r w:rsidR="00325C52">
        <w:rPr>
          <w:szCs w:val="24"/>
        </w:rPr>
        <w:t>Regard</w:t>
      </w:r>
      <w:r w:rsidR="003E5004">
        <w:rPr>
          <w:szCs w:val="24"/>
        </w:rPr>
        <w:t xml:space="preserve"> should be </w:t>
      </w:r>
      <w:r w:rsidR="00325C52">
        <w:rPr>
          <w:szCs w:val="24"/>
        </w:rPr>
        <w:t xml:space="preserve">had in </w:t>
      </w:r>
      <w:r w:rsidR="003E5004">
        <w:rPr>
          <w:szCs w:val="24"/>
        </w:rPr>
        <w:t xml:space="preserve">this </w:t>
      </w:r>
      <w:r w:rsidR="00325C52">
        <w:rPr>
          <w:szCs w:val="24"/>
        </w:rPr>
        <w:t>connection to the</w:t>
      </w:r>
      <w:r w:rsidR="003E5004">
        <w:rPr>
          <w:szCs w:val="24"/>
        </w:rPr>
        <w:t xml:space="preserve"> </w:t>
      </w:r>
      <w:r w:rsidR="00325C52">
        <w:rPr>
          <w:szCs w:val="24"/>
        </w:rPr>
        <w:t xml:space="preserve">discretion available to the </w:t>
      </w:r>
      <w:r w:rsidR="003E5004">
        <w:rPr>
          <w:szCs w:val="24"/>
        </w:rPr>
        <w:t xml:space="preserve">domestic courts </w:t>
      </w:r>
      <w:r w:rsidR="00325C52">
        <w:rPr>
          <w:szCs w:val="24"/>
        </w:rPr>
        <w:t>in</w:t>
      </w:r>
      <w:r w:rsidR="003E5004">
        <w:rPr>
          <w:szCs w:val="24"/>
        </w:rPr>
        <w:t xml:space="preserve"> assessing the facts and </w:t>
      </w:r>
      <w:r w:rsidR="00275D09">
        <w:rPr>
          <w:szCs w:val="24"/>
        </w:rPr>
        <w:t xml:space="preserve">the </w:t>
      </w:r>
      <w:r w:rsidR="003E5004">
        <w:rPr>
          <w:szCs w:val="24"/>
        </w:rPr>
        <w:t>evidence</w:t>
      </w:r>
      <w:r w:rsidRPr="00640DDE" w:rsidR="003E5004">
        <w:rPr>
          <w:szCs w:val="24"/>
        </w:rPr>
        <w:t>.</w:t>
      </w:r>
    </w:p>
    <w:p w:rsidRPr="002A0715" w:rsidR="00BF642C" w:rsidP="00BF642C" w:rsidRDefault="00BF642C">
      <w:pPr>
        <w:pStyle w:val="JuParaChar1"/>
        <w:keepLines/>
        <w:rPr>
          <w:szCs w:val="24"/>
          <w:lang w:val="en-GB"/>
        </w:rPr>
      </w:pPr>
      <w:r w:rsidRPr="00C2011C">
        <w:rPr>
          <w:szCs w:val="24"/>
        </w:rPr>
        <w:fldChar w:fldCharType="begin"/>
      </w:r>
      <w:r w:rsidRPr="002A0715">
        <w:rPr>
          <w:szCs w:val="24"/>
          <w:lang w:val="en-GB"/>
        </w:rPr>
        <w:instrText xml:space="preserve"> SEQ level0 \*arabic </w:instrText>
      </w:r>
      <w:r w:rsidRPr="00C2011C">
        <w:rPr>
          <w:szCs w:val="24"/>
        </w:rPr>
        <w:fldChar w:fldCharType="separate"/>
      </w:r>
      <w:r w:rsidR="008B3B68">
        <w:rPr>
          <w:noProof/>
          <w:szCs w:val="24"/>
          <w:lang w:val="en-GB"/>
        </w:rPr>
        <w:t>170</w:t>
      </w:r>
      <w:r w:rsidRPr="00C2011C">
        <w:rPr>
          <w:szCs w:val="24"/>
        </w:rPr>
        <w:fldChar w:fldCharType="end"/>
      </w:r>
      <w:r w:rsidRPr="002A0715">
        <w:rPr>
          <w:szCs w:val="24"/>
          <w:lang w:val="en-GB"/>
        </w:rPr>
        <w:t>.  </w:t>
      </w:r>
      <w:r w:rsidRPr="002A0715" w:rsidR="002A0715">
        <w:rPr>
          <w:szCs w:val="24"/>
          <w:lang w:val="en-GB"/>
        </w:rPr>
        <w:t>Furthermore, in the very particular circumstances of some cases</w:t>
      </w:r>
      <w:r w:rsidR="00567473">
        <w:rPr>
          <w:szCs w:val="24"/>
          <w:lang w:val="en-GB"/>
        </w:rPr>
        <w:t>,</w:t>
      </w:r>
      <w:r w:rsidRPr="002A0715" w:rsidR="002A0715">
        <w:rPr>
          <w:szCs w:val="24"/>
          <w:lang w:val="en-GB"/>
        </w:rPr>
        <w:t xml:space="preserve"> the mere finding of a violation </w:t>
      </w:r>
      <w:r w:rsidR="00147349">
        <w:rPr>
          <w:szCs w:val="24"/>
          <w:lang w:val="en-GB"/>
        </w:rPr>
        <w:t>sufficed to meet</w:t>
      </w:r>
      <w:r w:rsidRPr="002A0715" w:rsidR="002A0715">
        <w:rPr>
          <w:szCs w:val="24"/>
          <w:lang w:val="en-GB"/>
        </w:rPr>
        <w:t xml:space="preserve"> the requirement of an effective remedy and amounted to </w:t>
      </w:r>
      <w:r w:rsidR="00BD4F98">
        <w:rPr>
          <w:szCs w:val="24"/>
          <w:lang w:val="en-GB"/>
        </w:rPr>
        <w:t xml:space="preserve">adequate </w:t>
      </w:r>
      <w:r w:rsidRPr="002A0715" w:rsidR="002A0715">
        <w:rPr>
          <w:szCs w:val="24"/>
          <w:lang w:val="en-GB"/>
        </w:rPr>
        <w:t>redress. That rule had been clearly established in the Court</w:t>
      </w:r>
      <w:r w:rsidR="00E6191D">
        <w:rPr>
          <w:szCs w:val="24"/>
          <w:lang w:val="en-GB"/>
        </w:rPr>
        <w:t>’</w:t>
      </w:r>
      <w:r w:rsidRPr="002A0715" w:rsidR="002A0715">
        <w:rPr>
          <w:szCs w:val="24"/>
          <w:lang w:val="en-GB"/>
        </w:rPr>
        <w:t>s case-law on other Articles of the Convention. In some cases, moreover, the excessive length of the proceedings could be favourable to the parties and compensati</w:t>
      </w:r>
      <w:r w:rsidR="007A78DC">
        <w:rPr>
          <w:szCs w:val="24"/>
          <w:lang w:val="en-GB"/>
        </w:rPr>
        <w:t>ng them</w:t>
      </w:r>
      <w:r w:rsidRPr="002A0715" w:rsidR="002A0715">
        <w:rPr>
          <w:szCs w:val="24"/>
          <w:lang w:val="en-GB"/>
        </w:rPr>
        <w:t xml:space="preserve"> would therefore be extremely questionable</w:t>
      </w:r>
      <w:r w:rsidRPr="002A0715">
        <w:rPr>
          <w:szCs w:val="24"/>
          <w:lang w:val="en-GB"/>
        </w:rPr>
        <w:t>.</w:t>
      </w:r>
    </w:p>
    <w:p w:rsidRPr="002A0715" w:rsidR="00BF642C" w:rsidP="00124007" w:rsidRDefault="00E54656">
      <w:pPr>
        <w:pStyle w:val="JuHa"/>
        <w:outlineLvl w:val="0"/>
        <w:rPr>
          <w:lang w:val="en-GB"/>
        </w:rPr>
      </w:pPr>
      <w:r>
        <w:rPr>
          <w:lang w:val="en-GB"/>
        </w:rPr>
        <w:t>(</w:t>
      </w:r>
      <w:r w:rsidRPr="002A0715" w:rsidR="00BF642C">
        <w:rPr>
          <w:lang w:val="en-GB"/>
        </w:rPr>
        <w:t>c)  </w:t>
      </w:r>
      <w:r w:rsidRPr="002A0715" w:rsidR="002A0715">
        <w:rPr>
          <w:lang w:val="en-GB"/>
        </w:rPr>
        <w:t>The Slovak</w:t>
      </w:r>
      <w:r w:rsidR="00090C8D">
        <w:rPr>
          <w:lang w:val="en-GB"/>
        </w:rPr>
        <w:t>ian</w:t>
      </w:r>
      <w:r w:rsidRPr="002A0715" w:rsidR="002A0715">
        <w:rPr>
          <w:lang w:val="en-GB"/>
        </w:rPr>
        <w:t xml:space="preserve"> Government</w:t>
      </w:r>
    </w:p>
    <w:p w:rsidR="00BF642C" w:rsidP="002A0715" w:rsidRDefault="00BF642C">
      <w:pPr>
        <w:pStyle w:val="JuParaCharChar"/>
      </w:pPr>
      <w:r w:rsidRPr="00C2011C">
        <w:rPr>
          <w:bCs/>
        </w:rPr>
        <w:fldChar w:fldCharType="begin"/>
      </w:r>
      <w:r w:rsidRPr="00C2011C">
        <w:rPr>
          <w:bCs/>
        </w:rPr>
        <w:instrText xml:space="preserve"> SEQ level0 \*arabic </w:instrText>
      </w:r>
      <w:r w:rsidRPr="00C2011C">
        <w:rPr>
          <w:bCs/>
        </w:rPr>
        <w:fldChar w:fldCharType="separate"/>
      </w:r>
      <w:r w:rsidR="008B3B68">
        <w:rPr>
          <w:bCs/>
          <w:noProof/>
        </w:rPr>
        <w:t>171</w:t>
      </w:r>
      <w:r w:rsidRPr="00C2011C">
        <w:rPr>
          <w:bCs/>
        </w:rPr>
        <w:fldChar w:fldCharType="end"/>
      </w:r>
      <w:r w:rsidRPr="00C2011C">
        <w:rPr>
          <w:bCs/>
        </w:rPr>
        <w:t>.  </w:t>
      </w:r>
      <w:r w:rsidRPr="00096526" w:rsidR="002A0715">
        <w:rPr>
          <w:bCs/>
        </w:rPr>
        <w:t>In the Slovak</w:t>
      </w:r>
      <w:r w:rsidR="00090C8D">
        <w:rPr>
          <w:bCs/>
        </w:rPr>
        <w:t>ian</w:t>
      </w:r>
      <w:r w:rsidRPr="00096526" w:rsidR="002A0715">
        <w:rPr>
          <w:bCs/>
        </w:rPr>
        <w:t xml:space="preserve"> Government</w:t>
      </w:r>
      <w:r w:rsidR="00E6191D">
        <w:rPr>
          <w:bCs/>
        </w:rPr>
        <w:t>’</w:t>
      </w:r>
      <w:r w:rsidRPr="00096526" w:rsidR="002A0715">
        <w:rPr>
          <w:bCs/>
        </w:rPr>
        <w:t>s submission</w:t>
      </w:r>
      <w:r w:rsidRPr="00096526" w:rsidR="002A0715">
        <w:t>, the Court should adopt the same approach as in assessing the fairnes</w:t>
      </w:r>
      <w:r w:rsidR="002A0715">
        <w:t xml:space="preserve">s of proceedings, </w:t>
      </w:r>
      <w:r w:rsidR="00BC371A">
        <w:t>a matter in respect of which it considered</w:t>
      </w:r>
      <w:r w:rsidRPr="00096526" w:rsidR="002A0715">
        <w:t xml:space="preserve"> that its task </w:t>
      </w:r>
      <w:r w:rsidR="002A0715">
        <w:t>was</w:t>
      </w:r>
      <w:r w:rsidRPr="00096526" w:rsidR="002A0715">
        <w:t xml:space="preserve"> not to deal with the factual or legal m</w:t>
      </w:r>
      <w:r w:rsidR="002A0715">
        <w:t>istakes</w:t>
      </w:r>
      <w:r w:rsidR="00BC371A">
        <w:t xml:space="preserve"> allegedly</w:t>
      </w:r>
      <w:r w:rsidR="002A0715">
        <w:t xml:space="preserve"> made by </w:t>
      </w:r>
      <w:r w:rsidR="00BC371A">
        <w:t xml:space="preserve">the </w:t>
      </w:r>
      <w:r w:rsidR="002A0715">
        <w:t>domestic courts</w:t>
      </w:r>
      <w:r w:rsidRPr="00096526" w:rsidR="002A0715">
        <w:t xml:space="preserve"> unless such mistakes could</w:t>
      </w:r>
      <w:r w:rsidR="00BC371A">
        <w:t xml:space="preserve"> have</w:t>
      </w:r>
      <w:r w:rsidRPr="00096526" w:rsidR="002A0715">
        <w:t xml:space="preserve"> result</w:t>
      </w:r>
      <w:r w:rsidR="00BC371A">
        <w:t>ed</w:t>
      </w:r>
      <w:r w:rsidRPr="00096526" w:rsidR="002A0715">
        <w:t xml:space="preserve"> in a </w:t>
      </w:r>
      <w:r w:rsidR="00BC371A">
        <w:t>breach</w:t>
      </w:r>
      <w:r w:rsidRPr="00096526" w:rsidR="002A0715">
        <w:t xml:space="preserve"> of the rights and freedoms guaranteed by the Convention. Moreover, although Article 6 of the Convention guarantee</w:t>
      </w:r>
      <w:r w:rsidR="002A0715">
        <w:t>d</w:t>
      </w:r>
      <w:r w:rsidRPr="00096526" w:rsidR="002A0715">
        <w:t xml:space="preserve"> the right to a fair trial</w:t>
      </w:r>
      <w:r w:rsidR="005242D8">
        <w:t>,</w:t>
      </w:r>
      <w:r w:rsidRPr="00096526" w:rsidR="002A0715">
        <w:t xml:space="preserve"> it </w:t>
      </w:r>
      <w:r w:rsidR="002A0715">
        <w:t>did</w:t>
      </w:r>
      <w:r w:rsidRPr="00096526" w:rsidR="002A0715">
        <w:t xml:space="preserve"> not lay down any rules on the admissibility of evidence or its </w:t>
      </w:r>
      <w:r w:rsidR="002A0715">
        <w:t>assessment</w:t>
      </w:r>
      <w:r w:rsidRPr="00096526" w:rsidR="002A0715">
        <w:t xml:space="preserve">, which </w:t>
      </w:r>
      <w:r w:rsidR="002A0715">
        <w:t>was</w:t>
      </w:r>
      <w:r w:rsidRPr="00096526" w:rsidR="002A0715">
        <w:t xml:space="preserve"> therefore primarily a matter for regulation under national law by the domestic courts. Accordingly, when examining decisions of domestic courts on the amount awarded </w:t>
      </w:r>
      <w:r w:rsidR="00884814">
        <w:t xml:space="preserve">for </w:t>
      </w:r>
      <w:r w:rsidRPr="00096526" w:rsidR="00884814">
        <w:t xml:space="preserve">non-pecuniary </w:t>
      </w:r>
      <w:r w:rsidR="00884814">
        <w:t>damage arising from</w:t>
      </w:r>
      <w:r w:rsidRPr="00096526" w:rsidR="002A0715">
        <w:t xml:space="preserve"> delays in proceedings, the Court should leave enough room for the courts</w:t>
      </w:r>
      <w:r w:rsidR="00E6191D">
        <w:t>’</w:t>
      </w:r>
      <w:r w:rsidRPr="00096526" w:rsidR="002A0715">
        <w:t xml:space="preserve"> discretion in this respect </w:t>
      </w:r>
      <w:r w:rsidR="002A0715">
        <w:t>since the domestic court</w:t>
      </w:r>
      <w:r w:rsidR="00BC371A">
        <w:t>s</w:t>
      </w:r>
      <w:r w:rsidR="002A0715">
        <w:t xml:space="preserve"> decided</w:t>
      </w:r>
      <w:r w:rsidRPr="00096526" w:rsidR="002A0715">
        <w:t xml:space="preserve"> on delays in the proceedings on the basis of</w:t>
      </w:r>
      <w:r w:rsidR="002A0715">
        <w:t xml:space="preserve"> the same criteria as the Court – and were</w:t>
      </w:r>
      <w:r w:rsidRPr="00096526" w:rsidR="002A0715">
        <w:t xml:space="preserve"> in a better position </w:t>
      </w:r>
      <w:r w:rsidR="002A0715">
        <w:t xml:space="preserve">to analyse the causes and consequences and thus to determine the </w:t>
      </w:r>
      <w:r w:rsidRPr="00096526" w:rsidR="002A0715">
        <w:t xml:space="preserve">non-pecuniary damage on </w:t>
      </w:r>
      <w:r w:rsidR="002A0715">
        <w:t>an equitable basis</w:t>
      </w:r>
      <w:r w:rsidRPr="00C2011C">
        <w:t>.</w:t>
      </w:r>
    </w:p>
    <w:p w:rsidR="00967E1F" w:rsidP="00BF642C" w:rsidRDefault="00BF642C">
      <w:pPr>
        <w:pStyle w:val="JuParaChar1"/>
        <w:rPr>
          <w:lang w:val="en-GB"/>
        </w:rPr>
      </w:pPr>
      <w:r w:rsidRPr="00C2011C">
        <w:fldChar w:fldCharType="begin"/>
      </w:r>
      <w:r w:rsidRPr="002A0715">
        <w:rPr>
          <w:lang w:val="en-GB"/>
        </w:rPr>
        <w:instrText xml:space="preserve"> SEQ level0 \*arabic </w:instrText>
      </w:r>
      <w:r w:rsidRPr="00C2011C">
        <w:fldChar w:fldCharType="separate"/>
      </w:r>
      <w:r w:rsidR="008B3B68">
        <w:rPr>
          <w:noProof/>
          <w:lang w:val="en-GB"/>
        </w:rPr>
        <w:t>172</w:t>
      </w:r>
      <w:r w:rsidRPr="00C2011C">
        <w:fldChar w:fldCharType="end"/>
      </w:r>
      <w:r w:rsidRPr="002A0715">
        <w:rPr>
          <w:lang w:val="en-GB"/>
        </w:rPr>
        <w:t>.  </w:t>
      </w:r>
      <w:r w:rsidR="002A0715">
        <w:rPr>
          <w:lang w:val="en-GB"/>
        </w:rPr>
        <w:t>The Slovak</w:t>
      </w:r>
      <w:r w:rsidR="00090C8D">
        <w:rPr>
          <w:lang w:val="en-GB"/>
        </w:rPr>
        <w:t>ian</w:t>
      </w:r>
      <w:r w:rsidR="002A0715">
        <w:rPr>
          <w:lang w:val="en-GB"/>
        </w:rPr>
        <w:t xml:space="preserve"> Government</w:t>
      </w:r>
      <w:r w:rsidRPr="002A0715">
        <w:rPr>
          <w:lang w:val="en-GB"/>
        </w:rPr>
        <w:t xml:space="preserve"> </w:t>
      </w:r>
      <w:r w:rsidRPr="002A0715" w:rsidR="002A0715">
        <w:rPr>
          <w:szCs w:val="24"/>
          <w:lang w:val="en-GB"/>
        </w:rPr>
        <w:t xml:space="preserve">pointed out that </w:t>
      </w:r>
      <w:r w:rsidRPr="002A0715" w:rsidR="002A0715">
        <w:rPr>
          <w:lang w:val="en-GB"/>
        </w:rPr>
        <w:t xml:space="preserve">the decisions of the </w:t>
      </w:r>
      <w:smartTag w:uri="urn:schemas-microsoft-com:office:smarttags" w:element="Street">
        <w:smartTag w:uri="urn:schemas-microsoft-com:office:smarttags" w:element="address">
          <w:r w:rsidR="00BC371A" w:rsidRPr="002A0715">
            <w:rPr>
              <w:lang w:val="en-GB"/>
            </w:rPr>
            <w:t>Slovak</w:t>
          </w:r>
          <w:r w:rsidR="00090C8D">
            <w:rPr>
              <w:lang w:val="en-GB"/>
            </w:rPr>
            <w:t>ian</w:t>
          </w:r>
          <w:r w:rsidR="00BC371A" w:rsidRPr="002A0715">
            <w:rPr>
              <w:lang w:val="en-GB"/>
            </w:rPr>
            <w:t xml:space="preserve"> </w:t>
          </w:r>
          <w:r w:rsidR="002A0715" w:rsidRPr="002A0715">
            <w:rPr>
              <w:lang w:val="en-GB"/>
            </w:rPr>
            <w:t>Constitutional Court</w:t>
          </w:r>
        </w:smartTag>
      </w:smartTag>
      <w:r w:rsidRPr="002A0715" w:rsidR="002A0715">
        <w:rPr>
          <w:lang w:val="en-GB"/>
        </w:rPr>
        <w:t xml:space="preserve"> concerning delays in proceedings were much more detailed than the Court</w:t>
      </w:r>
      <w:r w:rsidR="00E6191D">
        <w:rPr>
          <w:lang w:val="en-GB"/>
        </w:rPr>
        <w:t>’</w:t>
      </w:r>
      <w:r w:rsidRPr="002A0715" w:rsidR="002A0715">
        <w:rPr>
          <w:lang w:val="en-GB"/>
        </w:rPr>
        <w:t>s de</w:t>
      </w:r>
      <w:r w:rsidR="002A0715">
        <w:rPr>
          <w:lang w:val="en-GB"/>
        </w:rPr>
        <w:t>cisions.</w:t>
      </w:r>
      <w:r w:rsidRPr="002A0715" w:rsidR="002A0715">
        <w:rPr>
          <w:lang w:val="en-GB"/>
        </w:rPr>
        <w:t xml:space="preserve"> </w:t>
      </w:r>
      <w:r w:rsidRPr="007A78DC" w:rsidR="007A78DC">
        <w:rPr>
          <w:lang w:val="en-GB"/>
        </w:rPr>
        <w:t xml:space="preserve">In their submission, the Court should examine the decisions of the domestic courts relating to the amounts awarded for non-pecuniary damage only with regard to whether these decisions were manifestly arbitrary and unfair and not whether the amounts awarded by the Court in similar circumstances were substantially higher. Moreover, the </w:t>
      </w:r>
      <w:r w:rsidR="00275D09">
        <w:rPr>
          <w:lang w:val="en-GB"/>
        </w:rPr>
        <w:t>Slovak</w:t>
      </w:r>
      <w:r w:rsidR="00090C8D">
        <w:rPr>
          <w:lang w:val="en-GB"/>
        </w:rPr>
        <w:t>ian</w:t>
      </w:r>
      <w:r w:rsidR="00275D09">
        <w:rPr>
          <w:lang w:val="en-GB"/>
        </w:rPr>
        <w:t xml:space="preserve"> </w:t>
      </w:r>
      <w:r w:rsidRPr="007A78DC" w:rsidR="007A78DC">
        <w:rPr>
          <w:lang w:val="en-GB"/>
        </w:rPr>
        <w:t>Government found it logical that the amounts awarded by the domestic courts for protractedness of proceedings were less than the amounts awarded by the Court because injured persons could obtain effective and rapid compensation in their own country without having to bring their case to the international court.</w:t>
      </w:r>
    </w:p>
    <w:p w:rsidRPr="002A0715" w:rsidR="002A0715" w:rsidP="00124007" w:rsidRDefault="002A0715">
      <w:pPr>
        <w:pStyle w:val="JuH1"/>
        <w:outlineLvl w:val="0"/>
        <w:rPr>
          <w:lang w:val="en-GB"/>
        </w:rPr>
      </w:pPr>
      <w:r w:rsidRPr="002A0715">
        <w:rPr>
          <w:lang w:val="en-GB"/>
        </w:rPr>
        <w:t>4.  The Court</w:t>
      </w:r>
      <w:r w:rsidR="00E6191D">
        <w:rPr>
          <w:lang w:val="en-GB"/>
        </w:rPr>
        <w:t>’</w:t>
      </w:r>
      <w:r w:rsidRPr="002A0715">
        <w:rPr>
          <w:lang w:val="en-GB"/>
        </w:rPr>
        <w:t>s assessment</w:t>
      </w:r>
    </w:p>
    <w:p w:rsidRPr="00DA15E2" w:rsidR="002A0715" w:rsidP="000C575D" w:rsidRDefault="00E54656">
      <w:pPr>
        <w:pStyle w:val="JuHa"/>
        <w:rPr>
          <w:lang w:val="en-GB"/>
        </w:rPr>
      </w:pPr>
      <w:r>
        <w:rPr>
          <w:lang w:val="en-GB"/>
        </w:rPr>
        <w:t>(</w:t>
      </w:r>
      <w:r w:rsidRPr="00DA15E2" w:rsidR="002A0715">
        <w:rPr>
          <w:lang w:val="en-GB"/>
        </w:rPr>
        <w:t>a)</w:t>
      </w:r>
      <w:r w:rsidR="005A47DF">
        <w:rPr>
          <w:lang w:val="en-GB"/>
        </w:rPr>
        <w:t>  </w:t>
      </w:r>
      <w:r w:rsidRPr="00DA15E2" w:rsidR="002A0715">
        <w:rPr>
          <w:lang w:val="en-GB"/>
        </w:rPr>
        <w:t>Re</w:t>
      </w:r>
      <w:r w:rsidRPr="00DA15E2" w:rsidR="002905F4">
        <w:rPr>
          <w:lang w:val="en-GB"/>
        </w:rPr>
        <w:t>iteration</w:t>
      </w:r>
      <w:r w:rsidRPr="00DA15E2" w:rsidR="002A0715">
        <w:rPr>
          <w:lang w:val="en-GB"/>
        </w:rPr>
        <w:t xml:space="preserve"> of the context peculiar to length-of-proceedings cases</w:t>
      </w:r>
    </w:p>
    <w:p w:rsidR="00824B80" w:rsidP="002B6DC0" w:rsidRDefault="002A0715">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173</w:t>
      </w:r>
      <w:r>
        <w:rPr>
          <w:lang w:val="en-GB"/>
        </w:rPr>
        <w:fldChar w:fldCharType="end"/>
      </w:r>
      <w:r>
        <w:rPr>
          <w:lang w:val="en-GB"/>
        </w:rPr>
        <w:t>.  </w:t>
      </w:r>
      <w:r w:rsidRPr="00A82167" w:rsidR="00A82167">
        <w:rPr>
          <w:lang w:val="en-GB"/>
        </w:rPr>
        <w:t>The Court will begin by responding to the observations of the different Governments regarding the lack of precision in its judgments both in respect of the reasons leading to a finding of a violation and awards in respect of non-pecuniary damage</w:t>
      </w:r>
      <w:r>
        <w:rPr>
          <w:lang w:val="en-GB"/>
        </w:rPr>
        <w:t>.</w:t>
      </w:r>
    </w:p>
    <w:p w:rsidRPr="00A82167" w:rsidR="002A0715" w:rsidP="002B6DC0" w:rsidRDefault="002A0715">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174</w:t>
      </w:r>
      <w:r>
        <w:rPr>
          <w:lang w:val="en-GB"/>
        </w:rPr>
        <w:fldChar w:fldCharType="end"/>
      </w:r>
      <w:r>
        <w:rPr>
          <w:lang w:val="en-GB"/>
        </w:rPr>
        <w:t>.  </w:t>
      </w:r>
      <w:r w:rsidRPr="00A82167" w:rsidR="00A82167">
        <w:rPr>
          <w:lang w:val="en-GB"/>
        </w:rPr>
        <w:t>It feels it important to point out that the reason it has been led to rule on so many length-of-proceedings cases is because certain Contracting Parties have for years failed to comply with the “reasonable</w:t>
      </w:r>
      <w:r w:rsidR="00842436">
        <w:rPr>
          <w:lang w:val="en-GB"/>
        </w:rPr>
        <w:t xml:space="preserve"> </w:t>
      </w:r>
      <w:r w:rsidRPr="00A82167" w:rsidR="00A82167">
        <w:rPr>
          <w:lang w:val="en-GB"/>
        </w:rPr>
        <w:t>time” requirement under Article 6 § 1 and have not provided a domestic remedy for this type of complaint</w:t>
      </w:r>
      <w:r w:rsidR="00A82167">
        <w:rPr>
          <w:lang w:val="en-GB"/>
        </w:rPr>
        <w:t>.</w:t>
      </w:r>
    </w:p>
    <w:p w:rsidR="00B6326E" w:rsidP="00B6326E" w:rsidRDefault="00B6326E">
      <w:pPr>
        <w:pStyle w:val="JuParaCharChar"/>
        <w:ind w:firstLine="288"/>
      </w:pPr>
      <w:r>
        <w:fldChar w:fldCharType="begin"/>
      </w:r>
      <w:r>
        <w:instrText xml:space="preserve"> SEQ level0 \*arabic </w:instrText>
      </w:r>
      <w:r>
        <w:fldChar w:fldCharType="separate"/>
      </w:r>
      <w:r w:rsidR="008B3B68">
        <w:rPr>
          <w:noProof/>
        </w:rPr>
        <w:t>175</w:t>
      </w:r>
      <w:r>
        <w:fldChar w:fldCharType="end"/>
      </w:r>
      <w:r>
        <w:t>.  </w:t>
      </w:r>
      <w:r w:rsidR="00A82167">
        <w:t xml:space="preserve">The situation has worsened on account of the large number of cases coming from certain countries, of which </w:t>
      </w:r>
      <w:smartTag w:uri="urn:schemas-microsoft-com:office:smarttags" w:element="place">
        <w:smartTag w:uri="urn:schemas-microsoft-com:office:smarttags" w:element="country-region">
          <w:r w:rsidR="00A82167">
            <w:t>Italy</w:t>
          </w:r>
        </w:smartTag>
      </w:smartTag>
      <w:r w:rsidR="00A82167">
        <w:t xml:space="preserve"> is one. </w:t>
      </w:r>
      <w:r w:rsidRPr="00F559D6" w:rsidR="00A82167">
        <w:t xml:space="preserve">The Court has </w:t>
      </w:r>
      <w:r w:rsidR="00A82167">
        <w:t>already had occasion</w:t>
      </w:r>
      <w:r w:rsidRPr="00F559D6" w:rsidR="00A82167">
        <w:t xml:space="preserve"> to </w:t>
      </w:r>
      <w:r w:rsidR="00A82167">
        <w:t>stress</w:t>
      </w:r>
      <w:r w:rsidRPr="00F559D6" w:rsidR="00A82167">
        <w:t xml:space="preserve"> the serious </w:t>
      </w:r>
      <w:r w:rsidR="00A82167">
        <w:t>difficulties it has had as a result of Italy</w:t>
      </w:r>
      <w:r w:rsidR="00E6191D">
        <w:t>’</w:t>
      </w:r>
      <w:r w:rsidR="00A82167">
        <w:t>s inability to resolve the</w:t>
      </w:r>
      <w:r w:rsidRPr="00F559D6" w:rsidR="00A82167">
        <w:t xml:space="preserve"> situation</w:t>
      </w:r>
      <w:r w:rsidR="00A82167">
        <w:t>. It has expressed itself on the subject in the following term</w:t>
      </w:r>
      <w:r w:rsidR="006C4D4D">
        <w:t>s</w:t>
      </w:r>
      <w:r w:rsidRPr="00F559D6">
        <w:t>:</w:t>
      </w:r>
    </w:p>
    <w:p w:rsidR="00B6326E" w:rsidP="006C4D4D" w:rsidRDefault="00B6326E">
      <w:pPr>
        <w:pStyle w:val="JuQuotChar1"/>
      </w:pPr>
      <w:r>
        <w:t xml:space="preserve">“The Court next draws attention to the fact that since 25 June 1987, the date of the </w:t>
      </w:r>
      <w:r w:rsidRPr="005242D8">
        <w:rPr>
          <w:i/>
        </w:rPr>
        <w:t>Capuano v. Italy</w:t>
      </w:r>
      <w:r>
        <w:t xml:space="preserve"> judgment (Series A no. 119), it has already delivered 65 judgments in which it has found violations of Article 6 § 1 in proceedings exceeding a “reasonable time” in the civil courts of the various regions of Italy. Similarly, under former Articles 31 and 32 of the Convention, more than 1,400 reports of the Commission resulted in resolutions by the Committee of Ministers finding </w:t>
      </w:r>
      <w:smartTag w:uri="urn:schemas-microsoft-com:office:smarttags" w:element="place">
        <w:smartTag w:uri="urn:schemas-microsoft-com:office:smarttags" w:element="country-region">
          <w:r>
            <w:t>Italy</w:t>
          </w:r>
        </w:smartTag>
      </w:smartTag>
      <w:r w:rsidR="005347B8">
        <w:t xml:space="preserve"> in breach of Article </w:t>
      </w:r>
      <w:r>
        <w:t>6 for the same reason.</w:t>
      </w:r>
    </w:p>
    <w:p w:rsidR="00B6326E" w:rsidP="006C4D4D" w:rsidRDefault="00B6326E">
      <w:pPr>
        <w:pStyle w:val="JuQuotChar1"/>
      </w:pPr>
      <w:r>
        <w:t>The frequency with which violations are found shows that there is an accumulation of identical breaches which are sufficiently numerous to amount not merely to isolated incidents. Such breaches reflect a continuing situation that has not yet been remedied and in respect of which litigants have no domestic remedy.</w:t>
      </w:r>
    </w:p>
    <w:p w:rsidRPr="008E72A5" w:rsidR="00B6326E" w:rsidP="005B5E33" w:rsidRDefault="00B6326E">
      <w:pPr>
        <w:pStyle w:val="JuQuotChar1"/>
      </w:pPr>
      <w:r>
        <w:t>This accumulation of breaches accordingly constitutes a practice that is in</w:t>
      </w:r>
      <w:r w:rsidR="006C4D4D">
        <w:t>compatible with the Convention</w:t>
      </w:r>
      <w:r w:rsidR="00D822B1">
        <w:t>.</w:t>
      </w:r>
      <w:r w:rsidR="006C4D4D">
        <w:t>”</w:t>
      </w:r>
      <w:r w:rsidR="005B5E33">
        <w:t xml:space="preserve"> </w:t>
      </w:r>
      <w:r w:rsidRPr="008E72A5">
        <w:t xml:space="preserve">(see </w:t>
      </w:r>
      <w:r w:rsidRPr="008E72A5">
        <w:rPr>
          <w:i/>
        </w:rPr>
        <w:t xml:space="preserve">Bottazzi v. Italy </w:t>
      </w:r>
      <w:r w:rsidRPr="008E72A5">
        <w:t>[GC], no. 34884/97, § 22, ECHR 1999</w:t>
      </w:r>
      <w:r w:rsidRPr="008E72A5">
        <w:noBreakHyphen/>
        <w:t>V;</w:t>
      </w:r>
      <w:r w:rsidRPr="008E72A5">
        <w:rPr>
          <w:i/>
        </w:rPr>
        <w:t xml:space="preserve"> Ferrari v. Italy</w:t>
      </w:r>
      <w:r w:rsidRPr="008E72A5">
        <w:t xml:space="preserve"> [GC], no. 33440/96, § 21, </w:t>
      </w:r>
      <w:smartTag w:uri="urn:schemas-microsoft-com:office:smarttags" w:element="date">
        <w:smartTagPr>
          <w:attr w:name="Month" w:val="7"/>
          <w:attr w:name="Day" w:val="28"/>
          <w:attr w:name="Year" w:val="1999"/>
        </w:smartTagPr>
        <w:r w:rsidRPr="008E72A5">
          <w:t>28 July 1999</w:t>
        </w:r>
      </w:smartTag>
      <w:r w:rsidRPr="008E72A5">
        <w:t xml:space="preserve">; </w:t>
      </w:r>
      <w:r w:rsidRPr="008E72A5">
        <w:rPr>
          <w:i/>
          <w:szCs w:val="24"/>
        </w:rPr>
        <w:t>A</w:t>
      </w:r>
      <w:r w:rsidRPr="008E72A5" w:rsidR="00D35E98">
        <w:rPr>
          <w:i/>
          <w:szCs w:val="24"/>
        </w:rPr>
        <w:t>.P.</w:t>
      </w:r>
      <w:r w:rsidRPr="008E72A5">
        <w:rPr>
          <w:i/>
          <w:szCs w:val="24"/>
        </w:rPr>
        <w:t xml:space="preserve"> v. Italy</w:t>
      </w:r>
      <w:r w:rsidR="005242D8">
        <w:rPr>
          <w:i/>
          <w:szCs w:val="24"/>
        </w:rPr>
        <w:t xml:space="preserve"> </w:t>
      </w:r>
      <w:r w:rsidR="005242D8">
        <w:rPr>
          <w:szCs w:val="24"/>
        </w:rPr>
        <w:t>[GC]</w:t>
      </w:r>
      <w:r w:rsidRPr="008E72A5">
        <w:rPr>
          <w:szCs w:val="24"/>
        </w:rPr>
        <w:t xml:space="preserve">, no. </w:t>
      </w:r>
      <w:r w:rsidR="00380FBF">
        <w:rPr>
          <w:szCs w:val="24"/>
        </w:rPr>
        <w:t>35265</w:t>
      </w:r>
      <w:r w:rsidR="005242D8">
        <w:rPr>
          <w:szCs w:val="24"/>
        </w:rPr>
        <w:t xml:space="preserve">/97, § </w:t>
      </w:r>
      <w:r w:rsidRPr="008E72A5">
        <w:rPr>
          <w:szCs w:val="24"/>
        </w:rPr>
        <w:t xml:space="preserve">18, 28 July 1999; and </w:t>
      </w:r>
      <w:r w:rsidRPr="008E72A5">
        <w:rPr>
          <w:i/>
        </w:rPr>
        <w:t>Di Mauro v. Italy</w:t>
      </w:r>
      <w:r w:rsidRPr="008E72A5">
        <w:t xml:space="preserve"> [GC]</w:t>
      </w:r>
      <w:r w:rsidR="005242D8">
        <w:t>, no. 34256/96, §</w:t>
      </w:r>
      <w:r w:rsidR="005B5E33">
        <w:t> </w:t>
      </w:r>
      <w:r w:rsidR="005242D8">
        <w:t>23, ECHR 1999-</w:t>
      </w:r>
      <w:r w:rsidRPr="008E72A5">
        <w:t>V)</w:t>
      </w:r>
    </w:p>
    <w:p w:rsidR="00967E1F" w:rsidP="00B6326E" w:rsidRDefault="00B6326E">
      <w:pPr>
        <w:pStyle w:val="JuParaCharChar"/>
      </w:pPr>
      <w:r>
        <w:fldChar w:fldCharType="begin"/>
      </w:r>
      <w:r>
        <w:instrText xml:space="preserve"> SEQ level0 \*arabic </w:instrText>
      </w:r>
      <w:r>
        <w:fldChar w:fldCharType="separate"/>
      </w:r>
      <w:r w:rsidR="008B3B68">
        <w:rPr>
          <w:noProof/>
        </w:rPr>
        <w:t>176</w:t>
      </w:r>
      <w:r>
        <w:fldChar w:fldCharType="end"/>
      </w:r>
      <w:r>
        <w:t>.  </w:t>
      </w:r>
      <w:r w:rsidRPr="00FA262D" w:rsidR="00A82167">
        <w:t>Thus</w:t>
      </w:r>
      <w:r w:rsidR="00A82167">
        <w:t xml:space="preserve"> </w:t>
      </w:r>
      <w:r w:rsidRPr="0014553E" w:rsidR="00A82167">
        <w:t xml:space="preserve">the Court, like the Commission, after </w:t>
      </w:r>
      <w:r w:rsidR="00A82167">
        <w:t xml:space="preserve">years of </w:t>
      </w:r>
      <w:r w:rsidRPr="00FA262D" w:rsidR="00A82167">
        <w:t>examining the reasons for the delays</w:t>
      </w:r>
      <w:r w:rsidRPr="0014553E" w:rsidR="00A82167">
        <w:t xml:space="preserve"> attributable to the parties </w:t>
      </w:r>
      <w:r w:rsidR="00A82167">
        <w:t>under</w:t>
      </w:r>
      <w:r w:rsidRPr="0014553E" w:rsidR="00A82167">
        <w:t xml:space="preserve"> </w:t>
      </w:r>
      <w:r w:rsidR="00A82167">
        <w:t xml:space="preserve">the </w:t>
      </w:r>
      <w:r w:rsidRPr="0014553E" w:rsidR="00A82167">
        <w:t xml:space="preserve">Italian procedural rules, has had to </w:t>
      </w:r>
      <w:r w:rsidR="00A82167">
        <w:t>resolve to standardi</w:t>
      </w:r>
      <w:r w:rsidR="005242D8">
        <w:t>s</w:t>
      </w:r>
      <w:r w:rsidR="00A82167">
        <w:t xml:space="preserve">e its judgments and decisions. This has allowed it to adopt more than </w:t>
      </w:r>
      <w:r w:rsidR="00A82167">
        <w:rPr>
          <w:szCs w:val="24"/>
        </w:rPr>
        <w:t>1,</w:t>
      </w:r>
      <w:r w:rsidRPr="0014553E" w:rsidR="00A82167">
        <w:rPr>
          <w:szCs w:val="24"/>
        </w:rPr>
        <w:t xml:space="preserve">000 </w:t>
      </w:r>
      <w:r w:rsidR="00A82167">
        <w:rPr>
          <w:szCs w:val="24"/>
        </w:rPr>
        <w:t xml:space="preserve">judgments against </w:t>
      </w:r>
      <w:smartTag w:uri="urn:schemas-microsoft-com:office:smarttags" w:element="place">
        <w:smartTag w:uri="urn:schemas-microsoft-com:office:smarttags" w:element="country-region">
          <w:r w:rsidR="00A82167">
            <w:rPr>
              <w:szCs w:val="24"/>
            </w:rPr>
            <w:t>Italy</w:t>
          </w:r>
        </w:smartTag>
      </w:smartTag>
      <w:r w:rsidRPr="0014553E" w:rsidR="00A82167">
        <w:t xml:space="preserve"> </w:t>
      </w:r>
      <w:r w:rsidR="00A82167">
        <w:t>since</w:t>
      </w:r>
      <w:r w:rsidRPr="0014553E" w:rsidR="00A82167">
        <w:rPr>
          <w:szCs w:val="24"/>
        </w:rPr>
        <w:t xml:space="preserve"> 1999 </w:t>
      </w:r>
      <w:r w:rsidR="00A82167">
        <w:rPr>
          <w:szCs w:val="24"/>
        </w:rPr>
        <w:t>in civil length-of-proceedings cases</w:t>
      </w:r>
      <w:r w:rsidRPr="0014553E" w:rsidR="00A82167">
        <w:t xml:space="preserve">. That approach has made it necessary to </w:t>
      </w:r>
      <w:r w:rsidRPr="00FA262D" w:rsidR="00A82167">
        <w:t>establish scales on equitable principles for awards in respect of non-pecuniary damage under Article 41, in order to arrive at equivalent results in similar cases</w:t>
      </w:r>
      <w:r w:rsidR="00FE0ACB">
        <w:t>.</w:t>
      </w:r>
    </w:p>
    <w:p w:rsidRPr="0014553E" w:rsidR="00B6326E" w:rsidP="00B6326E" w:rsidRDefault="00A82167">
      <w:pPr>
        <w:pStyle w:val="JuParaCharChar"/>
      </w:pPr>
      <w:r>
        <w:t>All this</w:t>
      </w:r>
      <w:r w:rsidRPr="0014553E">
        <w:t xml:space="preserve"> has led the Court to award higher levels of compensation tha</w:t>
      </w:r>
      <w:r>
        <w:t>n</w:t>
      </w:r>
      <w:r w:rsidRPr="0014553E">
        <w:t xml:space="preserve"> those </w:t>
      </w:r>
      <w:r>
        <w:t xml:space="preserve">awarded </w:t>
      </w:r>
      <w:r w:rsidRPr="0014553E">
        <w:t xml:space="preserve">by the Convention </w:t>
      </w:r>
      <w:r>
        <w:t>institutions prior to 19</w:t>
      </w:r>
      <w:r w:rsidRPr="0014553E">
        <w:t>99</w:t>
      </w:r>
      <w:r w:rsidR="005242D8">
        <w:t>,</w:t>
      </w:r>
      <w:r w:rsidRPr="0014553E">
        <w:t xml:space="preserve"> </w:t>
      </w:r>
      <w:r>
        <w:t xml:space="preserve">and </w:t>
      </w:r>
      <w:r w:rsidR="00621C00">
        <w:t>which</w:t>
      </w:r>
      <w:r>
        <w:t xml:space="preserve"> may differ from those applied in the event of a finding of other</w:t>
      </w:r>
      <w:r w:rsidRPr="0014553E">
        <w:t xml:space="preserve"> violations. This increase</w:t>
      </w:r>
      <w:r>
        <w:t>,</w:t>
      </w:r>
      <w:r w:rsidRPr="0014553E">
        <w:t xml:space="preserve"> </w:t>
      </w:r>
      <w:r>
        <w:t>far from</w:t>
      </w:r>
      <w:r w:rsidRPr="0014553E">
        <w:t xml:space="preserve"> </w:t>
      </w:r>
      <w:r>
        <w:t xml:space="preserve">being a </w:t>
      </w:r>
      <w:r w:rsidRPr="0014553E">
        <w:t>punitive measure</w:t>
      </w:r>
      <w:r>
        <w:t xml:space="preserve">, was intended to </w:t>
      </w:r>
      <w:r w:rsidR="00567473">
        <w:t>serve</w:t>
      </w:r>
      <w:r>
        <w:t xml:space="preserve"> two purposes. On the one hand it encourage</w:t>
      </w:r>
      <w:r w:rsidR="005242D8">
        <w:t>d</w:t>
      </w:r>
      <w:r>
        <w:t xml:space="preserve"> States to find their own, universally accessible, solution to the problem</w:t>
      </w:r>
      <w:r w:rsidR="005242D8">
        <w:t>,</w:t>
      </w:r>
      <w:r>
        <w:t xml:space="preserve"> and on the other hand it allowed applicants to avoid being penalised for the lack of domestic remedies</w:t>
      </w:r>
      <w:r w:rsidR="00331E69">
        <w:t>.</w:t>
      </w:r>
    </w:p>
    <w:p w:rsidR="00967E1F" w:rsidP="004B53E0" w:rsidRDefault="00B6326E">
      <w:pPr>
        <w:pStyle w:val="JuParaCharChar"/>
      </w:pPr>
      <w:r>
        <w:fldChar w:fldCharType="begin"/>
      </w:r>
      <w:r>
        <w:instrText xml:space="preserve"> SEQ level0 \*arabic </w:instrText>
      </w:r>
      <w:r>
        <w:fldChar w:fldCharType="separate"/>
      </w:r>
      <w:r w:rsidR="008B3B68">
        <w:rPr>
          <w:noProof/>
        </w:rPr>
        <w:t>177</w:t>
      </w:r>
      <w:r>
        <w:fldChar w:fldCharType="end"/>
      </w:r>
      <w:r>
        <w:t>.  </w:t>
      </w:r>
      <w:r w:rsidR="00A82167">
        <w:t>The Court also considers it important to point out that</w:t>
      </w:r>
      <w:r w:rsidR="002300BB">
        <w:t xml:space="preserve"> it keeps to </w:t>
      </w:r>
      <w:r w:rsidR="00A82167">
        <w:t xml:space="preserve">its constant practice regarding the assessment of the delays </w:t>
      </w:r>
      <w:r w:rsidR="002300BB">
        <w:t>and</w:t>
      </w:r>
      <w:r w:rsidR="00A82167">
        <w:t xml:space="preserve"> regarding just satisfaction. Concerning</w:t>
      </w:r>
      <w:r w:rsidRPr="0014553E" w:rsidR="00A82167">
        <w:t xml:space="preserve"> the question of exceeding a reasonable time, it reiterates that regard must be had to the circumstances of the case and the criteria laid down in the Court</w:t>
      </w:r>
      <w:r w:rsidR="00E6191D">
        <w:t>’</w:t>
      </w:r>
      <w:r w:rsidRPr="0014553E" w:rsidR="00A82167">
        <w:t>s case-law, in particular the complexity o</w:t>
      </w:r>
      <w:r w:rsidR="00A82167">
        <w:t>f the case, the applicant</w:t>
      </w:r>
      <w:r w:rsidR="00E6191D">
        <w:t>’</w:t>
      </w:r>
      <w:r w:rsidR="00A82167">
        <w:t>s</w:t>
      </w:r>
      <w:r w:rsidRPr="0014553E" w:rsidR="00A82167">
        <w:t xml:space="preserve"> conduct and that of the competent authorities, and the importance of what was at stake for the applicant in the </w:t>
      </w:r>
      <w:r w:rsidR="00A82167">
        <w:t>dispute</w:t>
      </w:r>
      <w:r w:rsidRPr="0014553E" w:rsidR="00A82167">
        <w:t xml:space="preserve"> (</w:t>
      </w:r>
      <w:r w:rsidR="00A82167">
        <w:t>see</w:t>
      </w:r>
      <w:r w:rsidRPr="0014553E" w:rsidR="00A82167">
        <w:t xml:space="preserve">, </w:t>
      </w:r>
      <w:r w:rsidR="00A82167">
        <w:t>among many other authorities,</w:t>
      </w:r>
      <w:r w:rsidRPr="00A83024" w:rsidR="00A82167">
        <w:rPr>
          <w:i/>
          <w:lang w:eastAsia="en-US"/>
        </w:rPr>
        <w:t xml:space="preserve"> </w:t>
      </w:r>
      <w:r w:rsidR="00A82167">
        <w:rPr>
          <w:i/>
        </w:rPr>
        <w:t>Comingersoll</w:t>
      </w:r>
      <w:r w:rsidR="005242D8">
        <w:rPr>
          <w:i/>
        </w:rPr>
        <w:t xml:space="preserve"> S.A.</w:t>
      </w:r>
      <w:r w:rsidRPr="005242D8" w:rsidR="00A82167">
        <w:t>,</w:t>
      </w:r>
      <w:r w:rsidR="00A82167">
        <w:rPr>
          <w:i/>
        </w:rPr>
        <w:t xml:space="preserve"> </w:t>
      </w:r>
      <w:r w:rsidR="00A82167">
        <w:t>cited above</w:t>
      </w:r>
      <w:r w:rsidRPr="0014553E" w:rsidR="00A82167">
        <w:t xml:space="preserve">, § 19). </w:t>
      </w:r>
      <w:r w:rsidR="00A82167">
        <w:t>Furthermore</w:t>
      </w:r>
      <w:r w:rsidRPr="005C294C" w:rsidR="00A82167">
        <w:t xml:space="preserve">, a closer analysis of the many judgments which post-date </w:t>
      </w:r>
      <w:r w:rsidRPr="005C294C" w:rsidR="00A82167">
        <w:rPr>
          <w:i/>
        </w:rPr>
        <w:t xml:space="preserve">Bottazzi </w:t>
      </w:r>
      <w:r w:rsidRPr="005C294C" w:rsidR="00A82167">
        <w:t xml:space="preserve">will enable the Government to see that there is </w:t>
      </w:r>
      <w:r w:rsidR="00A82167">
        <w:t>a clear pattern in the amounts awarded in its judgments, since the amounts differ only in respect of the particular facts of each case</w:t>
      </w:r>
      <w:r w:rsidR="00AF4860">
        <w:t>.</w:t>
      </w:r>
    </w:p>
    <w:p w:rsidRPr="004B53E0" w:rsidR="004B53E0" w:rsidP="00124007" w:rsidRDefault="00E54656">
      <w:pPr>
        <w:pStyle w:val="JuHa"/>
        <w:outlineLvl w:val="0"/>
        <w:rPr>
          <w:lang w:val="en-GB"/>
        </w:rPr>
      </w:pPr>
      <w:r>
        <w:rPr>
          <w:lang w:val="en-GB"/>
        </w:rPr>
        <w:t>(</w:t>
      </w:r>
      <w:r w:rsidRPr="004B53E0" w:rsidR="004B53E0">
        <w:rPr>
          <w:lang w:val="en-GB"/>
        </w:rPr>
        <w:t>b)  Principles established under the Court</w:t>
      </w:r>
      <w:r w:rsidR="00E6191D">
        <w:rPr>
          <w:lang w:val="en-GB"/>
        </w:rPr>
        <w:t>’</w:t>
      </w:r>
      <w:r w:rsidRPr="004B53E0" w:rsidR="004B53E0">
        <w:rPr>
          <w:lang w:val="en-GB"/>
        </w:rPr>
        <w:t>s case-law</w:t>
      </w:r>
    </w:p>
    <w:p w:rsidRPr="00A82167" w:rsidR="004B53E0" w:rsidP="00A82167" w:rsidRDefault="004B53E0">
      <w:pPr>
        <w:pStyle w:val="JuPara"/>
        <w:rPr>
          <w:lang w:val="en-GB"/>
        </w:rPr>
      </w:pPr>
      <w:r>
        <w:fldChar w:fldCharType="begin"/>
      </w:r>
      <w:r w:rsidRPr="00A82167">
        <w:rPr>
          <w:lang w:val="en-GB"/>
        </w:rPr>
        <w:instrText xml:space="preserve"> SEQ level0 \*arabic </w:instrText>
      </w:r>
      <w:r>
        <w:fldChar w:fldCharType="separate"/>
      </w:r>
      <w:r w:rsidR="008B3B68">
        <w:rPr>
          <w:noProof/>
          <w:lang w:val="en-GB"/>
        </w:rPr>
        <w:t>178</w:t>
      </w:r>
      <w:r>
        <w:fldChar w:fldCharType="end"/>
      </w:r>
      <w:r w:rsidRPr="00A82167">
        <w:rPr>
          <w:lang w:val="en-GB"/>
        </w:rPr>
        <w:t>.  </w:t>
      </w:r>
      <w:r w:rsidRPr="00A82167" w:rsidR="00A82167">
        <w:rPr>
          <w:lang w:val="en-GB"/>
        </w:rPr>
        <w:t>With regard to the observations concerning the subsidiarity principle, also made by the third parties, the Court notes that under Article 34 of the Convention it “</w:t>
      </w:r>
      <w:r w:rsidR="00621C00">
        <w:rPr>
          <w:lang w:val="en-GB"/>
        </w:rPr>
        <w:t xml:space="preserve">... </w:t>
      </w:r>
      <w:r w:rsidRPr="00A82167" w:rsidR="00A82167">
        <w:rPr>
          <w:lang w:val="en-GB"/>
        </w:rPr>
        <w:t>may receive applications from any person ... claiming to be the victim of a violation by one of the High Contracting Parties of the rights set forth in the Convention or the Protocols thereto. ...”</w:t>
      </w:r>
      <w:r w:rsidR="00621C00">
        <w:rPr>
          <w:lang w:val="en-GB"/>
        </w:rPr>
        <w:t>.</w:t>
      </w:r>
    </w:p>
    <w:p w:rsidR="004B53E0" w:rsidP="004B53E0" w:rsidRDefault="004B53E0">
      <w:pPr>
        <w:pStyle w:val="JuParaCharChar"/>
      </w:pPr>
      <w:r>
        <w:fldChar w:fldCharType="begin"/>
      </w:r>
      <w:r>
        <w:instrText xml:space="preserve"> SEQ level0 \*arabic </w:instrText>
      </w:r>
      <w:r>
        <w:fldChar w:fldCharType="separate"/>
      </w:r>
      <w:r w:rsidR="008B3B68">
        <w:rPr>
          <w:noProof/>
        </w:rPr>
        <w:t>179</w:t>
      </w:r>
      <w:r>
        <w:fldChar w:fldCharType="end"/>
      </w:r>
      <w:r>
        <w:t>.  </w:t>
      </w:r>
      <w:r w:rsidRPr="00DB5F9E" w:rsidR="007244DB">
        <w:t xml:space="preserve">The Court reiterates that it falls first to the national authorities to redress any alleged violation of the Convention. In this regard, the question whether an applicant can claim to be </w:t>
      </w:r>
      <w:r w:rsidR="007244DB">
        <w:t>a</w:t>
      </w:r>
      <w:r w:rsidRPr="00DB5F9E" w:rsidR="007244DB">
        <w:t xml:space="preserve"> victim of the violation alleged is relevant at all stages of the proceedings under the Convention</w:t>
      </w:r>
      <w:r w:rsidR="007244DB">
        <w:t xml:space="preserve"> (see </w:t>
      </w:r>
      <w:r w:rsidRPr="00DB5F9E" w:rsidR="007244DB">
        <w:rPr>
          <w:i/>
        </w:rPr>
        <w:t>Burdov v. Russia</w:t>
      </w:r>
      <w:r w:rsidR="007244DB">
        <w:t>, no. 59498/00, § 30, ECHR 2002-III</w:t>
      </w:r>
      <w:r>
        <w:t>).</w:t>
      </w:r>
    </w:p>
    <w:p w:rsidR="004B53E0" w:rsidP="004B53E0" w:rsidRDefault="004B53E0">
      <w:pPr>
        <w:pStyle w:val="JuParaCharChar"/>
      </w:pPr>
      <w:r>
        <w:fldChar w:fldCharType="begin"/>
      </w:r>
      <w:r>
        <w:instrText xml:space="preserve"> SEQ level0 \*arabic </w:instrText>
      </w:r>
      <w:r>
        <w:fldChar w:fldCharType="separate"/>
      </w:r>
      <w:r w:rsidR="008B3B68">
        <w:rPr>
          <w:noProof/>
        </w:rPr>
        <w:t>180</w:t>
      </w:r>
      <w:r>
        <w:fldChar w:fldCharType="end"/>
      </w:r>
      <w:r>
        <w:t>.  </w:t>
      </w:r>
      <w:r w:rsidRPr="00DB5F9E">
        <w:t>The</w:t>
      </w:r>
      <w:r>
        <w:t xml:space="preserve"> Court also reiterates that </w:t>
      </w:r>
      <w:r w:rsidRPr="00DB5F9E">
        <w:t xml:space="preserve">a decision or measure favourable to the applicant is not in principle sufficient to </w:t>
      </w:r>
      <w:r>
        <w:t>deprive him of his status as a “victim”</w:t>
      </w:r>
      <w:r w:rsidRPr="00DB5F9E">
        <w:t xml:space="preserve"> unless the national authorities have acknowledged, either expressly or in substance, and then afforded redress for</w:t>
      </w:r>
      <w:r>
        <w:t xml:space="preserve">, the breach of the Convention </w:t>
      </w:r>
      <w:r w:rsidRPr="00DB5F9E">
        <w:t>(</w:t>
      </w:r>
      <w:r>
        <w:t>see</w:t>
      </w:r>
      <w:r w:rsidRPr="00DB5F9E">
        <w:t xml:space="preserve">, </w:t>
      </w:r>
      <w:r>
        <w:t>for</w:t>
      </w:r>
      <w:r w:rsidRPr="00DB5F9E">
        <w:t xml:space="preserve"> ex</w:t>
      </w:r>
      <w:r>
        <w:t>a</w:t>
      </w:r>
      <w:r w:rsidRPr="00DB5F9E">
        <w:t xml:space="preserve">mple, </w:t>
      </w:r>
      <w:r w:rsidRPr="00DB5F9E">
        <w:rPr>
          <w:i/>
        </w:rPr>
        <w:t xml:space="preserve">Eckle </w:t>
      </w:r>
      <w:r>
        <w:rPr>
          <w:i/>
        </w:rPr>
        <w:t>v</w:t>
      </w:r>
      <w:r w:rsidRPr="00DB5F9E">
        <w:rPr>
          <w:i/>
        </w:rPr>
        <w:t xml:space="preserve">. </w:t>
      </w:r>
      <w:r>
        <w:rPr>
          <w:i/>
        </w:rPr>
        <w:t>Germany</w:t>
      </w:r>
      <w:r w:rsidRPr="00DB5F9E">
        <w:t xml:space="preserve">, 15 </w:t>
      </w:r>
      <w:r>
        <w:t>July</w:t>
      </w:r>
      <w:r w:rsidRPr="00DB5F9E">
        <w:t xml:space="preserve"> 1982, </w:t>
      </w:r>
      <w:r w:rsidRPr="00DB5F9E" w:rsidR="005B5E33">
        <w:t xml:space="preserve">§§ 69 </w:t>
      </w:r>
      <w:r w:rsidR="005B5E33">
        <w:t xml:space="preserve">et seq., </w:t>
      </w:r>
      <w:r>
        <w:t xml:space="preserve">Series A no. </w:t>
      </w:r>
      <w:r w:rsidRPr="00DB5F9E">
        <w:t>51</w:t>
      </w:r>
      <w:r>
        <w:t>;</w:t>
      </w:r>
      <w:r w:rsidRPr="00DB5F9E">
        <w:t xml:space="preserve"> </w:t>
      </w:r>
      <w:r w:rsidRPr="00104DC4">
        <w:rPr>
          <w:i/>
        </w:rPr>
        <w:t>Amuur v. France</w:t>
      </w:r>
      <w:r w:rsidRPr="00104DC4">
        <w:t xml:space="preserve">, 25 June 1996, </w:t>
      </w:r>
      <w:r w:rsidRPr="00104DC4" w:rsidR="007741BF">
        <w:t xml:space="preserve">§ </w:t>
      </w:r>
      <w:r w:rsidR="007741BF">
        <w:t xml:space="preserve">36, </w:t>
      </w:r>
      <w:r w:rsidRPr="00104DC4">
        <w:rPr>
          <w:i/>
        </w:rPr>
        <w:t xml:space="preserve">Reports </w:t>
      </w:r>
      <w:r w:rsidR="00E54656">
        <w:t>1996-</w:t>
      </w:r>
      <w:r w:rsidRPr="00104DC4">
        <w:t>III</w:t>
      </w:r>
      <w:r>
        <w:t xml:space="preserve">; </w:t>
      </w:r>
      <w:r w:rsidR="007741BF">
        <w:rPr>
          <w:i/>
        </w:rPr>
        <w:t xml:space="preserve">Dalban v. </w:t>
      </w:r>
      <w:r w:rsidRPr="00104DC4">
        <w:rPr>
          <w:i/>
        </w:rPr>
        <w:t>Romania</w:t>
      </w:r>
      <w:r w:rsidRPr="00104DC4">
        <w:t xml:space="preserve"> [GC], no. 28114/95, § </w:t>
      </w:r>
      <w:r w:rsidRPr="00DB5F9E">
        <w:t xml:space="preserve">44, </w:t>
      </w:r>
      <w:r w:rsidR="006D3C44">
        <w:t>ECHR 1999-</w:t>
      </w:r>
      <w:r w:rsidRPr="00104DC4">
        <w:t>VI</w:t>
      </w:r>
      <w:r>
        <w:t>; and</w:t>
      </w:r>
      <w:r w:rsidRPr="00DB5F9E">
        <w:t xml:space="preserve"> </w:t>
      </w:r>
      <w:r w:rsidR="007A6EB1">
        <w:rPr>
          <w:i/>
        </w:rPr>
        <w:t>Jensen v.</w:t>
      </w:r>
      <w:r w:rsidR="007741BF">
        <w:rPr>
          <w:i/>
        </w:rPr>
        <w:t xml:space="preserve"> </w:t>
      </w:r>
      <w:r w:rsidRPr="00104DC4">
        <w:rPr>
          <w:i/>
        </w:rPr>
        <w:t>Denmark</w:t>
      </w:r>
      <w:r w:rsidR="005242D8">
        <w:t xml:space="preserve"> (dec.), no. 48470/99</w:t>
      </w:r>
      <w:r w:rsidR="008E72A5">
        <w:t>,</w:t>
      </w:r>
      <w:r>
        <w:t xml:space="preserve"> </w:t>
      </w:r>
      <w:r w:rsidR="00E54656">
        <w:t>ECHR 2001-</w:t>
      </w:r>
      <w:r w:rsidRPr="00104DC4">
        <w:t>X</w:t>
      </w:r>
      <w:r w:rsidRPr="00DB5F9E">
        <w:t>)</w:t>
      </w:r>
      <w:r>
        <w:t>.</w:t>
      </w:r>
    </w:p>
    <w:p w:rsidR="004B53E0" w:rsidP="004B53E0" w:rsidRDefault="004B53E0">
      <w:pPr>
        <w:pStyle w:val="JuParaCharChar"/>
      </w:pPr>
      <w:r>
        <w:fldChar w:fldCharType="begin"/>
      </w:r>
      <w:r>
        <w:instrText xml:space="preserve"> SEQ level0 \*arabic </w:instrText>
      </w:r>
      <w:r>
        <w:fldChar w:fldCharType="separate"/>
      </w:r>
      <w:r w:rsidR="008B3B68">
        <w:rPr>
          <w:noProof/>
        </w:rPr>
        <w:t>181</w:t>
      </w:r>
      <w:r>
        <w:fldChar w:fldCharType="end"/>
      </w:r>
      <w:r>
        <w:t>.  </w:t>
      </w:r>
      <w:r w:rsidRPr="00F2215C" w:rsidR="007244DB">
        <w:t xml:space="preserve">The issue </w:t>
      </w:r>
      <w:r w:rsidR="007244DB">
        <w:t>as to</w:t>
      </w:r>
      <w:r w:rsidRPr="00F2215C" w:rsidR="007244DB">
        <w:t xml:space="preserve"> whether a person may still claim to be the victim of an alleged violation of the Convention essentially entails on the part of the Court an </w:t>
      </w:r>
      <w:r w:rsidRPr="00B107DB" w:rsidR="007244DB">
        <w:rPr>
          <w:i/>
        </w:rPr>
        <w:t>ex post facto</w:t>
      </w:r>
      <w:r w:rsidRPr="00F2215C" w:rsidR="007244DB">
        <w:t xml:space="preserve"> examination of his or her situation. As it has already held in other length-of-proceedings cases, the question whether he or she has received reparation for</w:t>
      </w:r>
      <w:r w:rsidR="007244DB">
        <w:t xml:space="preserve"> the</w:t>
      </w:r>
      <w:r w:rsidRPr="00F2215C" w:rsidR="007244DB">
        <w:t xml:space="preserve"> damage caused – comparable to just satisfaction as provided for under Article 41 of the Convention – is an important issue. </w:t>
      </w:r>
      <w:r w:rsidRPr="00365A06" w:rsidR="007244DB">
        <w:t>It is the Court</w:t>
      </w:r>
      <w:r w:rsidR="00E6191D">
        <w:t>’</w:t>
      </w:r>
      <w:r w:rsidRPr="00365A06" w:rsidR="007244DB">
        <w:t xml:space="preserve">s settled case-law that where the national authorities have found a violation and their decision constitutes appropriate and sufficient redress, the party concerned can no longer claim to be a victim within the meaning of Article 34 of the </w:t>
      </w:r>
      <w:r w:rsidR="007244DB">
        <w:t xml:space="preserve">Convention (see </w:t>
      </w:r>
      <w:r w:rsidR="007244DB">
        <w:rPr>
          <w:i/>
        </w:rPr>
        <w:t xml:space="preserve">Holzinger </w:t>
      </w:r>
      <w:r w:rsidRPr="00104DC4" w:rsidR="007244DB">
        <w:rPr>
          <w:i/>
        </w:rPr>
        <w:t>(no. 1)</w:t>
      </w:r>
      <w:r w:rsidRPr="00104DC4" w:rsidR="007244DB">
        <w:t xml:space="preserve">, </w:t>
      </w:r>
      <w:r w:rsidR="007741BF">
        <w:t>cited above</w:t>
      </w:r>
      <w:r w:rsidRPr="00104DC4" w:rsidR="007244DB">
        <w:t xml:space="preserve">, § </w:t>
      </w:r>
      <w:r w:rsidR="007244DB">
        <w:t>21</w:t>
      </w:r>
      <w:r>
        <w:t>).</w:t>
      </w:r>
    </w:p>
    <w:p w:rsidR="004B53E0" w:rsidP="004B53E0" w:rsidRDefault="004B53E0">
      <w:pPr>
        <w:pStyle w:val="JuParaCharChar"/>
      </w:pPr>
      <w:r>
        <w:fldChar w:fldCharType="begin"/>
      </w:r>
      <w:r>
        <w:instrText xml:space="preserve"> SEQ level0 \*arabic </w:instrText>
      </w:r>
      <w:r>
        <w:fldChar w:fldCharType="separate"/>
      </w:r>
      <w:r w:rsidR="008B3B68">
        <w:rPr>
          <w:noProof/>
        </w:rPr>
        <w:t>182</w:t>
      </w:r>
      <w:r>
        <w:fldChar w:fldCharType="end"/>
      </w:r>
      <w:r>
        <w:t>.  </w:t>
      </w:r>
      <w:r w:rsidRPr="00365A06" w:rsidR="007244DB">
        <w:t>In so far as the parties appear to link the issue of victim status to the more general question</w:t>
      </w:r>
      <w:r w:rsidR="007244DB">
        <w:t xml:space="preserve"> of effectiveness of the remedy</w:t>
      </w:r>
      <w:r w:rsidRPr="00365A06" w:rsidR="007244DB">
        <w:t xml:space="preserve"> and seek guidelines </w:t>
      </w:r>
      <w:r w:rsidR="007244DB">
        <w:t xml:space="preserve">on </w:t>
      </w:r>
      <w:r w:rsidR="005242D8">
        <w:t>providing</w:t>
      </w:r>
      <w:r w:rsidRPr="00365A06" w:rsidR="007244DB">
        <w:t xml:space="preserve"> the most effective domestic remedies possible, </w:t>
      </w:r>
      <w:r w:rsidR="007244DB">
        <w:t>the</w:t>
      </w:r>
      <w:r w:rsidRPr="00365A06" w:rsidR="007244DB">
        <w:t xml:space="preserve"> </w:t>
      </w:r>
      <w:r w:rsidR="007244DB">
        <w:t>Court proposes to address the</w:t>
      </w:r>
      <w:r w:rsidRPr="00365A06" w:rsidR="007244DB">
        <w:t xml:space="preserve"> question</w:t>
      </w:r>
      <w:r w:rsidR="007244DB">
        <w:t xml:space="preserve"> in a wider context by giving</w:t>
      </w:r>
      <w:r w:rsidRPr="00365A06" w:rsidR="007244DB">
        <w:t xml:space="preserve"> certain indications </w:t>
      </w:r>
      <w:r w:rsidR="007244DB">
        <w:t>as to the characteristics such a domestic remedy should have,</w:t>
      </w:r>
      <w:r w:rsidRPr="008176D9" w:rsidR="007244DB">
        <w:t xml:space="preserve"> </w:t>
      </w:r>
      <w:r w:rsidRPr="00365A06" w:rsidR="007244DB">
        <w:t>having regard to the fact that, in this type of case, the applicant</w:t>
      </w:r>
      <w:r w:rsidR="00E6191D">
        <w:t>’</w:t>
      </w:r>
      <w:r w:rsidRPr="00365A06" w:rsidR="007244DB">
        <w:t>s ability to claim to be a victim</w:t>
      </w:r>
      <w:r w:rsidR="007244DB">
        <w:t xml:space="preserve"> will depend on the redress the domestic remedy will have </w:t>
      </w:r>
      <w:r w:rsidR="005242D8">
        <w:t>afforded</w:t>
      </w:r>
      <w:r w:rsidR="007244DB">
        <w:t xml:space="preserve"> him or her</w:t>
      </w:r>
      <w:r>
        <w:t>.</w:t>
      </w:r>
    </w:p>
    <w:p w:rsidRPr="0018692A" w:rsidR="004B53E0" w:rsidP="00275D09" w:rsidRDefault="004B53E0">
      <w:pPr>
        <w:pStyle w:val="JuPara"/>
        <w:rPr>
          <w:lang w:val="en-GB"/>
        </w:rPr>
      </w:pPr>
      <w:r>
        <w:fldChar w:fldCharType="begin"/>
      </w:r>
      <w:r w:rsidRPr="0018692A">
        <w:rPr>
          <w:lang w:val="en-GB"/>
        </w:rPr>
        <w:instrText xml:space="preserve"> SEQ level0 \*arabic </w:instrText>
      </w:r>
      <w:r>
        <w:fldChar w:fldCharType="separate"/>
      </w:r>
      <w:r w:rsidR="008B3B68">
        <w:rPr>
          <w:noProof/>
          <w:lang w:val="en-GB"/>
        </w:rPr>
        <w:t>183</w:t>
      </w:r>
      <w:r>
        <w:fldChar w:fldCharType="end"/>
      </w:r>
      <w:r w:rsidRPr="0018692A">
        <w:rPr>
          <w:lang w:val="en-GB"/>
        </w:rPr>
        <w:t>.  </w:t>
      </w:r>
      <w:r w:rsidRPr="007244DB" w:rsidR="007244DB">
        <w:rPr>
          <w:lang w:val="en-GB"/>
        </w:rPr>
        <w:t xml:space="preserve">The best solution in absolute terms is indisputably, as in many spheres, prevention. The Court </w:t>
      </w:r>
      <w:r w:rsidR="00153E15">
        <w:rPr>
          <w:lang w:val="en-GB"/>
        </w:rPr>
        <w:t>observes</w:t>
      </w:r>
      <w:r w:rsidRPr="007244DB" w:rsidR="007244DB">
        <w:rPr>
          <w:lang w:val="en-GB"/>
        </w:rPr>
        <w:t xml:space="preserve"> that it has stated on many occasions that Article 6 § 1 imposes on the Contracting States the duty to organise their judicial systems in such a way that their courts can meet each of its requirements, including the obligation to hear cases within a reasonable time (see, among many other authorities, </w:t>
      </w:r>
      <w:r w:rsidRPr="007244DB" w:rsidR="007244DB">
        <w:rPr>
          <w:i/>
          <w:lang w:val="en-GB"/>
        </w:rPr>
        <w:t>Süßmann v. Germany</w:t>
      </w:r>
      <w:r w:rsidRPr="007244DB" w:rsidR="007244DB">
        <w:rPr>
          <w:lang w:val="en-GB"/>
        </w:rPr>
        <w:t>, 16</w:t>
      </w:r>
      <w:r w:rsidR="007741BF">
        <w:rPr>
          <w:lang w:val="en-GB"/>
        </w:rPr>
        <w:t> </w:t>
      </w:r>
      <w:r w:rsidRPr="007244DB" w:rsidR="007244DB">
        <w:rPr>
          <w:lang w:val="en-GB"/>
        </w:rPr>
        <w:t xml:space="preserve">September 1996, </w:t>
      </w:r>
      <w:r w:rsidRPr="007244DB" w:rsidR="007741BF">
        <w:rPr>
          <w:lang w:val="en-GB"/>
        </w:rPr>
        <w:t>§ 55</w:t>
      </w:r>
      <w:r w:rsidR="007741BF">
        <w:rPr>
          <w:lang w:val="en-GB"/>
        </w:rPr>
        <w:t xml:space="preserve">, </w:t>
      </w:r>
      <w:r w:rsidRPr="007244DB" w:rsidR="007244DB">
        <w:rPr>
          <w:i/>
          <w:lang w:val="en-GB"/>
        </w:rPr>
        <w:t xml:space="preserve">Reports </w:t>
      </w:r>
      <w:r w:rsidR="00E54656">
        <w:rPr>
          <w:lang w:val="en-GB"/>
        </w:rPr>
        <w:t>1996-</w:t>
      </w:r>
      <w:r w:rsidRPr="007244DB" w:rsidR="007244DB">
        <w:rPr>
          <w:lang w:val="en-GB"/>
        </w:rPr>
        <w:t xml:space="preserve">IV, and </w:t>
      </w:r>
      <w:r w:rsidRPr="007244DB" w:rsidR="007244DB">
        <w:rPr>
          <w:i/>
          <w:lang w:val="en-GB"/>
        </w:rPr>
        <w:t>Bottazzi</w:t>
      </w:r>
      <w:r w:rsidRPr="007244DB" w:rsidR="007244DB">
        <w:rPr>
          <w:lang w:val="en-GB"/>
        </w:rPr>
        <w:t>, cited above, § 22). Where the judicial system is deficient in this respect, a remedy designed to expedite the proceedings in order to prevent them from becoming excessively lengthy is the most effective solution</w:t>
      </w:r>
      <w:r w:rsidR="00CD2418">
        <w:rPr>
          <w:lang w:val="en-GB"/>
        </w:rPr>
        <w:t>.</w:t>
      </w:r>
      <w:r w:rsidRPr="007244DB" w:rsidR="007244DB">
        <w:rPr>
          <w:lang w:val="en-GB"/>
        </w:rPr>
        <w:t xml:space="preserve"> Such a remedy offers an undeniable advantage over a remedy affording only compensation since it also prevents a finding of successive violations in respect of the same set of proceedings and does not merely repair the breach </w:t>
      </w:r>
      <w:r w:rsidRPr="007244DB" w:rsidR="007244DB">
        <w:rPr>
          <w:i/>
          <w:iCs/>
          <w:lang w:val="en-GB"/>
        </w:rPr>
        <w:t>a posteriori</w:t>
      </w:r>
      <w:r w:rsidRPr="005242D8" w:rsidR="007244DB">
        <w:rPr>
          <w:iCs/>
          <w:lang w:val="en-GB"/>
        </w:rPr>
        <w:t>,</w:t>
      </w:r>
      <w:r w:rsidRPr="007244DB" w:rsidR="007244DB">
        <w:rPr>
          <w:i/>
          <w:iCs/>
          <w:lang w:val="en-GB"/>
        </w:rPr>
        <w:t xml:space="preserve"> </w:t>
      </w:r>
      <w:r w:rsidRPr="007244DB" w:rsidR="007244DB">
        <w:rPr>
          <w:lang w:val="en-GB"/>
        </w:rPr>
        <w:t xml:space="preserve">as does a compensatory remedy of the type provided for </w:t>
      </w:r>
      <w:r w:rsidR="007244DB">
        <w:rPr>
          <w:lang w:val="en-GB"/>
        </w:rPr>
        <w:t>under Italian law for example</w:t>
      </w:r>
      <w:r w:rsidRPr="0018692A" w:rsidR="00F20EED">
        <w:rPr>
          <w:lang w:val="en-GB"/>
        </w:rPr>
        <w:t>.</w:t>
      </w:r>
    </w:p>
    <w:p w:rsidR="00946159" w:rsidP="0018692A" w:rsidRDefault="004B53E0">
      <w:pPr>
        <w:pStyle w:val="JuParaCharChar"/>
        <w:rPr>
          <w:color w:val="000000"/>
          <w:szCs w:val="24"/>
        </w:rPr>
      </w:pPr>
      <w:r>
        <w:fldChar w:fldCharType="begin"/>
      </w:r>
      <w:r>
        <w:instrText xml:space="preserve"> SEQ level0 \*arabic </w:instrText>
      </w:r>
      <w:r>
        <w:fldChar w:fldCharType="separate"/>
      </w:r>
      <w:r w:rsidR="008B3B68">
        <w:rPr>
          <w:noProof/>
        </w:rPr>
        <w:t>184</w:t>
      </w:r>
      <w:r>
        <w:fldChar w:fldCharType="end"/>
      </w:r>
      <w:r>
        <w:t>.  </w:t>
      </w:r>
      <w:r w:rsidRPr="00214547" w:rsidR="00946159">
        <w:t xml:space="preserve">The Court has on many occasions acknowledged </w:t>
      </w:r>
      <w:r w:rsidR="00946159">
        <w:t>that</w:t>
      </w:r>
      <w:r w:rsidRPr="00214547" w:rsidR="00946159">
        <w:t xml:space="preserve"> this type of remedy is </w:t>
      </w:r>
      <w:r w:rsidR="00946159">
        <w:t>“</w:t>
      </w:r>
      <w:r w:rsidRPr="00214547" w:rsidR="00946159">
        <w:t>effective</w:t>
      </w:r>
      <w:r w:rsidR="00946159">
        <w:t>”</w:t>
      </w:r>
      <w:r w:rsidRPr="00214547" w:rsidR="00946159">
        <w:t xml:space="preserve"> in so far as it</w:t>
      </w:r>
      <w:r w:rsidR="00CF3C92">
        <w:t xml:space="preserve"> hastens the</w:t>
      </w:r>
      <w:r w:rsidR="00946159">
        <w:t xml:space="preserve"> decision by the court concerned (see, among other authorities, </w:t>
      </w:r>
      <w:r w:rsidR="00946159">
        <w:rPr>
          <w:i/>
          <w:iCs/>
        </w:rPr>
        <w:t>Bacchini v. Switzerland</w:t>
      </w:r>
      <w:r w:rsidR="00946159">
        <w:t xml:space="preserve"> (dec.),</w:t>
      </w:r>
      <w:r w:rsidR="007741BF">
        <w:t xml:space="preserve"> </w:t>
      </w:r>
      <w:r w:rsidR="00946159">
        <w:t>no.</w:t>
      </w:r>
      <w:r w:rsidR="007741BF">
        <w:t> </w:t>
      </w:r>
      <w:r w:rsidR="00946159">
        <w:t xml:space="preserve">62915/00, 21 June 2005; </w:t>
      </w:r>
      <w:r w:rsidR="00946159">
        <w:rPr>
          <w:i/>
          <w:iCs/>
        </w:rPr>
        <w:t>Kunz v. Switzerland</w:t>
      </w:r>
      <w:r w:rsidR="00946159">
        <w:t xml:space="preserve"> (dec.), no. 623/02, 21 June 2005;</w:t>
      </w:r>
      <w:r w:rsidR="00946159">
        <w:rPr>
          <w:i/>
          <w:iCs/>
        </w:rPr>
        <w:t xml:space="preserve"> Fehr and Lauterburg v. Switzerland</w:t>
      </w:r>
      <w:r w:rsidR="00946159">
        <w:t xml:space="preserve"> (dec.), no</w:t>
      </w:r>
      <w:r w:rsidR="00621C00">
        <w:t>s</w:t>
      </w:r>
      <w:r w:rsidR="00946159">
        <w:t>.</w:t>
      </w:r>
      <w:r w:rsidR="00AF0A1F">
        <w:t xml:space="preserve"> </w:t>
      </w:r>
      <w:r w:rsidR="00946159">
        <w:t>708/02 and 1095/02, 21 June 2005</w:t>
      </w:r>
      <w:r w:rsidR="004569A6">
        <w:t>;</w:t>
      </w:r>
      <w:r w:rsidR="00946159">
        <w:t xml:space="preserve"> </w:t>
      </w:r>
      <w:r w:rsidR="0018692A">
        <w:rPr>
          <w:i/>
          <w:iCs/>
          <w:color w:val="000000"/>
          <w:szCs w:val="24"/>
        </w:rPr>
        <w:t xml:space="preserve">Gonzalez </w:t>
      </w:r>
      <w:r w:rsidR="00946159">
        <w:rPr>
          <w:i/>
          <w:iCs/>
          <w:color w:val="000000"/>
          <w:szCs w:val="24"/>
        </w:rPr>
        <w:t>Marin v.</w:t>
      </w:r>
      <w:r w:rsidR="00AF0A1F">
        <w:rPr>
          <w:i/>
          <w:iCs/>
          <w:color w:val="000000"/>
          <w:szCs w:val="24"/>
        </w:rPr>
        <w:t xml:space="preserve"> </w:t>
      </w:r>
      <w:r w:rsidR="00946159">
        <w:rPr>
          <w:i/>
          <w:iCs/>
          <w:color w:val="000000"/>
          <w:szCs w:val="24"/>
        </w:rPr>
        <w:t>Spain</w:t>
      </w:r>
      <w:r w:rsidR="00946159">
        <w:rPr>
          <w:color w:val="000000"/>
          <w:szCs w:val="24"/>
        </w:rPr>
        <w:t xml:space="preserve"> (dec.), no.</w:t>
      </w:r>
      <w:r w:rsidR="00AF0A1F">
        <w:rPr>
          <w:color w:val="000000"/>
          <w:szCs w:val="24"/>
        </w:rPr>
        <w:t xml:space="preserve"> </w:t>
      </w:r>
      <w:r w:rsidR="00567473">
        <w:rPr>
          <w:color w:val="000000"/>
          <w:szCs w:val="24"/>
        </w:rPr>
        <w:t>39521/98, ECHR 1999</w:t>
      </w:r>
      <w:r w:rsidR="00567473">
        <w:rPr>
          <w:color w:val="000000"/>
          <w:szCs w:val="24"/>
        </w:rPr>
        <w:noBreakHyphen/>
      </w:r>
      <w:r w:rsidR="00946159">
        <w:rPr>
          <w:color w:val="000000"/>
          <w:szCs w:val="24"/>
        </w:rPr>
        <w:t xml:space="preserve">VII; </w:t>
      </w:r>
      <w:r w:rsidR="000C575D">
        <w:rPr>
          <w:i/>
        </w:rPr>
        <w:t>Tomé Mota v.</w:t>
      </w:r>
      <w:r w:rsidR="00AF0A1F">
        <w:rPr>
          <w:i/>
        </w:rPr>
        <w:t xml:space="preserve"> </w:t>
      </w:r>
      <w:r w:rsidR="00946159">
        <w:rPr>
          <w:i/>
        </w:rPr>
        <w:t>Portugal</w:t>
      </w:r>
      <w:r w:rsidR="00946159">
        <w:t xml:space="preserve"> (dec.), no.</w:t>
      </w:r>
      <w:r w:rsidR="00AF0A1F">
        <w:t xml:space="preserve"> </w:t>
      </w:r>
      <w:r w:rsidR="00946159">
        <w:t>32082/96, ECHR 1999-IX</w:t>
      </w:r>
      <w:r w:rsidRPr="00E31FCA" w:rsidR="00567473">
        <w:t xml:space="preserve">; </w:t>
      </w:r>
      <w:r w:rsidR="00567473">
        <w:rPr>
          <w:color w:val="000000"/>
          <w:szCs w:val="24"/>
        </w:rPr>
        <w:t xml:space="preserve">and </w:t>
      </w:r>
      <w:r w:rsidRPr="00E31FCA" w:rsidR="00567473">
        <w:rPr>
          <w:i/>
        </w:rPr>
        <w:t>Holzinger (n</w:t>
      </w:r>
      <w:r w:rsidR="00567473">
        <w:rPr>
          <w:i/>
        </w:rPr>
        <w:t>o.</w:t>
      </w:r>
      <w:r w:rsidRPr="00E31FCA" w:rsidR="00567473">
        <w:rPr>
          <w:i/>
        </w:rPr>
        <w:t xml:space="preserve"> 1)</w:t>
      </w:r>
      <w:r w:rsidR="00567473">
        <w:t>, cited above, § 22</w:t>
      </w:r>
      <w:r w:rsidR="00153E15">
        <w:t>)</w:t>
      </w:r>
      <w:r w:rsidR="00946159">
        <w:rPr>
          <w:color w:val="000000"/>
          <w:szCs w:val="24"/>
        </w:rPr>
        <w:t>.</w:t>
      </w:r>
    </w:p>
    <w:p w:rsidR="0018692A" w:rsidP="00946159" w:rsidRDefault="00946159">
      <w:pPr>
        <w:pStyle w:val="JuParaCharChar"/>
      </w:pPr>
      <w:r>
        <w:fldChar w:fldCharType="begin"/>
      </w:r>
      <w:r>
        <w:instrText xml:space="preserve"> SEQ level0 \*arabic </w:instrText>
      </w:r>
      <w:r>
        <w:fldChar w:fldCharType="separate"/>
      </w:r>
      <w:r w:rsidR="008B3B68">
        <w:rPr>
          <w:noProof/>
        </w:rPr>
        <w:t>185</w:t>
      </w:r>
      <w:r>
        <w:fldChar w:fldCharType="end"/>
      </w:r>
      <w:r>
        <w:t xml:space="preserve">.  It is also clear that for countries where length-of-proceedings violations already exist, a remedy </w:t>
      </w:r>
      <w:r w:rsidRPr="000E5248">
        <w:t>designed to expedite the proceedings</w:t>
      </w:r>
      <w:r>
        <w:t xml:space="preserve"> – although desirable for the future – may not be adequate to redress a situation in which the proceedings have </w:t>
      </w:r>
      <w:r w:rsidR="0018692A">
        <w:t xml:space="preserve">clearly </w:t>
      </w:r>
      <w:r>
        <w:t xml:space="preserve">already </w:t>
      </w:r>
      <w:r w:rsidR="0018692A">
        <w:t>been excessively long</w:t>
      </w:r>
      <w:r>
        <w:t>.</w:t>
      </w:r>
    </w:p>
    <w:p w:rsidR="0018692A" w:rsidP="0018692A" w:rsidRDefault="0018692A">
      <w:pPr>
        <w:pStyle w:val="JuParaCharChar"/>
      </w:pPr>
      <w:r>
        <w:rPr>
          <w:color w:val="000000"/>
          <w:szCs w:val="24"/>
        </w:rPr>
        <w:fldChar w:fldCharType="begin"/>
      </w:r>
      <w:r>
        <w:rPr>
          <w:color w:val="000000"/>
          <w:szCs w:val="24"/>
        </w:rPr>
        <w:instrText xml:space="preserve"> SEQ level0 \*arabic </w:instrText>
      </w:r>
      <w:r>
        <w:rPr>
          <w:color w:val="000000"/>
          <w:szCs w:val="24"/>
        </w:rPr>
        <w:fldChar w:fldCharType="separate"/>
      </w:r>
      <w:r w:rsidR="008B3B68">
        <w:rPr>
          <w:noProof/>
          <w:color w:val="000000"/>
          <w:szCs w:val="24"/>
        </w:rPr>
        <w:t>186</w:t>
      </w:r>
      <w:r>
        <w:rPr>
          <w:color w:val="000000"/>
          <w:szCs w:val="24"/>
        </w:rPr>
        <w:fldChar w:fldCharType="end"/>
      </w:r>
      <w:r>
        <w:rPr>
          <w:color w:val="000000"/>
          <w:szCs w:val="24"/>
        </w:rPr>
        <w:t>.  </w:t>
      </w:r>
      <w:r w:rsidRPr="00FA262D" w:rsidR="007244DB">
        <w:rPr>
          <w:color w:val="000000"/>
          <w:szCs w:val="24"/>
        </w:rPr>
        <w:t>Different types of remedy may redress the violation</w:t>
      </w:r>
      <w:r w:rsidRPr="00FA262D" w:rsidR="007244DB">
        <w:t xml:space="preserve"> appropriately</w:t>
      </w:r>
      <w:r w:rsidRPr="00672D5B" w:rsidR="007244DB">
        <w:t xml:space="preserve">. The Court has already affirmed this in </w:t>
      </w:r>
      <w:r w:rsidR="007244DB">
        <w:t xml:space="preserve">respect of </w:t>
      </w:r>
      <w:r w:rsidRPr="00672D5B" w:rsidR="007244DB">
        <w:t xml:space="preserve">criminal proceedings, </w:t>
      </w:r>
      <w:r w:rsidR="007244DB">
        <w:t>where it was satisfied that the length of proceedings had been taken into account when reducing the sentence in an express and measurable manner</w:t>
      </w:r>
      <w:r w:rsidRPr="00672D5B" w:rsidR="007244DB">
        <w:t xml:space="preserve"> </w:t>
      </w:r>
      <w:r w:rsidRPr="007420ED" w:rsidR="007244DB">
        <w:rPr>
          <w:lang w:eastAsia="en-US"/>
        </w:rPr>
        <w:t>(</w:t>
      </w:r>
      <w:r w:rsidRPr="00B107DB" w:rsidR="007244DB">
        <w:rPr>
          <w:lang w:eastAsia="en-US"/>
        </w:rPr>
        <w:t>see</w:t>
      </w:r>
      <w:r w:rsidR="007244DB">
        <w:rPr>
          <w:i/>
          <w:lang w:eastAsia="en-US"/>
        </w:rPr>
        <w:t xml:space="preserve"> </w:t>
      </w:r>
      <w:r w:rsidRPr="00672D5B" w:rsidR="007244DB">
        <w:rPr>
          <w:i/>
          <w:lang w:eastAsia="en-US"/>
        </w:rPr>
        <w:t xml:space="preserve">Beck </w:t>
      </w:r>
      <w:r w:rsidR="007244DB">
        <w:rPr>
          <w:i/>
          <w:lang w:eastAsia="en-US"/>
        </w:rPr>
        <w:t>v</w:t>
      </w:r>
      <w:r w:rsidRPr="00672D5B" w:rsidR="007244DB">
        <w:rPr>
          <w:i/>
          <w:lang w:eastAsia="en-US"/>
        </w:rPr>
        <w:t xml:space="preserve">. </w:t>
      </w:r>
      <w:r w:rsidR="007244DB">
        <w:rPr>
          <w:i/>
          <w:lang w:eastAsia="en-US"/>
        </w:rPr>
        <w:t>Norway</w:t>
      </w:r>
      <w:r w:rsidRPr="00672D5B" w:rsidR="007244DB">
        <w:rPr>
          <w:lang w:eastAsia="en-US"/>
        </w:rPr>
        <w:t>,</w:t>
      </w:r>
      <w:r w:rsidR="007244DB">
        <w:rPr>
          <w:lang w:eastAsia="en-US"/>
        </w:rPr>
        <w:t xml:space="preserve"> no.</w:t>
      </w:r>
      <w:r w:rsidRPr="00672D5B" w:rsidR="007244DB">
        <w:rPr>
          <w:lang w:eastAsia="en-US"/>
        </w:rPr>
        <w:t xml:space="preserve"> 26390/95, § 27, </w:t>
      </w:r>
      <w:smartTag w:uri="urn:schemas-microsoft-com:office:smarttags" w:element="date">
        <w:smartTagPr>
          <w:attr w:name="Month" w:val="6"/>
          <w:attr w:name="Day" w:val="26"/>
          <w:attr w:name="Year" w:val="2001"/>
        </w:smartTagPr>
        <w:r w:rsidR="007244DB" w:rsidRPr="00672D5B">
          <w:rPr>
            <w:lang w:eastAsia="en-US"/>
          </w:rPr>
          <w:t xml:space="preserve">26 </w:t>
        </w:r>
        <w:r w:rsidR="007244DB">
          <w:rPr>
            <w:lang w:eastAsia="en-US"/>
          </w:rPr>
          <w:t>June</w:t>
        </w:r>
        <w:r w:rsidR="007244DB" w:rsidRPr="00672D5B">
          <w:rPr>
            <w:lang w:eastAsia="en-US"/>
          </w:rPr>
          <w:t xml:space="preserve"> 2001</w:t>
        </w:r>
      </w:smartTag>
      <w:r w:rsidRPr="00672D5B">
        <w:t>).</w:t>
      </w:r>
    </w:p>
    <w:p w:rsidRPr="007244DB" w:rsidR="00946159" w:rsidP="007244DB" w:rsidRDefault="007244DB">
      <w:pPr>
        <w:pStyle w:val="JuPara"/>
        <w:rPr>
          <w:lang w:val="en-GB"/>
        </w:rPr>
      </w:pPr>
      <w:r w:rsidRPr="007244DB">
        <w:rPr>
          <w:lang w:val="en-GB"/>
        </w:rPr>
        <w:t>Moreover, some States, such as Austria, Croatia, Spain, Poland and Slovak</w:t>
      </w:r>
      <w:r w:rsidR="007741BF">
        <w:rPr>
          <w:lang w:val="en-GB"/>
        </w:rPr>
        <w:t>ia</w:t>
      </w:r>
      <w:r w:rsidRPr="007244DB">
        <w:rPr>
          <w:lang w:val="en-GB"/>
        </w:rPr>
        <w:t xml:space="preserve">, have understood the situation perfectly by choosing to combine two types of remedy, one designed to expedite the proceedings and the other to afford compensation (see, for example, </w:t>
      </w:r>
      <w:r w:rsidRPr="007244DB">
        <w:rPr>
          <w:i/>
          <w:lang w:val="en-GB"/>
        </w:rPr>
        <w:t>Holzinger (no. 1)</w:t>
      </w:r>
      <w:r w:rsidRPr="007244DB">
        <w:rPr>
          <w:lang w:val="en-GB"/>
        </w:rPr>
        <w:t>, cited above, §</w:t>
      </w:r>
      <w:r w:rsidR="002D5CE8">
        <w:rPr>
          <w:lang w:val="en-GB"/>
        </w:rPr>
        <w:t> </w:t>
      </w:r>
      <w:r w:rsidRPr="007244DB">
        <w:rPr>
          <w:lang w:val="en-GB"/>
        </w:rPr>
        <w:t xml:space="preserve">22; </w:t>
      </w:r>
      <w:r w:rsidRPr="007244DB">
        <w:rPr>
          <w:i/>
          <w:lang w:val="en-GB"/>
        </w:rPr>
        <w:t>Slavi</w:t>
      </w:r>
      <w:r w:rsidR="005242D8">
        <w:rPr>
          <w:i/>
          <w:lang w:val="en-GB"/>
        </w:rPr>
        <w:t>č</w:t>
      </w:r>
      <w:r w:rsidRPr="007244DB">
        <w:rPr>
          <w:i/>
          <w:lang w:val="en-GB"/>
        </w:rPr>
        <w:t>ek v. Croatia</w:t>
      </w:r>
      <w:r w:rsidRPr="007244DB">
        <w:rPr>
          <w:lang w:val="en-GB"/>
        </w:rPr>
        <w:t xml:space="preserve"> </w:t>
      </w:r>
      <w:r w:rsidR="00E54656">
        <w:rPr>
          <w:lang w:val="en-GB"/>
        </w:rPr>
        <w:t>(dec.), no. 20862/02, ECHR 2002-</w:t>
      </w:r>
      <w:r w:rsidRPr="007244DB">
        <w:rPr>
          <w:lang w:val="en-GB"/>
        </w:rPr>
        <w:t xml:space="preserve">VII; </w:t>
      </w:r>
      <w:r w:rsidR="00D54CA3">
        <w:rPr>
          <w:i/>
          <w:lang w:val="en-GB"/>
        </w:rPr>
        <w:t>Fernández-Molina Gonzá</w:t>
      </w:r>
      <w:r w:rsidRPr="007244DB">
        <w:rPr>
          <w:i/>
          <w:lang w:val="en-GB"/>
        </w:rPr>
        <w:t>lez and Others v. Spain</w:t>
      </w:r>
      <w:r w:rsidRPr="007244DB">
        <w:rPr>
          <w:lang w:val="en-GB"/>
        </w:rPr>
        <w:t xml:space="preserve"> </w:t>
      </w:r>
      <w:r w:rsidR="00E54656">
        <w:rPr>
          <w:lang w:val="en-GB"/>
        </w:rPr>
        <w:t>(dec.), no. 64359/01, ECHR 2002-</w:t>
      </w:r>
      <w:r w:rsidRPr="007244DB">
        <w:rPr>
          <w:lang w:val="en-GB"/>
        </w:rPr>
        <w:t xml:space="preserve">IX; </w:t>
      </w:r>
      <w:r w:rsidRPr="005242D8">
        <w:rPr>
          <w:i/>
          <w:lang w:val="en-GB"/>
        </w:rPr>
        <w:t>Michalak v. Poland</w:t>
      </w:r>
      <w:r w:rsidRPr="007244DB">
        <w:rPr>
          <w:lang w:val="en-GB"/>
        </w:rPr>
        <w:t xml:space="preserve"> (dec.), no. 24549/03, 1 March 2005; </w:t>
      </w:r>
      <w:r w:rsidR="002D5CE8">
        <w:rPr>
          <w:lang w:val="en-GB"/>
        </w:rPr>
        <w:t xml:space="preserve">and </w:t>
      </w:r>
      <w:r w:rsidRPr="007244DB">
        <w:rPr>
          <w:i/>
          <w:lang w:val="en-GB"/>
        </w:rPr>
        <w:t>Andrášik and Others v. Slovakia</w:t>
      </w:r>
      <w:r w:rsidRPr="007244DB">
        <w:rPr>
          <w:lang w:val="en-GB"/>
        </w:rPr>
        <w:t xml:space="preserve"> (dec.), nos. 57984/00, 60237/00, 60242/00, 60679/00, 6</w:t>
      </w:r>
      <w:r w:rsidR="00E54656">
        <w:rPr>
          <w:lang w:val="en-GB"/>
        </w:rPr>
        <w:t>0680/00</w:t>
      </w:r>
      <w:r w:rsidR="005242D8">
        <w:rPr>
          <w:lang w:val="en-GB"/>
        </w:rPr>
        <w:t>,</w:t>
      </w:r>
      <w:r w:rsidR="00E54656">
        <w:rPr>
          <w:lang w:val="en-GB"/>
        </w:rPr>
        <w:t xml:space="preserve"> 68563/01</w:t>
      </w:r>
      <w:r w:rsidR="005242D8">
        <w:rPr>
          <w:lang w:val="en-GB"/>
        </w:rPr>
        <w:t xml:space="preserve"> and </w:t>
      </w:r>
      <w:r w:rsidRPr="007244DB" w:rsidR="005242D8">
        <w:rPr>
          <w:lang w:val="en-GB"/>
        </w:rPr>
        <w:t>60226/00</w:t>
      </w:r>
      <w:r w:rsidR="00E54656">
        <w:rPr>
          <w:lang w:val="en-GB"/>
        </w:rPr>
        <w:t>, ECHR 2002-</w:t>
      </w:r>
      <w:r w:rsidRPr="007244DB">
        <w:rPr>
          <w:lang w:val="en-GB"/>
        </w:rPr>
        <w:t>IX</w:t>
      </w:r>
      <w:r w:rsidRPr="007244DB" w:rsidR="00946159">
        <w:rPr>
          <w:lang w:val="en-GB"/>
        </w:rPr>
        <w:t>).</w:t>
      </w:r>
    </w:p>
    <w:p w:rsidR="00946159" w:rsidP="00946159" w:rsidRDefault="008E72A5">
      <w:pPr>
        <w:pStyle w:val="JuParaCharChar"/>
      </w:pPr>
      <w:r>
        <w:fldChar w:fldCharType="begin"/>
      </w:r>
      <w:r>
        <w:instrText xml:space="preserve"> SEQ level0 \*arabic </w:instrText>
      </w:r>
      <w:r>
        <w:fldChar w:fldCharType="separate"/>
      </w:r>
      <w:r w:rsidR="008B3B68">
        <w:rPr>
          <w:noProof/>
        </w:rPr>
        <w:t>187</w:t>
      </w:r>
      <w:r>
        <w:fldChar w:fldCharType="end"/>
      </w:r>
      <w:r>
        <w:t>.  </w:t>
      </w:r>
      <w:r w:rsidR="007244DB">
        <w:t xml:space="preserve">However, States can also choose to introduce only a compensatory remedy, as </w:t>
      </w:r>
      <w:smartTag w:uri="urn:schemas-microsoft-com:office:smarttags" w:element="place">
        <w:smartTag w:uri="urn:schemas-microsoft-com:office:smarttags" w:element="country-region">
          <w:r w:rsidR="007244DB">
            <w:t>Italy</w:t>
          </w:r>
        </w:smartTag>
      </w:smartTag>
      <w:r w:rsidR="007244DB">
        <w:t xml:space="preserve"> has done, without that remedy </w:t>
      </w:r>
      <w:r w:rsidRPr="00FA262D" w:rsidR="007244DB">
        <w:t>being regarded as ineffective</w:t>
      </w:r>
      <w:r w:rsidR="007244DB">
        <w:t xml:space="preserve"> (see </w:t>
      </w:r>
      <w:r w:rsidRPr="000C6739" w:rsidR="007244DB">
        <w:rPr>
          <w:i/>
        </w:rPr>
        <w:t>Mifsud</w:t>
      </w:r>
      <w:r w:rsidR="007244DB">
        <w:t>, cited above</w:t>
      </w:r>
      <w:r w:rsidR="00946159">
        <w:t>).</w:t>
      </w:r>
    </w:p>
    <w:p w:rsidR="00946159" w:rsidP="00946159" w:rsidRDefault="00946159">
      <w:pPr>
        <w:pStyle w:val="JuParaCharChar"/>
      </w:pPr>
      <w:r>
        <w:fldChar w:fldCharType="begin"/>
      </w:r>
      <w:r>
        <w:instrText xml:space="preserve"> SEQ level0 \*arabic </w:instrText>
      </w:r>
      <w:r>
        <w:fldChar w:fldCharType="separate"/>
      </w:r>
      <w:r w:rsidR="008B3B68">
        <w:rPr>
          <w:noProof/>
        </w:rPr>
        <w:t>188</w:t>
      </w:r>
      <w:r>
        <w:fldChar w:fldCharType="end"/>
      </w:r>
      <w:r>
        <w:t>.  </w:t>
      </w:r>
      <w:r w:rsidR="005242D8">
        <w:t xml:space="preserve">In </w:t>
      </w:r>
      <w:r w:rsidRPr="00427F27" w:rsidR="005242D8">
        <w:rPr>
          <w:i/>
          <w:lang w:val="pt-BR"/>
        </w:rPr>
        <w:t xml:space="preserve">Kudła </w:t>
      </w:r>
      <w:r w:rsidR="005242D8">
        <w:t>(cited above, §§ 154-55) t</w:t>
      </w:r>
      <w:r w:rsidR="007244DB">
        <w:t xml:space="preserve">he Court already had occasion to </w:t>
      </w:r>
      <w:r w:rsidR="00117786">
        <w:t>reiterate</w:t>
      </w:r>
      <w:r w:rsidR="007244DB">
        <w:t xml:space="preserve"> that, subject to compliance with the requirements of the Convention, the Contracting States are afforded some discretion as to the manner in which they provide individuals with the relief required by Article</w:t>
      </w:r>
      <w:r w:rsidR="00495DFA">
        <w:t> </w:t>
      </w:r>
      <w:r w:rsidR="007244DB">
        <w:t xml:space="preserve">13 and conform to their Convention obligation under that provision. It has also stressed the importance of the rules relating to the subsidiarity principle so that individuals are not systematically forced to refer to the Court in </w:t>
      </w:r>
      <w:smartTag w:uri="urn:schemas-microsoft-com:office:smarttags" w:element="place">
        <w:smartTag w:uri="urn:schemas-microsoft-com:office:smarttags" w:element="City">
          <w:r w:rsidR="007244DB">
            <w:t>Strasbourg</w:t>
          </w:r>
        </w:smartTag>
      </w:smartTag>
      <w:r w:rsidR="007244DB">
        <w:t xml:space="preserve"> complaints that could otherwise, and in the Court</w:t>
      </w:r>
      <w:r w:rsidR="00E6191D">
        <w:t>’</w:t>
      </w:r>
      <w:r w:rsidR="007244DB">
        <w:t>s opinion more appropriately, have been addressed in the first place within the national legal system</w:t>
      </w:r>
      <w:r>
        <w:t>.</w:t>
      </w:r>
    </w:p>
    <w:p w:rsidR="00946159" w:rsidP="00117786" w:rsidRDefault="00946159">
      <w:pPr>
        <w:pStyle w:val="JuParaCharChar"/>
      </w:pPr>
      <w:r>
        <w:fldChar w:fldCharType="begin"/>
      </w:r>
      <w:r>
        <w:instrText xml:space="preserve"> SEQ level0 \*arabic </w:instrText>
      </w:r>
      <w:r>
        <w:fldChar w:fldCharType="separate"/>
      </w:r>
      <w:r w:rsidR="008B3B68">
        <w:rPr>
          <w:noProof/>
        </w:rPr>
        <w:t>189</w:t>
      </w:r>
      <w:r>
        <w:fldChar w:fldCharType="end"/>
      </w:r>
      <w:r>
        <w:t>.</w:t>
      </w:r>
      <w:r w:rsidR="000A4086">
        <w:t>  </w:t>
      </w:r>
      <w:r w:rsidR="007244DB">
        <w:t xml:space="preserve">Accordingly, where the legislature or the domestic courts have agreed to play their </w:t>
      </w:r>
      <w:r w:rsidR="005242D8">
        <w:t>proper</w:t>
      </w:r>
      <w:r w:rsidR="007244DB">
        <w:t xml:space="preserve"> role by introducing a domestic remedy</w:t>
      </w:r>
      <w:r w:rsidR="005242D8">
        <w:t>,</w:t>
      </w:r>
      <w:r w:rsidR="007244DB">
        <w:t xml:space="preserve"> the Court will clearly have to draw certain conclusions from this</w:t>
      </w:r>
      <w:r>
        <w:t>.</w:t>
      </w:r>
      <w:r w:rsidR="00117786">
        <w:t xml:space="preserve"> </w:t>
      </w:r>
      <w:r w:rsidR="007244DB">
        <w:t xml:space="preserve">Where a State has </w:t>
      </w:r>
      <w:r w:rsidR="005242D8">
        <w:t>taken</w:t>
      </w:r>
      <w:r w:rsidR="007244DB">
        <w:t xml:space="preserve"> a significant </w:t>
      </w:r>
      <w:r w:rsidR="005242D8">
        <w:t>step</w:t>
      </w:r>
      <w:r w:rsidR="00BE0920">
        <w:t xml:space="preserve"> </w:t>
      </w:r>
      <w:r w:rsidR="007244DB">
        <w:t>by introducing a compensatory remedy, the Court must leave a wider margin of appreciation to the State to allow it to organise the remedy in a manner consistent with its own legal system and traditions</w:t>
      </w:r>
      <w:r w:rsidRPr="00504D32" w:rsidR="007244DB">
        <w:t xml:space="preserve"> </w:t>
      </w:r>
      <w:r w:rsidR="007244DB">
        <w:t xml:space="preserve">and consonant with the standard of living in the country concerned. It will, in particular, be easier for the domestic courts </w:t>
      </w:r>
      <w:r w:rsidRPr="005856F4" w:rsidR="007244DB">
        <w:t>to refer to</w:t>
      </w:r>
      <w:r w:rsidR="007244DB">
        <w:t xml:space="preserve"> the amounts awarded at domestic level for other types of damage – personal injury, damage relating to a relative</w:t>
      </w:r>
      <w:r w:rsidR="00E6191D">
        <w:t>’</w:t>
      </w:r>
      <w:r w:rsidR="007244DB">
        <w:t>s death or damage in defamation cases</w:t>
      </w:r>
      <w:r w:rsidR="00D54CA3">
        <w:t>,</w:t>
      </w:r>
      <w:r w:rsidR="007244DB">
        <w:t xml:space="preserve"> for example – and rely on their innermost conviction, even if that results in awards of amounts that are</w:t>
      </w:r>
      <w:r w:rsidRPr="000243EF" w:rsidR="007244DB">
        <w:t xml:space="preserve"> </w:t>
      </w:r>
      <w:r w:rsidR="007244DB">
        <w:t>lower than those fixed by the Court in similar cases</w:t>
      </w:r>
      <w:r>
        <w:t>.</w:t>
      </w:r>
    </w:p>
    <w:p w:rsidRPr="0086567F" w:rsidR="00946159" w:rsidP="000A4086" w:rsidRDefault="00946159">
      <w:pPr>
        <w:pStyle w:val="JuPara"/>
        <w:rPr>
          <w:lang w:val="en-GB"/>
        </w:rPr>
      </w:pPr>
      <w:r>
        <w:fldChar w:fldCharType="begin"/>
      </w:r>
      <w:r w:rsidRPr="000A17C4">
        <w:rPr>
          <w:lang w:val="en-GB"/>
        </w:rPr>
        <w:instrText xml:space="preserve"> SEQ level0 \*arabic </w:instrText>
      </w:r>
      <w:r>
        <w:fldChar w:fldCharType="separate"/>
      </w:r>
      <w:r w:rsidR="008B3B68">
        <w:rPr>
          <w:noProof/>
          <w:lang w:val="en-GB"/>
        </w:rPr>
        <w:t>190</w:t>
      </w:r>
      <w:r>
        <w:fldChar w:fldCharType="end"/>
      </w:r>
      <w:r w:rsidRPr="000A17C4">
        <w:rPr>
          <w:lang w:val="en-GB"/>
        </w:rPr>
        <w:t>.</w:t>
      </w:r>
      <w:r w:rsidRPr="000A4086" w:rsidR="000A4086">
        <w:rPr>
          <w:lang w:val="en-GB"/>
        </w:rPr>
        <w:t>  </w:t>
      </w:r>
      <w:r w:rsidRPr="007244DB" w:rsidR="007244DB">
        <w:rPr>
          <w:lang w:val="en-GB"/>
        </w:rPr>
        <w:t>In accordance with its case-law on the interpretation and application of domestic law, while the Court</w:t>
      </w:r>
      <w:r w:rsidR="00E6191D">
        <w:rPr>
          <w:lang w:val="en-GB"/>
        </w:rPr>
        <w:t>’</w:t>
      </w:r>
      <w:r w:rsidRPr="007244DB" w:rsidR="007244DB">
        <w:rPr>
          <w:lang w:val="en-GB"/>
        </w:rPr>
        <w:t>s duty, under Article 19 of the Convention, is to ensure the observance of the engagements undertaken by the Contracting Parties to the Convention, it is not its function to deal with errors of fact or law allegedly committed by a national court unless and in so far as they may have infringed rights and freedoms protected by the Convention</w:t>
      </w:r>
      <w:r w:rsidR="007244DB">
        <w:rPr>
          <w:lang w:val="en-GB"/>
        </w:rPr>
        <w:t xml:space="preserve">. </w:t>
      </w:r>
      <w:r w:rsidRPr="007244DB" w:rsidR="007244DB">
        <w:rPr>
          <w:lang w:val="en-GB"/>
        </w:rPr>
        <w:t>Moreover, it is primarily for the national authorities, notably the courts, to interpret and apply domestic law</w:t>
      </w:r>
      <w:r w:rsidRPr="00C47489">
        <w:rPr>
          <w:lang w:val="en-GB"/>
        </w:rPr>
        <w:t xml:space="preserve"> (see</w:t>
      </w:r>
      <w:r w:rsidRPr="00C47489">
        <w:rPr>
          <w:i/>
          <w:lang w:val="en-GB"/>
        </w:rPr>
        <w:t xml:space="preserve"> </w:t>
      </w:r>
      <w:r w:rsidRPr="00C47489" w:rsidR="00C47489">
        <w:rPr>
          <w:i/>
          <w:szCs w:val="24"/>
          <w:lang w:val="en-GB"/>
        </w:rPr>
        <w:t>Jahn and Others</w:t>
      </w:r>
      <w:r w:rsidR="00CC73A1">
        <w:rPr>
          <w:szCs w:val="24"/>
          <w:lang w:val="en-GB"/>
        </w:rPr>
        <w:t>, cited above</w:t>
      </w:r>
      <w:r w:rsidRPr="00C47489" w:rsidR="00C47489">
        <w:rPr>
          <w:szCs w:val="24"/>
          <w:lang w:val="en-GB"/>
        </w:rPr>
        <w:t xml:space="preserve">, </w:t>
      </w:r>
      <w:r w:rsidRPr="0086567F">
        <w:rPr>
          <w:lang w:val="en-GB"/>
        </w:rPr>
        <w:t>§</w:t>
      </w:r>
      <w:r w:rsidR="00AF0A1F">
        <w:rPr>
          <w:lang w:val="en-GB"/>
        </w:rPr>
        <w:t xml:space="preserve"> </w:t>
      </w:r>
      <w:r w:rsidRPr="0086567F" w:rsidR="00C47489">
        <w:rPr>
          <w:lang w:val="en-GB"/>
        </w:rPr>
        <w:t>86</w:t>
      </w:r>
      <w:r w:rsidRPr="0086567F">
        <w:rPr>
          <w:lang w:val="en-GB"/>
        </w:rPr>
        <w:t>).</w:t>
      </w:r>
    </w:p>
    <w:p w:rsidR="00967E1F" w:rsidP="00CD2418" w:rsidRDefault="00946159">
      <w:pPr>
        <w:pStyle w:val="JuParaCharChar"/>
      </w:pPr>
      <w:r>
        <w:fldChar w:fldCharType="begin"/>
      </w:r>
      <w:r>
        <w:instrText xml:space="preserve"> SEQ level0 \*arabic </w:instrText>
      </w:r>
      <w:r>
        <w:fldChar w:fldCharType="separate"/>
      </w:r>
      <w:r w:rsidR="008B3B68">
        <w:rPr>
          <w:noProof/>
        </w:rPr>
        <w:t>191</w:t>
      </w:r>
      <w:r>
        <w:fldChar w:fldCharType="end"/>
      </w:r>
      <w:r>
        <w:t xml:space="preserve">.  The Court is therefore required to verify whether the way in which the domestic law is interpreted and applied produces consequences that are consistent with the principles of the Convention, </w:t>
      </w:r>
      <w:r w:rsidR="009512BB">
        <w:t>as</w:t>
      </w:r>
      <w:r>
        <w:t xml:space="preserve"> interpreted in the light of the Court</w:t>
      </w:r>
      <w:r w:rsidR="00E6191D">
        <w:t>’</w:t>
      </w:r>
      <w:r>
        <w:t xml:space="preserve">s case-law. This is especially true where, as the Italian Court of Cassation has </w:t>
      </w:r>
      <w:r w:rsidR="00805476">
        <w:t xml:space="preserve">quite </w:t>
      </w:r>
      <w:r>
        <w:t>rightly observed, the domestic law refers explicitly to the provisions of the Convention. This supervisory role should be easier in respect of States that have</w:t>
      </w:r>
      <w:r w:rsidR="009512BB">
        <w:t xml:space="preserve"> effectively</w:t>
      </w:r>
      <w:r>
        <w:t xml:space="preserve"> incorporated the Convention into their legal system and consider the rules to be directly applicable</w:t>
      </w:r>
      <w:r w:rsidR="005242D8">
        <w:t>,</w:t>
      </w:r>
      <w:r>
        <w:t xml:space="preserve"> since the highest courts of these States will normally assume responsibility for enforcing the principles determined by the Court.</w:t>
      </w:r>
    </w:p>
    <w:p w:rsidR="00946159" w:rsidP="00CD2418" w:rsidRDefault="00946159">
      <w:pPr>
        <w:pStyle w:val="JuParaCharChar"/>
      </w:pPr>
      <w:r>
        <w:t>Accordingly, a clear error in assessment on the part of the domestic courts may also arise as a result of a misapplication or misinterpretation of the Court</w:t>
      </w:r>
      <w:r w:rsidR="00E6191D">
        <w:t>’</w:t>
      </w:r>
      <w:r>
        <w:t>s case-law.</w:t>
      </w:r>
    </w:p>
    <w:p w:rsidR="00946159" w:rsidP="00946159" w:rsidRDefault="00946159">
      <w:pPr>
        <w:pStyle w:val="JuParaCharChar"/>
      </w:pPr>
      <w:r>
        <w:fldChar w:fldCharType="begin"/>
      </w:r>
      <w:r>
        <w:instrText xml:space="preserve"> SEQ level0 \*arabic </w:instrText>
      </w:r>
      <w:r>
        <w:fldChar w:fldCharType="separate"/>
      </w:r>
      <w:r w:rsidR="008B3B68">
        <w:rPr>
          <w:noProof/>
        </w:rPr>
        <w:t>192</w:t>
      </w:r>
      <w:r>
        <w:fldChar w:fldCharType="end"/>
      </w:r>
      <w:r>
        <w:t>.  </w:t>
      </w:r>
      <w:r w:rsidR="007244DB">
        <w:t>The principle of subsidiarity does not mean renouncing all supervision of the result obtained from using domestic remedies, otherwise the rights guaranteed by Article 6 would be devoid of any substance. In that connection it should be reiterated that the Convention is intended to guarantee not theoretical or illusory rights, but rights that are practical and effective (see</w:t>
      </w:r>
      <w:r w:rsidRPr="00580223" w:rsidR="007244DB">
        <w:rPr>
          <w:i/>
        </w:rPr>
        <w:t xml:space="preserve"> </w:t>
      </w:r>
      <w:r w:rsidR="007244DB">
        <w:rPr>
          <w:i/>
        </w:rPr>
        <w:t>Prince Hans-</w:t>
      </w:r>
      <w:r w:rsidRPr="00104DC4" w:rsidR="007244DB">
        <w:rPr>
          <w:i/>
        </w:rPr>
        <w:t>Adam II of Liechtenstein v. Germany</w:t>
      </w:r>
      <w:r w:rsidRPr="00104DC4" w:rsidR="007244DB">
        <w:t xml:space="preserve"> [GC], no.</w:t>
      </w:r>
      <w:r w:rsidR="007D4508">
        <w:t> </w:t>
      </w:r>
      <w:r w:rsidRPr="00104DC4" w:rsidR="007244DB">
        <w:t xml:space="preserve">42527/98, § </w:t>
      </w:r>
      <w:r w:rsidR="007244DB">
        <w:t>45,</w:t>
      </w:r>
      <w:r w:rsidR="00E54656">
        <w:t xml:space="preserve"> ECHR 2001-</w:t>
      </w:r>
      <w:r w:rsidRPr="00104DC4" w:rsidR="007244DB">
        <w:t>VIII</w:t>
      </w:r>
      <w:r w:rsidR="007244DB">
        <w:t xml:space="preserve">). This is particularly true for the guarantees enshrined in Article </w:t>
      </w:r>
      <w:smartTag w:uri="urn:schemas-microsoft-com:office:smarttags" w:element="metricconverter">
        <w:smartTagPr>
          <w:attr w:name="ProductID" w:val="6, in"/>
        </w:smartTagPr>
        <w:r w:rsidR="007244DB">
          <w:t>6, in</w:t>
        </w:r>
      </w:smartTag>
      <w:r w:rsidR="007244DB">
        <w:t xml:space="preserve"> view of the prominent place held in a democratic society by the right to a fair trial</w:t>
      </w:r>
      <w:r w:rsidRPr="00366540" w:rsidR="007244DB">
        <w:t xml:space="preserve"> </w:t>
      </w:r>
      <w:r w:rsidR="007244DB">
        <w:t>with all the guarantees under Article 6 (</w:t>
      </w:r>
      <w:r w:rsidR="007D4508">
        <w:t>ibid.</w:t>
      </w:r>
      <w:r w:rsidR="00AF21C8">
        <w:t>)</w:t>
      </w:r>
    </w:p>
    <w:p w:rsidRPr="000C575D" w:rsidR="00946159" w:rsidP="00967E1F" w:rsidRDefault="00E54656">
      <w:pPr>
        <w:pStyle w:val="JuHa"/>
        <w:tabs>
          <w:tab w:val="clear" w:pos="975"/>
        </w:tabs>
        <w:ind w:left="635" w:firstLine="0"/>
        <w:rPr>
          <w:lang w:val="en-GB"/>
        </w:rPr>
      </w:pPr>
      <w:r>
        <w:rPr>
          <w:lang w:val="en-GB"/>
        </w:rPr>
        <w:t>(</w:t>
      </w:r>
      <w:r w:rsidR="00967E1F">
        <w:rPr>
          <w:lang w:val="en-GB"/>
        </w:rPr>
        <w:t>c)  </w:t>
      </w:r>
      <w:r w:rsidRPr="000C575D" w:rsidR="00946159">
        <w:rPr>
          <w:lang w:val="en-GB"/>
        </w:rPr>
        <w:t>Application of the foregoing principles</w:t>
      </w:r>
    </w:p>
    <w:p w:rsidR="00946159" w:rsidP="00946159" w:rsidRDefault="00946159">
      <w:pPr>
        <w:pStyle w:val="JuParaCharChar"/>
      </w:pPr>
      <w:r>
        <w:fldChar w:fldCharType="begin"/>
      </w:r>
      <w:r>
        <w:instrText xml:space="preserve"> SEQ level0 \*arabic </w:instrText>
      </w:r>
      <w:r>
        <w:fldChar w:fldCharType="separate"/>
      </w:r>
      <w:r w:rsidR="008B3B68">
        <w:rPr>
          <w:noProof/>
        </w:rPr>
        <w:t>193</w:t>
      </w:r>
      <w:r>
        <w:fldChar w:fldCharType="end"/>
      </w:r>
      <w:r w:rsidR="000C575D">
        <w:t>.  </w:t>
      </w:r>
      <w:r w:rsidR="00EB2978">
        <w:t>It follows from the foregoing principles that the Court is required to verify that there has been an acknowledgment, at least in substance, by the authorities of a violation of a right protected by the Convention and whether the redress can be considered as appropriate and sufficient (see</w:t>
      </w:r>
      <w:r w:rsidRPr="00A70B2B" w:rsidR="00EB2978">
        <w:t>,</w:t>
      </w:r>
      <w:r w:rsidRPr="00A70B2B" w:rsidR="00EB2978">
        <w:rPr>
          <w:i/>
        </w:rPr>
        <w:t xml:space="preserve"> inter alia</w:t>
      </w:r>
      <w:r w:rsidR="00EB2978">
        <w:t xml:space="preserve">, </w:t>
      </w:r>
      <w:r w:rsidRPr="00104DC4" w:rsidR="00EB2978">
        <w:rPr>
          <w:i/>
        </w:rPr>
        <w:t xml:space="preserve">Normann v. Denmark </w:t>
      </w:r>
      <w:r w:rsidRPr="00104DC4" w:rsidR="00EB2978">
        <w:t>(</w:t>
      </w:r>
      <w:r w:rsidR="00EB2978">
        <w:t>dec.</w:t>
      </w:r>
      <w:r w:rsidRPr="00104DC4" w:rsidR="00EB2978">
        <w:t xml:space="preserve">), no. </w:t>
      </w:r>
      <w:r w:rsidR="00EB2978">
        <w:t>44704/98, 14 June 2001;</w:t>
      </w:r>
      <w:r w:rsidRPr="00A70B2B" w:rsidR="00EB2978">
        <w:rPr>
          <w:i/>
        </w:rPr>
        <w:t xml:space="preserve"> </w:t>
      </w:r>
      <w:r w:rsidRPr="00104DC4" w:rsidR="00EB2978">
        <w:rPr>
          <w:i/>
        </w:rPr>
        <w:t>Jensen</w:t>
      </w:r>
      <w:r w:rsidR="00AF21C8">
        <w:rPr>
          <w:i/>
        </w:rPr>
        <w:t xml:space="preserve"> and Rasmussen</w:t>
      </w:r>
      <w:r w:rsidRPr="00104DC4" w:rsidR="00EB2978">
        <w:rPr>
          <w:i/>
        </w:rPr>
        <w:t xml:space="preserve"> v.</w:t>
      </w:r>
      <w:r w:rsidR="00AF21C8">
        <w:rPr>
          <w:i/>
        </w:rPr>
        <w:t xml:space="preserve"> </w:t>
      </w:r>
      <w:r w:rsidRPr="00104DC4" w:rsidR="00EB2978">
        <w:rPr>
          <w:i/>
        </w:rPr>
        <w:t>Denmark</w:t>
      </w:r>
      <w:r w:rsidRPr="00104DC4" w:rsidR="00EB2978">
        <w:t xml:space="preserve"> (dec.), no. </w:t>
      </w:r>
      <w:r w:rsidR="00AF21C8">
        <w:t>52620/99</w:t>
      </w:r>
      <w:r w:rsidRPr="00104DC4" w:rsidR="00EB2978">
        <w:t xml:space="preserve">, </w:t>
      </w:r>
      <w:r w:rsidR="00EB2978">
        <w:t xml:space="preserve">20 March 2003; and </w:t>
      </w:r>
      <w:r w:rsidRPr="00104DC4" w:rsidR="00EB2978">
        <w:rPr>
          <w:i/>
        </w:rPr>
        <w:t>Nardone v. Italy</w:t>
      </w:r>
      <w:r w:rsidR="00332E65">
        <w:rPr>
          <w:i/>
        </w:rPr>
        <w:t xml:space="preserve"> </w:t>
      </w:r>
      <w:r w:rsidRPr="00332E65" w:rsidR="00332E65">
        <w:t>(dec.)</w:t>
      </w:r>
      <w:r w:rsidRPr="00332E65" w:rsidR="00AF21C8">
        <w:t>,</w:t>
      </w:r>
      <w:r w:rsidR="00AF21C8">
        <w:t xml:space="preserve"> no. </w:t>
      </w:r>
      <w:r w:rsidR="00EB2978">
        <w:t>34368</w:t>
      </w:r>
      <w:r w:rsidRPr="00104DC4" w:rsidR="00EB2978">
        <w:t>/</w:t>
      </w:r>
      <w:r w:rsidR="003C7528">
        <w:t>02</w:t>
      </w:r>
      <w:r w:rsidRPr="00104DC4" w:rsidR="00EB2978">
        <w:t>, 2</w:t>
      </w:r>
      <w:r w:rsidR="00EB2978">
        <w:t>5 November</w:t>
      </w:r>
      <w:r w:rsidRPr="00104DC4" w:rsidR="00EB2978">
        <w:t xml:space="preserve"> 200</w:t>
      </w:r>
      <w:r w:rsidR="00EB2978">
        <w:t>4</w:t>
      </w:r>
      <w:r>
        <w:t>).</w:t>
      </w:r>
    </w:p>
    <w:p w:rsidRPr="00946159" w:rsidR="00946159" w:rsidP="00124007" w:rsidRDefault="00E54656">
      <w:pPr>
        <w:pStyle w:val="JuHi"/>
        <w:outlineLvl w:val="0"/>
        <w:rPr>
          <w:lang w:val="en-GB"/>
        </w:rPr>
      </w:pPr>
      <w:r>
        <w:rPr>
          <w:lang w:val="en-GB"/>
        </w:rPr>
        <w:t>(</w:t>
      </w:r>
      <w:r w:rsidR="000C575D">
        <w:rPr>
          <w:lang w:val="en-GB"/>
        </w:rPr>
        <w:t>i</w:t>
      </w:r>
      <w:r>
        <w:rPr>
          <w:lang w:val="en-GB"/>
        </w:rPr>
        <w:t>)</w:t>
      </w:r>
      <w:r w:rsidRPr="004B53E0" w:rsidR="000C575D">
        <w:rPr>
          <w:lang w:val="en-GB"/>
        </w:rPr>
        <w:t>  </w:t>
      </w:r>
      <w:r w:rsidRPr="00946159" w:rsidR="00946159">
        <w:rPr>
          <w:lang w:val="en-GB"/>
        </w:rPr>
        <w:t>The finding of a violation</w:t>
      </w:r>
    </w:p>
    <w:p w:rsidR="00946159" w:rsidP="004B53E0" w:rsidRDefault="00946159">
      <w:pPr>
        <w:pStyle w:val="JuParaCharChar"/>
      </w:pPr>
      <w:r>
        <w:fldChar w:fldCharType="begin"/>
      </w:r>
      <w:r>
        <w:instrText xml:space="preserve"> SEQ level0 \*arabic </w:instrText>
      </w:r>
      <w:r>
        <w:fldChar w:fldCharType="separate"/>
      </w:r>
      <w:r w:rsidR="008B3B68">
        <w:rPr>
          <w:noProof/>
        </w:rPr>
        <w:t>194</w:t>
      </w:r>
      <w:r>
        <w:fldChar w:fldCharType="end"/>
      </w:r>
      <w:r>
        <w:t xml:space="preserve">.  The first condition, which is the finding of a violation by the national authorities, is </w:t>
      </w:r>
      <w:r w:rsidRPr="00386210">
        <w:t xml:space="preserve">not in </w:t>
      </w:r>
      <w:r>
        <w:t>issue since if an appeal</w:t>
      </w:r>
      <w:r w:rsidRPr="00C629BC">
        <w:t xml:space="preserve"> </w:t>
      </w:r>
      <w:r>
        <w:t xml:space="preserve">court were to award damages without having first expressly found a violation, the Court would necessarily conclude that such a finding had been made in substance as, under the Pinto Act, an appeal court cannot make an award unless a reasonable time has been exceeded (see </w:t>
      </w:r>
      <w:r w:rsidRPr="008048FA">
        <w:rPr>
          <w:i/>
        </w:rPr>
        <w:t>Capogrossi v. Italy</w:t>
      </w:r>
      <w:r w:rsidR="000C575D">
        <w:t xml:space="preserve"> (dec.), no. </w:t>
      </w:r>
      <w:r>
        <w:t xml:space="preserve">62253/00, </w:t>
      </w:r>
      <w:smartTag w:uri="urn:schemas-microsoft-com:office:smarttags" w:element="date">
        <w:smartTagPr>
          <w:attr w:name="Month" w:val="10"/>
          <w:attr w:name="Day" w:val="21"/>
          <w:attr w:name="Year" w:val="2004"/>
        </w:smartTagPr>
        <w:r>
          <w:t>21 October 2004</w:t>
        </w:r>
      </w:smartTag>
      <w:r>
        <w:t>).</w:t>
      </w:r>
    </w:p>
    <w:p w:rsidRPr="00946159" w:rsidR="00946159" w:rsidP="00946159" w:rsidRDefault="00E54656">
      <w:pPr>
        <w:pStyle w:val="JuHi"/>
        <w:rPr>
          <w:lang w:val="en-GB"/>
        </w:rPr>
      </w:pPr>
      <w:r>
        <w:rPr>
          <w:lang w:val="en-GB"/>
        </w:rPr>
        <w:t>(ii)</w:t>
      </w:r>
      <w:r w:rsidRPr="000C575D" w:rsidR="000C575D">
        <w:rPr>
          <w:lang w:val="en-GB"/>
        </w:rPr>
        <w:t>  </w:t>
      </w:r>
      <w:r w:rsidRPr="00946159" w:rsidR="00946159">
        <w:rPr>
          <w:lang w:val="en-GB"/>
        </w:rPr>
        <w:t>The characteristics of the redress</w:t>
      </w:r>
    </w:p>
    <w:p w:rsidR="00946159" w:rsidP="00946159" w:rsidRDefault="00946159">
      <w:pPr>
        <w:pStyle w:val="JuParaCharChar"/>
        <w:rPr>
          <w:szCs w:val="24"/>
        </w:rPr>
      </w:pPr>
      <w:r>
        <w:fldChar w:fldCharType="begin"/>
      </w:r>
      <w:r>
        <w:instrText xml:space="preserve"> SEQ level0 \*arabic </w:instrText>
      </w:r>
      <w:r>
        <w:fldChar w:fldCharType="separate"/>
      </w:r>
      <w:r w:rsidR="008B3B68">
        <w:rPr>
          <w:noProof/>
        </w:rPr>
        <w:t>195</w:t>
      </w:r>
      <w:r>
        <w:fldChar w:fldCharType="end"/>
      </w:r>
      <w:r>
        <w:t xml:space="preserve">.  With regard to the second condition, namely, appropriate and sufficient redress, the Court has already indicated that even if a remedy is “effective” in that it allows for an earlier decision by the courts to which the case has been referred or </w:t>
      </w:r>
      <w:r w:rsidR="003C7528">
        <w:t xml:space="preserve">for </w:t>
      </w:r>
      <w:r>
        <w:t xml:space="preserve">the aggrieved party </w:t>
      </w:r>
      <w:r w:rsidR="003C7528">
        <w:t>to be</w:t>
      </w:r>
      <w:r>
        <w:t xml:space="preserve"> given adequate compensation for the delays that have already occurred, that conclusion applies only on condition that an application for compensation remains itself an effective, adequate and accessible remedy in respect of the excessive length of judicial proceedings (see </w:t>
      </w:r>
      <w:r w:rsidRPr="00733898">
        <w:rPr>
          <w:i/>
        </w:rPr>
        <w:t>Mifsud</w:t>
      </w:r>
      <w:r>
        <w:t>, cited above).</w:t>
      </w:r>
    </w:p>
    <w:p w:rsidR="00FF56AE" w:rsidP="00946159" w:rsidRDefault="00263E84">
      <w:pPr>
        <w:pStyle w:val="JuParaCharChar"/>
      </w:pPr>
      <w:r>
        <w:t xml:space="preserve">Indeed, it cannot be ruled out that excessive delays in an action for compensation will </w:t>
      </w:r>
      <w:r w:rsidR="00597327">
        <w:t>render</w:t>
      </w:r>
      <w:r>
        <w:t xml:space="preserve"> the remedy </w:t>
      </w:r>
      <w:r w:rsidR="00597327">
        <w:t>inadequate</w:t>
      </w:r>
      <w:r>
        <w:t xml:space="preserve"> (see </w:t>
      </w:r>
      <w:r w:rsidRPr="00104DC4">
        <w:rPr>
          <w:i/>
        </w:rPr>
        <w:t>Paulino Tom</w:t>
      </w:r>
      <w:r w:rsidR="000D0EA8">
        <w:rPr>
          <w:i/>
        </w:rPr>
        <w:t>á</w:t>
      </w:r>
      <w:r w:rsidR="00D54CA3">
        <w:rPr>
          <w:i/>
        </w:rPr>
        <w:t>s</w:t>
      </w:r>
      <w:r w:rsidRPr="00104DC4">
        <w:rPr>
          <w:i/>
        </w:rPr>
        <w:t xml:space="preserve"> v. Portugal </w:t>
      </w:r>
      <w:r w:rsidR="00E54656">
        <w:t>(dec.), no. 58698/00, ECHR 2003-</w:t>
      </w:r>
      <w:r w:rsidRPr="00104DC4">
        <w:t>VIII</w:t>
      </w:r>
      <w:r>
        <w:t xml:space="preserve">; </w:t>
      </w:r>
      <w:r w:rsidRPr="00104DC4">
        <w:rPr>
          <w:i/>
        </w:rPr>
        <w:t>Belinger v. Slovenia</w:t>
      </w:r>
      <w:r w:rsidRPr="00104DC4">
        <w:t xml:space="preserve"> </w:t>
      </w:r>
      <w:r>
        <w:t>(dec.)</w:t>
      </w:r>
      <w:r w:rsidR="00D54CA3">
        <w:t>,</w:t>
      </w:r>
      <w:r>
        <w:t xml:space="preserve"> </w:t>
      </w:r>
      <w:r w:rsidRPr="00104DC4">
        <w:t xml:space="preserve">no. 42320/98, </w:t>
      </w:r>
      <w:r>
        <w:t xml:space="preserve">2 October 2001; and, </w:t>
      </w:r>
      <w:r w:rsidRPr="00352AD9">
        <w:rPr>
          <w:i/>
        </w:rPr>
        <w:t>mutatis mutandis</w:t>
      </w:r>
      <w:r>
        <w:t xml:space="preserve">, </w:t>
      </w:r>
      <w:r w:rsidRPr="00104DC4">
        <w:rPr>
          <w:i/>
          <w:szCs w:val="24"/>
        </w:rPr>
        <w:t xml:space="preserve">Öneryıldız v. Turkey </w:t>
      </w:r>
      <w:r w:rsidRPr="00104DC4">
        <w:rPr>
          <w:szCs w:val="24"/>
        </w:rPr>
        <w:t xml:space="preserve">[GC], no. 48939/99, § </w:t>
      </w:r>
      <w:r>
        <w:rPr>
          <w:szCs w:val="24"/>
        </w:rPr>
        <w:t>156</w:t>
      </w:r>
      <w:r w:rsidRPr="00104DC4">
        <w:rPr>
          <w:szCs w:val="24"/>
        </w:rPr>
        <w:t xml:space="preserve">, </w:t>
      </w:r>
      <w:r w:rsidR="00E54656">
        <w:t>ECHR 2004-</w:t>
      </w:r>
      <w:r w:rsidR="00FF56AE">
        <w:t>XII</w:t>
      </w:r>
      <w:r>
        <w:t>)</w:t>
      </w:r>
      <w:r w:rsidR="00FF56AE">
        <w:t>.</w:t>
      </w:r>
    </w:p>
    <w:p w:rsidR="00967E1F" w:rsidP="00946159" w:rsidRDefault="005734CC">
      <w:pPr>
        <w:pStyle w:val="JuParaCharChar"/>
      </w:pPr>
      <w:r>
        <w:fldChar w:fldCharType="begin"/>
      </w:r>
      <w:r>
        <w:instrText xml:space="preserve"> SEQ level0 \*arabic </w:instrText>
      </w:r>
      <w:r>
        <w:fldChar w:fldCharType="separate"/>
      </w:r>
      <w:r w:rsidR="008B3B68">
        <w:rPr>
          <w:noProof/>
        </w:rPr>
        <w:t>196</w:t>
      </w:r>
      <w:r>
        <w:fldChar w:fldCharType="end"/>
      </w:r>
      <w:r>
        <w:t>.  </w:t>
      </w:r>
      <w:r w:rsidR="0053329A">
        <w:t>In that connection the Court reiterates its case-law to the effect that the right of access to a tribunal guaranteed by Article 6 § 1 of the Convention would be illusory if a Contracting State</w:t>
      </w:r>
      <w:r w:rsidR="00E6191D">
        <w:t>’</w:t>
      </w:r>
      <w:r w:rsidR="0053329A">
        <w:t>s domestic legal system allowed a final, binding judicial decision to remain inoperative to the detriment of one party</w:t>
      </w:r>
      <w:r w:rsidR="00946159">
        <w:rPr>
          <w:szCs w:val="24"/>
        </w:rPr>
        <w:t xml:space="preserve">. Execution of a judgment given by any court must therefore be regarded as an integral part of the “trial” for the purposes of Article 6 (see, </w:t>
      </w:r>
      <w:r w:rsidRPr="00D92E54" w:rsidR="00946159">
        <w:rPr>
          <w:i/>
          <w:szCs w:val="24"/>
        </w:rPr>
        <w:t>inter alia</w:t>
      </w:r>
      <w:r w:rsidR="00946159">
        <w:rPr>
          <w:szCs w:val="24"/>
        </w:rPr>
        <w:t xml:space="preserve">, </w:t>
      </w:r>
      <w:r w:rsidRPr="00104DC4" w:rsidR="00946159">
        <w:rPr>
          <w:i/>
        </w:rPr>
        <w:t>Hornsby v. Greece</w:t>
      </w:r>
      <w:r w:rsidRPr="00104DC4" w:rsidR="00946159">
        <w:t xml:space="preserve">, 19 March 1997, </w:t>
      </w:r>
      <w:r w:rsidR="007D4508">
        <w:t>§</w:t>
      </w:r>
      <w:r w:rsidRPr="00104DC4" w:rsidR="007D4508">
        <w:t xml:space="preserve">§ </w:t>
      </w:r>
      <w:r w:rsidR="007D4508">
        <w:t xml:space="preserve">40 et seq., </w:t>
      </w:r>
      <w:r w:rsidRPr="00104DC4" w:rsidR="00946159">
        <w:rPr>
          <w:i/>
        </w:rPr>
        <w:t xml:space="preserve">Reports </w:t>
      </w:r>
      <w:r w:rsidR="00E54656">
        <w:t>1997-</w:t>
      </w:r>
      <w:r w:rsidRPr="00104DC4" w:rsidR="00946159">
        <w:t>II</w:t>
      </w:r>
      <w:r w:rsidR="00946159">
        <w:t xml:space="preserve">, and </w:t>
      </w:r>
      <w:r w:rsidRPr="00104DC4" w:rsidR="00946159">
        <w:rPr>
          <w:i/>
        </w:rPr>
        <w:t>Metaxas v. Greece</w:t>
      </w:r>
      <w:r w:rsidRPr="00104DC4" w:rsidR="00946159">
        <w:t>, no.</w:t>
      </w:r>
      <w:r w:rsidR="007D4508">
        <w:t xml:space="preserve"> </w:t>
      </w:r>
      <w:r w:rsidRPr="00104DC4" w:rsidR="00946159">
        <w:t xml:space="preserve">8415/02, § </w:t>
      </w:r>
      <w:r w:rsidR="00946159">
        <w:t>25</w:t>
      </w:r>
      <w:r w:rsidRPr="00104DC4" w:rsidR="00946159">
        <w:t>, 27 May 2004</w:t>
      </w:r>
      <w:r>
        <w:t>).</w:t>
      </w:r>
    </w:p>
    <w:p w:rsidR="00946159" w:rsidP="00946159" w:rsidRDefault="005734CC">
      <w:pPr>
        <w:pStyle w:val="JuParaCharChar"/>
      </w:pPr>
      <w:r>
        <w:fldChar w:fldCharType="begin"/>
      </w:r>
      <w:r>
        <w:instrText xml:space="preserve"> SEQ level0 \*arabic </w:instrText>
      </w:r>
      <w:r>
        <w:fldChar w:fldCharType="separate"/>
      </w:r>
      <w:r w:rsidR="008B3B68">
        <w:rPr>
          <w:noProof/>
        </w:rPr>
        <w:t>197</w:t>
      </w:r>
      <w:r>
        <w:fldChar w:fldCharType="end"/>
      </w:r>
      <w:r>
        <w:t>.  </w:t>
      </w:r>
      <w:r w:rsidR="00EB2978">
        <w:t xml:space="preserve">The Court has pointed out in civil length-of-proceedings cases that the enforcement proceedings are the second stage of the proceedings and that the right asserted does not actually become effective until enforcement (see, among other authorities, </w:t>
      </w:r>
      <w:r w:rsidRPr="00104DC4" w:rsidR="00EB2978">
        <w:rPr>
          <w:i/>
        </w:rPr>
        <w:t>Di Pede v. Italy</w:t>
      </w:r>
      <w:r w:rsidR="00EB2978">
        <w:t xml:space="preserve"> and </w:t>
      </w:r>
      <w:r w:rsidRPr="00BD38EB" w:rsidR="00EB2978">
        <w:rPr>
          <w:i/>
        </w:rPr>
        <w:t>Zappia v. Italy</w:t>
      </w:r>
      <w:r w:rsidRPr="00104DC4" w:rsidR="00EB2978">
        <w:t>, 26</w:t>
      </w:r>
      <w:r w:rsidR="007D4508">
        <w:t> </w:t>
      </w:r>
      <w:r w:rsidRPr="00104DC4" w:rsidR="00EB2978">
        <w:t xml:space="preserve">September 1996, </w:t>
      </w:r>
      <w:r w:rsidRPr="00104DC4" w:rsidR="007D4508">
        <w:t>§</w:t>
      </w:r>
      <w:r w:rsidR="007D4508">
        <w:t xml:space="preserve">§ 22, 24 and 26 and §§ 18, 20 and 22 respectively, </w:t>
      </w:r>
      <w:r w:rsidRPr="00104DC4" w:rsidR="00EB2978">
        <w:rPr>
          <w:i/>
        </w:rPr>
        <w:t xml:space="preserve">Reports </w:t>
      </w:r>
      <w:r w:rsidR="00E54656">
        <w:t>1996-</w:t>
      </w:r>
      <w:r w:rsidRPr="00104DC4" w:rsidR="00EB2978">
        <w:t>IV</w:t>
      </w:r>
      <w:r w:rsidR="00EB2978">
        <w:t xml:space="preserve">, and, </w:t>
      </w:r>
      <w:r w:rsidRPr="00BD38EB" w:rsidR="00EB2978">
        <w:rPr>
          <w:i/>
        </w:rPr>
        <w:t>mutatis mutandis</w:t>
      </w:r>
      <w:r w:rsidR="00EB2978">
        <w:t xml:space="preserve">, </w:t>
      </w:r>
      <w:r w:rsidRPr="00104DC4" w:rsidR="00EB2978">
        <w:rPr>
          <w:i/>
        </w:rPr>
        <w:t>Silva Pontes v. Portugal</w:t>
      </w:r>
      <w:r w:rsidRPr="00104DC4" w:rsidR="00EB2978">
        <w:t xml:space="preserve">, </w:t>
      </w:r>
      <w:smartTag w:uri="urn:schemas-microsoft-com:office:smarttags" w:element="date">
        <w:smartTagPr>
          <w:attr w:name="Year" w:val="1994"/>
          <w:attr w:name="Day" w:val="23"/>
          <w:attr w:name="Month" w:val="3"/>
        </w:smartTagPr>
        <w:r w:rsidR="00EB2978" w:rsidRPr="00104DC4">
          <w:t>23 March 1994</w:t>
        </w:r>
      </w:smartTag>
      <w:r w:rsidR="00E54656">
        <w:t xml:space="preserve">, </w:t>
      </w:r>
      <w:r w:rsidRPr="00104DC4" w:rsidR="007D4508">
        <w:t xml:space="preserve">§ </w:t>
      </w:r>
      <w:r w:rsidR="007D4508">
        <w:t xml:space="preserve">33, </w:t>
      </w:r>
      <w:r w:rsidR="00E54656">
        <w:t>Series A no. 286-</w:t>
      </w:r>
      <w:r w:rsidRPr="00104DC4" w:rsidR="00EB2978">
        <w:t>A</w:t>
      </w:r>
      <w:r w:rsidR="00946159">
        <w:t>).</w:t>
      </w:r>
    </w:p>
    <w:p w:rsidR="00946159" w:rsidP="00946159" w:rsidRDefault="005F49EB">
      <w:pPr>
        <w:pStyle w:val="JuParaCharChar"/>
      </w:pPr>
      <w:r>
        <w:fldChar w:fldCharType="begin"/>
      </w:r>
      <w:r>
        <w:instrText xml:space="preserve"> SEQ level0 \*arabic </w:instrText>
      </w:r>
      <w:r>
        <w:fldChar w:fldCharType="separate"/>
      </w:r>
      <w:r w:rsidR="008B3B68">
        <w:rPr>
          <w:noProof/>
        </w:rPr>
        <w:t>198</w:t>
      </w:r>
      <w:r>
        <w:fldChar w:fldCharType="end"/>
      </w:r>
      <w:r>
        <w:t>.  </w:t>
      </w:r>
      <w:r w:rsidR="00946159">
        <w:t>The Court has also stated that it is inappropriate to require an individual who has obtained judgment against the State at the end of legal proceedings to then bring enforcement proceedings to obtain satisfaction. It follows that the late payment, following enforcement proceedings, of amounts owing to the applicant cannot cure the national authorities</w:t>
      </w:r>
      <w:r w:rsidR="00E6191D">
        <w:t>’</w:t>
      </w:r>
      <w:r w:rsidR="00946159">
        <w:t xml:space="preserve"> long-standing failure to comply with a judgment and does not afford adequate redress (see</w:t>
      </w:r>
      <w:r w:rsidRPr="00A33E4D" w:rsidR="00946159">
        <w:rPr>
          <w:i/>
        </w:rPr>
        <w:t xml:space="preserve"> </w:t>
      </w:r>
      <w:r w:rsidRPr="00B73531" w:rsidR="00946159">
        <w:rPr>
          <w:i/>
        </w:rPr>
        <w:t>Metaxas</w:t>
      </w:r>
      <w:r w:rsidR="00946159">
        <w:t xml:space="preserve">, cited above, § 19, and </w:t>
      </w:r>
      <w:r w:rsidRPr="00BA3FD9" w:rsidR="00946159">
        <w:rPr>
          <w:i/>
        </w:rPr>
        <w:t>Karahalios</w:t>
      </w:r>
      <w:r w:rsidRPr="00104DC4" w:rsidR="00946159">
        <w:rPr>
          <w:i/>
        </w:rPr>
        <w:t xml:space="preserve"> v. Greece</w:t>
      </w:r>
      <w:r w:rsidRPr="00104DC4" w:rsidR="00946159">
        <w:t>, no.</w:t>
      </w:r>
      <w:r w:rsidR="00C038B1">
        <w:t> </w:t>
      </w:r>
      <w:r w:rsidRPr="00104DC4" w:rsidR="00946159">
        <w:t xml:space="preserve">62503/00, § </w:t>
      </w:r>
      <w:r w:rsidR="00946159">
        <w:t>23</w:t>
      </w:r>
      <w:r w:rsidRPr="00104DC4" w:rsidR="00946159">
        <w:t>, 11 December 2003</w:t>
      </w:r>
      <w:r w:rsidR="00946159">
        <w:t xml:space="preserve">). Moreover, some States, such as </w:t>
      </w:r>
      <w:smartTag w:uri="urn:schemas-microsoft-com:office:smarttags" w:element="country-region">
        <w:r w:rsidR="00946159">
          <w:t>Slovakia</w:t>
        </w:r>
      </w:smartTag>
      <w:r w:rsidR="00946159">
        <w:t xml:space="preserve"> and </w:t>
      </w:r>
      <w:smartTag w:uri="urn:schemas-microsoft-com:office:smarttags" w:element="place">
        <w:smartTag w:uri="urn:schemas-microsoft-com:office:smarttags" w:element="country-region">
          <w:r w:rsidR="00946159">
            <w:t>Croatia</w:t>
          </w:r>
        </w:smartTag>
      </w:smartTag>
      <w:r w:rsidR="00946159">
        <w:t xml:space="preserve">, have even stipulated a </w:t>
      </w:r>
      <w:r w:rsidR="005674E5">
        <w:t>time-limit in</w:t>
      </w:r>
      <w:r w:rsidR="00946159">
        <w:t xml:space="preserve"> which payment should be made, namely two and three months respectively (see</w:t>
      </w:r>
      <w:r w:rsidRPr="001526F4" w:rsidR="00946159">
        <w:rPr>
          <w:i/>
        </w:rPr>
        <w:t xml:space="preserve"> </w:t>
      </w:r>
      <w:r w:rsidRPr="00104DC4" w:rsidR="00946159">
        <w:rPr>
          <w:i/>
        </w:rPr>
        <w:t>Andrášik and Others</w:t>
      </w:r>
      <w:r w:rsidR="00946159">
        <w:t xml:space="preserve"> and </w:t>
      </w:r>
      <w:r w:rsidRPr="001526F4" w:rsidR="00946159">
        <w:rPr>
          <w:i/>
        </w:rPr>
        <w:t>Slavi</w:t>
      </w:r>
      <w:r w:rsidR="000D0EA8">
        <w:rPr>
          <w:i/>
        </w:rPr>
        <w:t>č</w:t>
      </w:r>
      <w:r w:rsidRPr="001526F4" w:rsidR="00946159">
        <w:rPr>
          <w:i/>
        </w:rPr>
        <w:t>ek</w:t>
      </w:r>
      <w:r w:rsidR="00946159">
        <w:t xml:space="preserve">, </w:t>
      </w:r>
      <w:r w:rsidR="00B40D2B">
        <w:t xml:space="preserve">both </w:t>
      </w:r>
      <w:r w:rsidR="00946159">
        <w:t>cited above).</w:t>
      </w:r>
    </w:p>
    <w:p w:rsidR="0053329A" w:rsidP="00946159" w:rsidRDefault="005F49EB">
      <w:pPr>
        <w:pStyle w:val="JuParaCharChar"/>
      </w:pPr>
      <w:r>
        <w:t xml:space="preserve">The Court can accept that the authorities need time in which to </w:t>
      </w:r>
      <w:r w:rsidR="005734CC">
        <w:t>make payment</w:t>
      </w:r>
      <w:r>
        <w:t xml:space="preserve">. </w:t>
      </w:r>
      <w:r w:rsidR="004D12A8">
        <w:t>However, in respect of a compensatory remedy designed to redress the consequences of excessively lengthy proceedings</w:t>
      </w:r>
      <w:r w:rsidR="005674E5">
        <w:t>,</w:t>
      </w:r>
      <w:r w:rsidR="004D12A8">
        <w:t xml:space="preserve"> that period should not generally exceed six months from the date on which the decision awarding compensation becomes enforceable</w:t>
      </w:r>
      <w:r>
        <w:t>.</w:t>
      </w:r>
    </w:p>
    <w:p w:rsidR="00967E1F" w:rsidP="00946159" w:rsidRDefault="005734CC">
      <w:pPr>
        <w:pStyle w:val="JuParaCharChar"/>
      </w:pPr>
      <w:r>
        <w:fldChar w:fldCharType="begin"/>
      </w:r>
      <w:r>
        <w:instrText xml:space="preserve"> SEQ level0 \*arabic </w:instrText>
      </w:r>
      <w:r>
        <w:fldChar w:fldCharType="separate"/>
      </w:r>
      <w:r w:rsidR="008B3B68">
        <w:rPr>
          <w:noProof/>
        </w:rPr>
        <w:t>199</w:t>
      </w:r>
      <w:r>
        <w:fldChar w:fldCharType="end"/>
      </w:r>
      <w:r>
        <w:t>.  </w:t>
      </w:r>
      <w:r w:rsidR="00946159">
        <w:t xml:space="preserve">As the Court has already </w:t>
      </w:r>
      <w:r w:rsidR="000D0EA8">
        <w:t>noted</w:t>
      </w:r>
      <w:r w:rsidR="00946159">
        <w:t xml:space="preserve"> on many occasions, it is not open to a State authority to cite lack of funds as an excuse for not honouring a judgment debt (see, among many other authorities, </w:t>
      </w:r>
      <w:r w:rsidRPr="000B6228" w:rsidR="00946159">
        <w:rPr>
          <w:i/>
        </w:rPr>
        <w:t>Burdov</w:t>
      </w:r>
      <w:r w:rsidR="00946159">
        <w:t>, cited above, § 35).</w:t>
      </w:r>
    </w:p>
    <w:p w:rsidR="00946159" w:rsidP="00946159" w:rsidRDefault="00946159">
      <w:pPr>
        <w:pStyle w:val="JuParaCharChar"/>
      </w:pPr>
      <w:r>
        <w:fldChar w:fldCharType="begin"/>
      </w:r>
      <w:r>
        <w:instrText xml:space="preserve"> SEQ level0 \*arabic </w:instrText>
      </w:r>
      <w:r>
        <w:fldChar w:fldCharType="separate"/>
      </w:r>
      <w:r w:rsidR="008B3B68">
        <w:rPr>
          <w:noProof/>
        </w:rPr>
        <w:t>200</w:t>
      </w:r>
      <w:r>
        <w:fldChar w:fldCharType="end"/>
      </w:r>
      <w:r>
        <w:t xml:space="preserve">.  With regard to the </w:t>
      </w:r>
      <w:r w:rsidR="005F49EB">
        <w:t xml:space="preserve">concern to have a </w:t>
      </w:r>
      <w:r>
        <w:t xml:space="preserve">remedy affording compensation </w:t>
      </w:r>
      <w:r w:rsidR="005F49EB">
        <w:t>that complies with the rea</w:t>
      </w:r>
      <w:r>
        <w:t>sonable</w:t>
      </w:r>
      <w:r w:rsidR="00E0289F">
        <w:t>-</w:t>
      </w:r>
      <w:r>
        <w:t xml:space="preserve">time </w:t>
      </w:r>
      <w:r w:rsidR="005F49EB">
        <w:t xml:space="preserve">requirement, it </w:t>
      </w:r>
      <w:r>
        <w:t xml:space="preserve">may well be </w:t>
      </w:r>
      <w:r w:rsidR="005F49EB">
        <w:t>that the</w:t>
      </w:r>
      <w:r>
        <w:t xml:space="preserve"> procedural rules are not exactly the same as for ordinary applications for damages. It is for each State to determine, on the basis of the rules applicable in its judicial system, which procedure will best meet the </w:t>
      </w:r>
      <w:r w:rsidR="005F49EB">
        <w:t xml:space="preserve">compulsory </w:t>
      </w:r>
      <w:r>
        <w:t>criterion of “effectiveness”, provided that the procedure conforms to the principles of fairness guaranteed by Article 6 of the Convention.</w:t>
      </w:r>
    </w:p>
    <w:p w:rsidR="00946159" w:rsidP="00946159" w:rsidRDefault="00946159">
      <w:pPr>
        <w:pStyle w:val="JuParaCharChar"/>
      </w:pPr>
      <w:r>
        <w:fldChar w:fldCharType="begin"/>
      </w:r>
      <w:r>
        <w:instrText xml:space="preserve"> SEQ level0 \*arabic </w:instrText>
      </w:r>
      <w:r>
        <w:fldChar w:fldCharType="separate"/>
      </w:r>
      <w:r w:rsidR="008B3B68">
        <w:rPr>
          <w:noProof/>
        </w:rPr>
        <w:t>201</w:t>
      </w:r>
      <w:r>
        <w:fldChar w:fldCharType="end"/>
      </w:r>
      <w:r>
        <w:t xml:space="preserve">.  Lastly, the Court finds it reasonable that in this type of proceedings where the State, on account of the poor organisation of its judicial system, forces litigants – to some extent – to have recourse to a compensatory remedy, the rules regarding legal costs may be different and thus avoid placing an excessive burden on litigants where their action is justified. It might appear paradoxical that, by imposing various taxes – payable prior to the lodging of an application or after the decision – the State </w:t>
      </w:r>
      <w:r w:rsidR="005734CC">
        <w:t>takes</w:t>
      </w:r>
      <w:r>
        <w:t xml:space="preserve"> away with one hand what it has awarded with the other </w:t>
      </w:r>
      <w:r w:rsidR="00695DF1">
        <w:t>to repair a breac</w:t>
      </w:r>
      <w:r>
        <w:t xml:space="preserve">h of the Convention. Nor should the costs be excessive and constitute an unreasonable restriction on the right to lodge such an application and thus an infringement of the right of access to a tribunal. On this point the Court notes that in </w:t>
      </w:r>
      <w:smartTag w:uri="urn:schemas-microsoft-com:office:smarttags" w:element="place">
        <w:smartTag w:uri="urn:schemas-microsoft-com:office:smarttags" w:element="country-region">
          <w:r>
            <w:t>Poland</w:t>
          </w:r>
        </w:smartTag>
      </w:smartTag>
      <w:r>
        <w:t xml:space="preserve"> applicants are reimbursed the court fee payable on lodging a complaint if their complaint is considered justified (see </w:t>
      </w:r>
      <w:r w:rsidRPr="00FC3F70">
        <w:rPr>
          <w:i/>
        </w:rPr>
        <w:t xml:space="preserve">Charzyński v. Poland </w:t>
      </w:r>
      <w:r w:rsidRPr="00FC3F70">
        <w:t xml:space="preserve">(dec.), no. 15212/03, </w:t>
      </w:r>
      <w:r w:rsidRPr="00FC3F70" w:rsidR="00EB2978">
        <w:t>ECHR 2005</w:t>
      </w:r>
      <w:r w:rsidR="000D0EA8">
        <w:t>-V</w:t>
      </w:r>
      <w:r>
        <w:t>).</w:t>
      </w:r>
    </w:p>
    <w:p w:rsidR="00946159" w:rsidP="00946159" w:rsidRDefault="00946159">
      <w:pPr>
        <w:pStyle w:val="JuParaCharChar"/>
      </w:pPr>
      <w:r>
        <w:fldChar w:fldCharType="begin"/>
      </w:r>
      <w:r>
        <w:instrText xml:space="preserve"> SEQ level0 \*arabic </w:instrText>
      </w:r>
      <w:r>
        <w:fldChar w:fldCharType="separate"/>
      </w:r>
      <w:r w:rsidR="008B3B68">
        <w:rPr>
          <w:noProof/>
        </w:rPr>
        <w:t>202</w:t>
      </w:r>
      <w:r>
        <w:fldChar w:fldCharType="end"/>
      </w:r>
      <w:r>
        <w:t>.  Regarding violations of the reasonable</w:t>
      </w:r>
      <w:r w:rsidR="00E0289F">
        <w:t>-</w:t>
      </w:r>
      <w:r>
        <w:t>time requirement, one of the characteristics of sufficient redress which may remove a litigant</w:t>
      </w:r>
      <w:r w:rsidR="00E6191D">
        <w:t>’</w:t>
      </w:r>
      <w:r>
        <w:t>s victim status relates to the amount awarded as a result of using the domestic remedy. The Court has already had occasion to indicate that an applicant</w:t>
      </w:r>
      <w:r w:rsidR="00E6191D">
        <w:t>’</w:t>
      </w:r>
      <w:r>
        <w:t xml:space="preserve">s victim status may depend on the level of compensation awarded at domestic level on the basis of the facts about which he or she complains before the Court (see </w:t>
      </w:r>
      <w:r w:rsidRPr="00104DC4">
        <w:rPr>
          <w:i/>
        </w:rPr>
        <w:t>Normann</w:t>
      </w:r>
      <w:r>
        <w:t xml:space="preserve"> and </w:t>
      </w:r>
      <w:r w:rsidRPr="00E85666">
        <w:rPr>
          <w:i/>
        </w:rPr>
        <w:t>Jensen and Rasmussen</w:t>
      </w:r>
      <w:r>
        <w:t xml:space="preserve">, </w:t>
      </w:r>
      <w:r w:rsidR="000D0EA8">
        <w:t xml:space="preserve">both </w:t>
      </w:r>
      <w:r>
        <w:t>cited above).</w:t>
      </w:r>
    </w:p>
    <w:p w:rsidR="00946159" w:rsidP="00946159" w:rsidRDefault="00946159">
      <w:pPr>
        <w:pStyle w:val="JuParaCharChar"/>
      </w:pPr>
      <w:r>
        <w:fldChar w:fldCharType="begin"/>
      </w:r>
      <w:r>
        <w:instrText xml:space="preserve"> SEQ level0 \*arabic </w:instrText>
      </w:r>
      <w:r>
        <w:fldChar w:fldCharType="separate"/>
      </w:r>
      <w:r w:rsidR="008B3B68">
        <w:rPr>
          <w:noProof/>
        </w:rPr>
        <w:t>203</w:t>
      </w:r>
      <w:r>
        <w:fldChar w:fldCharType="end"/>
      </w:r>
      <w:r>
        <w:t>.  With regard to pecuniary damage, the domestic courts are clearly in a better position to deter</w:t>
      </w:r>
      <w:r w:rsidR="00176B14">
        <w:t xml:space="preserve">mine the existence and </w:t>
      </w:r>
      <w:r w:rsidR="00FE31F5">
        <w:t>quantum</w:t>
      </w:r>
      <w:r w:rsidR="00176B14">
        <w:t>. Moreover, t</w:t>
      </w:r>
      <w:r>
        <w:t>hat point has not been disputed by the parties or interveners</w:t>
      </w:r>
      <w:r w:rsidRPr="00B73531">
        <w:t>.</w:t>
      </w:r>
    </w:p>
    <w:p w:rsidR="00946159" w:rsidP="00946159" w:rsidRDefault="00946159">
      <w:pPr>
        <w:pStyle w:val="JuParaCharChar"/>
      </w:pPr>
      <w:r>
        <w:fldChar w:fldCharType="begin"/>
      </w:r>
      <w:r>
        <w:instrText xml:space="preserve"> SEQ level0 \*arabic </w:instrText>
      </w:r>
      <w:r>
        <w:fldChar w:fldCharType="separate"/>
      </w:r>
      <w:r w:rsidR="008B3B68">
        <w:rPr>
          <w:noProof/>
        </w:rPr>
        <w:t>204</w:t>
      </w:r>
      <w:r>
        <w:fldChar w:fldCharType="end"/>
      </w:r>
      <w:r>
        <w:t>.  Regarding non-pecuniary damage, the Court</w:t>
      </w:r>
      <w:r w:rsidR="00AF0955">
        <w:t xml:space="preserve"> –</w:t>
      </w:r>
      <w:r>
        <w:t xml:space="preserve"> </w:t>
      </w:r>
      <w:r w:rsidR="00AF0955">
        <w:t>like</w:t>
      </w:r>
      <w:r>
        <w:t xml:space="preserve"> the Italian Court of Cassation (</w:t>
      </w:r>
      <w:r w:rsidR="004569A6">
        <w:t xml:space="preserve">see its judgment no. 8568/05, paragraph </w:t>
      </w:r>
      <w:r w:rsidR="00935681">
        <w:t>70</w:t>
      </w:r>
      <w:r w:rsidR="00AF0A1F">
        <w:t xml:space="preserve"> </w:t>
      </w:r>
      <w:r w:rsidR="004569A6">
        <w:t>above</w:t>
      </w:r>
      <w:r>
        <w:t>)</w:t>
      </w:r>
      <w:r w:rsidR="00AF0955">
        <w:t xml:space="preserve"> – assumes</w:t>
      </w:r>
      <w:r>
        <w:t xml:space="preserve"> that there is a</w:t>
      </w:r>
      <w:r w:rsidR="008B6440">
        <w:t xml:space="preserve"> strong but</w:t>
      </w:r>
      <w:r w:rsidRPr="00AF0955" w:rsidR="00AF0955">
        <w:t xml:space="preserve"> </w:t>
      </w:r>
      <w:r w:rsidR="00AF0955">
        <w:t>rebuttable</w:t>
      </w:r>
      <w:r>
        <w:t xml:space="preserve"> presumption that </w:t>
      </w:r>
      <w:r w:rsidR="00AF0955">
        <w:t>excessively</w:t>
      </w:r>
      <w:r w:rsidR="002C33BD">
        <w:t xml:space="preserve"> </w:t>
      </w:r>
      <w:r w:rsidR="00AF0955">
        <w:t>long</w:t>
      </w:r>
      <w:r w:rsidRPr="00AF0955" w:rsidR="00AF0955">
        <w:t xml:space="preserve"> </w:t>
      </w:r>
      <w:r w:rsidR="00AF0955">
        <w:t xml:space="preserve">proceedings will occasion non-pecuniary damage. </w:t>
      </w:r>
      <w:r w:rsidR="00BC371A">
        <w:t>I</w:t>
      </w:r>
      <w:r>
        <w:t>t also accepts</w:t>
      </w:r>
      <w:r w:rsidRPr="004D12A8" w:rsidR="004D12A8">
        <w:t xml:space="preserve"> </w:t>
      </w:r>
      <w:r w:rsidR="004D12A8">
        <w:t>that</w:t>
      </w:r>
      <w:r>
        <w:t xml:space="preserve">, </w:t>
      </w:r>
      <w:r w:rsidR="00AF0955">
        <w:t>in some cases</w:t>
      </w:r>
      <w:r>
        <w:t>, the length of proceedings may result in only minimal non-pecuniary damage or no</w:t>
      </w:r>
      <w:r w:rsidRPr="007E2E4D">
        <w:t xml:space="preserve"> </w:t>
      </w:r>
      <w:r>
        <w:t>non-pecuniary damage</w:t>
      </w:r>
      <w:r w:rsidR="00AF0955">
        <w:t xml:space="preserve"> at all</w:t>
      </w:r>
      <w:r>
        <w:t xml:space="preserve"> (see </w:t>
      </w:r>
      <w:r w:rsidRPr="007E2E4D">
        <w:rPr>
          <w:i/>
        </w:rPr>
        <w:t>Nardone</w:t>
      </w:r>
      <w:r>
        <w:t>, cited above). The domestic courts will then have to justify their decision by giving sufficient reasons.</w:t>
      </w:r>
    </w:p>
    <w:p w:rsidR="0053329A" w:rsidP="00946159" w:rsidRDefault="00946159">
      <w:pPr>
        <w:pStyle w:val="JuParaCharChar"/>
      </w:pPr>
      <w:r>
        <w:fldChar w:fldCharType="begin"/>
      </w:r>
      <w:r>
        <w:instrText xml:space="preserve"> SEQ level0 \*arabic </w:instrText>
      </w:r>
      <w:r>
        <w:fldChar w:fldCharType="separate"/>
      </w:r>
      <w:r w:rsidR="008B3B68">
        <w:rPr>
          <w:noProof/>
        </w:rPr>
        <w:t>205</w:t>
      </w:r>
      <w:r>
        <w:fldChar w:fldCharType="end"/>
      </w:r>
      <w:r>
        <w:t>.  </w:t>
      </w:r>
      <w:r w:rsidR="0053329A">
        <w:t>Moreover, in the Court</w:t>
      </w:r>
      <w:r w:rsidR="00E6191D">
        <w:t>’</w:t>
      </w:r>
      <w:r w:rsidR="0053329A">
        <w:t>s view, the level of compensation depends on the characteristics and effectiveness of the domestic remedy</w:t>
      </w:r>
      <w:r>
        <w:t>.</w:t>
      </w:r>
    </w:p>
    <w:p w:rsidR="00946159" w:rsidP="00946159" w:rsidRDefault="00935681">
      <w:pPr>
        <w:pStyle w:val="JuParaCharChar"/>
      </w:pPr>
      <w:r>
        <w:fldChar w:fldCharType="begin"/>
      </w:r>
      <w:r>
        <w:instrText xml:space="preserve"> SEQ level0 \*arabic </w:instrText>
      </w:r>
      <w:r>
        <w:fldChar w:fldCharType="separate"/>
      </w:r>
      <w:r w:rsidR="008B3B68">
        <w:rPr>
          <w:noProof/>
        </w:rPr>
        <w:t>206</w:t>
      </w:r>
      <w:r>
        <w:fldChar w:fldCharType="end"/>
      </w:r>
      <w:r>
        <w:t>.  </w:t>
      </w:r>
      <w:r w:rsidR="0053329A">
        <w:t>The Court can also perfectly well</w:t>
      </w:r>
      <w:r w:rsidRPr="001E4835" w:rsidR="0053329A">
        <w:t xml:space="preserve"> </w:t>
      </w:r>
      <w:r w:rsidR="0053329A">
        <w:t>accept that a State which has introduced a number of remedies, one of which is designed to expedite proceedings and one to afford compensation,</w:t>
      </w:r>
      <w:r w:rsidRPr="0059511F" w:rsidR="0053329A">
        <w:t xml:space="preserve"> </w:t>
      </w:r>
      <w:r w:rsidR="0053329A">
        <w:t>will award amounts which – while being lower than those awarded by the</w:t>
      </w:r>
      <w:r w:rsidR="00967E1F">
        <w:t xml:space="preserve"> </w:t>
      </w:r>
      <w:r w:rsidR="0053329A">
        <w:t xml:space="preserve">Court – are not unreasonable, on condition that the relevant decisions, which must be consonant with the legal tradition and the standard of living in the country concerned, are speedy, reasoned and executed very quickly (see </w:t>
      </w:r>
      <w:r w:rsidRPr="00F55FBB" w:rsidR="0053329A">
        <w:rPr>
          <w:i/>
        </w:rPr>
        <w:t>Dubjakova v. Slovakia</w:t>
      </w:r>
      <w:r w:rsidR="0053329A">
        <w:t xml:space="preserve"> (dec.), no. 67299/01, 1</w:t>
      </w:r>
      <w:r w:rsidR="000D0EA8">
        <w:t>9</w:t>
      </w:r>
      <w:r w:rsidR="0053329A">
        <w:t xml:space="preserve"> October 2004)</w:t>
      </w:r>
      <w:r w:rsidR="00946159">
        <w:t>.</w:t>
      </w:r>
    </w:p>
    <w:p w:rsidR="00946159" w:rsidP="00946159" w:rsidRDefault="00E57B74">
      <w:pPr>
        <w:pStyle w:val="JuParaCharChar"/>
      </w:pPr>
      <w:r>
        <w:t>However, where the domestic remedy has not met all the foregoing requirements, it is possible that the threshold in respect of which the amount will still allow a litigant to claim to be a “victim” will be higher</w:t>
      </w:r>
      <w:r w:rsidR="00946159">
        <w:t>.</w:t>
      </w:r>
    </w:p>
    <w:p w:rsidR="00946159" w:rsidP="00946159" w:rsidRDefault="00935681">
      <w:pPr>
        <w:pStyle w:val="JuParaCharChar"/>
      </w:pPr>
      <w:r>
        <w:fldChar w:fldCharType="begin"/>
      </w:r>
      <w:r>
        <w:instrText xml:space="preserve"> SEQ level0 \*arabic </w:instrText>
      </w:r>
      <w:r>
        <w:fldChar w:fldCharType="separate"/>
      </w:r>
      <w:r w:rsidR="008B3B68">
        <w:rPr>
          <w:noProof/>
        </w:rPr>
        <w:t>207</w:t>
      </w:r>
      <w:r>
        <w:fldChar w:fldCharType="end"/>
      </w:r>
      <w:r>
        <w:t>.  </w:t>
      </w:r>
      <w:r w:rsidR="00E57B74">
        <w:t>It is even conceivable that the court determining the amount of compensation will acknowledge its own delay and that accordingly, and in order not to penalise the applicant later, it will award a particularly high amount of compensation in order to make good the further delay</w:t>
      </w:r>
      <w:r w:rsidR="00946159">
        <w:t>.</w:t>
      </w:r>
    </w:p>
    <w:p w:rsidR="00946159" w:rsidP="00F7226C" w:rsidRDefault="00E54656">
      <w:pPr>
        <w:pStyle w:val="JuHi"/>
        <w:rPr>
          <w:lang w:val="en-GB"/>
        </w:rPr>
      </w:pPr>
      <w:r>
        <w:rPr>
          <w:lang w:val="en-GB"/>
        </w:rPr>
        <w:t>(iii)</w:t>
      </w:r>
      <w:r w:rsidRPr="00F7226C" w:rsidR="00F7226C">
        <w:rPr>
          <w:lang w:val="en-GB"/>
        </w:rPr>
        <w:t>  </w:t>
      </w:r>
      <w:r w:rsidRPr="00946159" w:rsidR="00946159">
        <w:rPr>
          <w:lang w:val="en-GB"/>
        </w:rPr>
        <w:t>Application to the present case</w:t>
      </w:r>
    </w:p>
    <w:p w:rsidR="00946159" w:rsidP="00946159" w:rsidRDefault="00946159">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208</w:t>
      </w:r>
      <w:r>
        <w:rPr>
          <w:lang w:val="en-GB"/>
        </w:rPr>
        <w:fldChar w:fldCharType="end"/>
      </w:r>
      <w:r>
        <w:rPr>
          <w:lang w:val="en-GB"/>
        </w:rPr>
        <w:t>.  </w:t>
      </w:r>
      <w:r w:rsidRPr="00946159">
        <w:rPr>
          <w:lang w:val="en-GB"/>
        </w:rPr>
        <w:t>The four-month period pre</w:t>
      </w:r>
      <w:smartTag w:uri="urn:schemas-microsoft-com:office:smarttags" w:element="PersonName">
        <w:r w:rsidRPr="00946159">
          <w:rPr>
            <w:lang w:val="en-GB"/>
          </w:rPr>
          <w:t>scribe</w:t>
        </w:r>
      </w:smartTag>
      <w:r w:rsidRPr="00946159">
        <w:rPr>
          <w:lang w:val="en-GB"/>
        </w:rPr>
        <w:t>d by the Pinto Act complies with the requirement of speediness necessary for a remedy to be effective.</w:t>
      </w:r>
      <w:r>
        <w:rPr>
          <w:lang w:val="en-GB"/>
        </w:rPr>
        <w:t xml:space="preserve"> In the instant case the </w:t>
      </w:r>
      <w:smartTag w:uri="urn:schemas-microsoft-com:office:smarttags" w:element="place">
        <w:smartTag w:uri="urn:schemas-microsoft-com:office:smarttags" w:element="City">
          <w:r>
            <w:rPr>
              <w:lang w:val="en-GB"/>
            </w:rPr>
            <w:t>Reggio di Calabria</w:t>
          </w:r>
        </w:smartTag>
      </w:smartTag>
      <w:r>
        <w:rPr>
          <w:lang w:val="en-GB"/>
        </w:rPr>
        <w:t xml:space="preserve"> Court of Appeal</w:t>
      </w:r>
      <w:r w:rsidR="00E6191D">
        <w:rPr>
          <w:lang w:val="en-GB"/>
        </w:rPr>
        <w:t>’</w:t>
      </w:r>
      <w:r>
        <w:rPr>
          <w:lang w:val="en-GB"/>
        </w:rPr>
        <w:t xml:space="preserve">s examination of </w:t>
      </w:r>
      <w:r w:rsidR="00176B14">
        <w:rPr>
          <w:lang w:val="en-GB"/>
        </w:rPr>
        <w:t xml:space="preserve">the </w:t>
      </w:r>
      <w:r>
        <w:rPr>
          <w:lang w:val="en-GB"/>
        </w:rPr>
        <w:t xml:space="preserve">“Pinto” application lasted from </w:t>
      </w:r>
      <w:smartTag w:uri="urn:schemas-microsoft-com:office:smarttags" w:element="date">
        <w:smartTagPr>
          <w:attr w:name="Month" w:val="4"/>
          <w:attr w:name="Day" w:val="18"/>
          <w:attr w:name="Year" w:val="2002"/>
        </w:smartTagPr>
        <w:r>
          <w:rPr>
            <w:lang w:val="en-GB"/>
          </w:rPr>
          <w:t>18 April 2002</w:t>
        </w:r>
      </w:smartTag>
      <w:r>
        <w:rPr>
          <w:lang w:val="en-GB"/>
        </w:rPr>
        <w:t xml:space="preserve"> until </w:t>
      </w:r>
      <w:smartTag w:uri="urn:schemas-microsoft-com:office:smarttags" w:element="date">
        <w:smartTagPr>
          <w:attr w:name="Month" w:val="7"/>
          <w:attr w:name="Day" w:val="27"/>
          <w:attr w:name="Year" w:val="2002"/>
        </w:smartTagPr>
        <w:r>
          <w:rPr>
            <w:lang w:val="en-GB"/>
          </w:rPr>
          <w:t>27 July 2002</w:t>
        </w:r>
      </w:smartTag>
      <w:r>
        <w:rPr>
          <w:lang w:val="en-GB"/>
        </w:rPr>
        <w:t>, that is, less than four months, which is with</w:t>
      </w:r>
      <w:r w:rsidR="008E72A5">
        <w:rPr>
          <w:lang w:val="en-GB"/>
        </w:rPr>
        <w:t>in</w:t>
      </w:r>
      <w:r>
        <w:rPr>
          <w:lang w:val="en-GB"/>
        </w:rPr>
        <w:t xml:space="preserve"> the statutory period.</w:t>
      </w:r>
    </w:p>
    <w:p w:rsidR="00946159" w:rsidP="00946159" w:rsidRDefault="00946159">
      <w:pPr>
        <w:pStyle w:val="JuParaChar1"/>
        <w:rPr>
          <w:lang w:val="en-GB" w:eastAsia="en-US"/>
        </w:rPr>
      </w:pPr>
      <w:r>
        <w:rPr>
          <w:lang w:val="en-GB"/>
        </w:rPr>
        <w:fldChar w:fldCharType="begin"/>
      </w:r>
      <w:r>
        <w:rPr>
          <w:lang w:val="en-GB"/>
        </w:rPr>
        <w:instrText xml:space="preserve"> SEQ level0 \*arabic </w:instrText>
      </w:r>
      <w:r>
        <w:rPr>
          <w:lang w:val="en-GB"/>
        </w:rPr>
        <w:fldChar w:fldCharType="separate"/>
      </w:r>
      <w:r w:rsidR="008B3B68">
        <w:rPr>
          <w:noProof/>
          <w:lang w:val="en-GB"/>
        </w:rPr>
        <w:t>209</w:t>
      </w:r>
      <w:r>
        <w:rPr>
          <w:lang w:val="en-GB"/>
        </w:rPr>
        <w:fldChar w:fldCharType="end"/>
      </w:r>
      <w:r>
        <w:rPr>
          <w:lang w:val="en-GB"/>
        </w:rPr>
        <w:t>.  </w:t>
      </w:r>
      <w:r w:rsidRPr="00946159">
        <w:rPr>
          <w:lang w:val="en-GB"/>
        </w:rPr>
        <w:t xml:space="preserve">In the present case the applicants </w:t>
      </w:r>
      <w:r w:rsidR="00E57B74">
        <w:rPr>
          <w:lang w:val="en-GB"/>
        </w:rPr>
        <w:t>did</w:t>
      </w:r>
      <w:r w:rsidRPr="00946159">
        <w:rPr>
          <w:lang w:val="en-GB"/>
        </w:rPr>
        <w:t xml:space="preserve"> not allege that there were delays in paying the compensation awarded. </w:t>
      </w:r>
      <w:r w:rsidRPr="006839F9" w:rsidR="006839F9">
        <w:rPr>
          <w:lang w:val="en-GB"/>
        </w:rPr>
        <w:t xml:space="preserve">The Court would </w:t>
      </w:r>
      <w:r w:rsidR="00BC371A">
        <w:rPr>
          <w:lang w:val="en-GB"/>
        </w:rPr>
        <w:t xml:space="preserve">nonetheless </w:t>
      </w:r>
      <w:r w:rsidRPr="006839F9" w:rsidR="006839F9">
        <w:rPr>
          <w:lang w:val="en-GB"/>
        </w:rPr>
        <w:t>stress the fact that, in order to be effective, a compensatory remedy must be accompanied by adequate budgetary provision so that effect can be given</w:t>
      </w:r>
      <w:r w:rsidR="00E0289F">
        <w:rPr>
          <w:lang w:val="en-GB"/>
        </w:rPr>
        <w:t>,</w:t>
      </w:r>
      <w:r w:rsidRPr="006839F9" w:rsidR="006839F9">
        <w:rPr>
          <w:lang w:val="en-GB"/>
        </w:rPr>
        <w:t xml:space="preserve"> within six months of </w:t>
      </w:r>
      <w:r w:rsidR="00832C2A">
        <w:rPr>
          <w:lang w:val="en-GB"/>
        </w:rPr>
        <w:t xml:space="preserve">their being </w:t>
      </w:r>
      <w:r w:rsidRPr="006839F9" w:rsidR="006839F9">
        <w:rPr>
          <w:lang w:val="en-GB"/>
        </w:rPr>
        <w:t>deposit</w:t>
      </w:r>
      <w:r w:rsidR="00832C2A">
        <w:rPr>
          <w:lang w:val="en-GB"/>
        </w:rPr>
        <w:t>ed</w:t>
      </w:r>
      <w:r w:rsidRPr="006839F9" w:rsidR="006839F9">
        <w:rPr>
          <w:lang w:val="en-GB"/>
        </w:rPr>
        <w:t xml:space="preserve"> with the registry</w:t>
      </w:r>
      <w:r w:rsidR="00E0289F">
        <w:rPr>
          <w:lang w:val="en-GB"/>
        </w:rPr>
        <w:t>,</w:t>
      </w:r>
      <w:r w:rsidRPr="006839F9" w:rsidR="006839F9">
        <w:rPr>
          <w:lang w:val="en-GB"/>
        </w:rPr>
        <w:t xml:space="preserve"> to decisions of the courts of appeal awarding compensation, which, in accordance with the Pinto Act, are immediately enforceable (section 3(6) of the Pinto Act –</w:t>
      </w:r>
      <w:r w:rsidRPr="003C64CC" w:rsidR="003C64CC">
        <w:rPr>
          <w:lang w:val="en-GB"/>
        </w:rPr>
        <w:t xml:space="preserve"> see paragraph </w:t>
      </w:r>
      <w:r w:rsidR="006839F9">
        <w:rPr>
          <w:lang w:val="en-GB"/>
        </w:rPr>
        <w:t>62</w:t>
      </w:r>
      <w:r w:rsidRPr="003C64CC" w:rsidR="003C64CC">
        <w:rPr>
          <w:lang w:val="en-GB"/>
        </w:rPr>
        <w:t xml:space="preserve"> above)</w:t>
      </w:r>
      <w:r w:rsidRPr="00946159">
        <w:rPr>
          <w:lang w:val="en-GB" w:eastAsia="en-US"/>
        </w:rPr>
        <w:t>.</w:t>
      </w:r>
    </w:p>
    <w:p w:rsidR="00946159" w:rsidP="00946159" w:rsidRDefault="00946159">
      <w:pPr>
        <w:pStyle w:val="JuParaCharChar"/>
      </w:pPr>
      <w:r>
        <w:rPr>
          <w:lang w:eastAsia="en-US"/>
        </w:rPr>
        <w:fldChar w:fldCharType="begin"/>
      </w:r>
      <w:r>
        <w:rPr>
          <w:lang w:eastAsia="en-US"/>
        </w:rPr>
        <w:instrText xml:space="preserve"> SEQ level0 \*arabic </w:instrText>
      </w:r>
      <w:r>
        <w:rPr>
          <w:lang w:eastAsia="en-US"/>
        </w:rPr>
        <w:fldChar w:fldCharType="separate"/>
      </w:r>
      <w:r w:rsidR="008B3B68">
        <w:rPr>
          <w:noProof/>
          <w:lang w:eastAsia="en-US"/>
        </w:rPr>
        <w:t>210</w:t>
      </w:r>
      <w:r>
        <w:rPr>
          <w:lang w:eastAsia="en-US"/>
        </w:rPr>
        <w:fldChar w:fldCharType="end"/>
      </w:r>
      <w:r>
        <w:rPr>
          <w:lang w:eastAsia="en-US"/>
        </w:rPr>
        <w:t>.  </w:t>
      </w:r>
      <w:r>
        <w:t xml:space="preserve">As regards procedural costs, the applicants had to </w:t>
      </w:r>
      <w:r w:rsidR="00935681">
        <w:t>bear</w:t>
      </w:r>
      <w:r>
        <w:t xml:space="preserve"> costs amounting to approximately two</w:t>
      </w:r>
      <w:r w:rsidR="00C038B1">
        <w:t>-</w:t>
      </w:r>
      <w:r>
        <w:t xml:space="preserve">thirds of the compensation awarded. </w:t>
      </w:r>
      <w:r w:rsidR="0084190B">
        <w:t>In that connection</w:t>
      </w:r>
      <w:r w:rsidR="00D54CA3">
        <w:t>,</w:t>
      </w:r>
      <w:r w:rsidR="0084190B">
        <w:t xml:space="preserve"> the Court considers that the</w:t>
      </w:r>
      <w:r w:rsidR="000D0EA8">
        <w:t xml:space="preserve"> </w:t>
      </w:r>
      <w:r w:rsidR="00C038B1">
        <w:t>rate</w:t>
      </w:r>
      <w:r w:rsidR="0084190B">
        <w:t xml:space="preserve"> of procedural costs, and particularly </w:t>
      </w:r>
      <w:r>
        <w:t>certain fixed expenses (such as registration of the judicial decision)</w:t>
      </w:r>
      <w:r w:rsidR="0084190B">
        <w:t>,</w:t>
      </w:r>
      <w:r>
        <w:t xml:space="preserve"> may significantly hamper the efforts made by applicants to obtain compensation.</w:t>
      </w:r>
    </w:p>
    <w:p w:rsidR="0084190B" w:rsidP="0084190B" w:rsidRDefault="0084190B">
      <w:pPr>
        <w:pStyle w:val="JuParaCharChar"/>
      </w:pPr>
      <w:r>
        <w:fldChar w:fldCharType="begin"/>
      </w:r>
      <w:r>
        <w:instrText xml:space="preserve"> SEQ level0 \*arabic </w:instrText>
      </w:r>
      <w:r>
        <w:fldChar w:fldCharType="separate"/>
      </w:r>
      <w:r w:rsidR="008B3B68">
        <w:rPr>
          <w:noProof/>
        </w:rPr>
        <w:t>211</w:t>
      </w:r>
      <w:r>
        <w:fldChar w:fldCharType="end"/>
      </w:r>
      <w:r>
        <w:t xml:space="preserve">.  In assessing the amount of compensation awarded by the </w:t>
      </w:r>
      <w:r w:rsidR="008E72A5">
        <w:t xml:space="preserve">court of </w:t>
      </w:r>
      <w:r>
        <w:t xml:space="preserve">appeal, the Court </w:t>
      </w:r>
      <w:r w:rsidR="00BE1DF3">
        <w:t>considers</w:t>
      </w:r>
      <w:r>
        <w:t xml:space="preserve">, on the basis of the material in its possession, what it would have done in the same position for the period taken into account by the </w:t>
      </w:r>
      <w:r w:rsidR="00935681">
        <w:t xml:space="preserve">domestic </w:t>
      </w:r>
      <w:r>
        <w:t>court.</w:t>
      </w:r>
    </w:p>
    <w:p w:rsidR="00967E1F" w:rsidP="0084190B" w:rsidRDefault="0084190B">
      <w:pPr>
        <w:pStyle w:val="JuParaCharChar"/>
      </w:pPr>
      <w:r>
        <w:fldChar w:fldCharType="begin"/>
      </w:r>
      <w:r>
        <w:instrText xml:space="preserve"> SEQ level0 \*arabic </w:instrText>
      </w:r>
      <w:r>
        <w:fldChar w:fldCharType="separate"/>
      </w:r>
      <w:r w:rsidR="008B3B68">
        <w:rPr>
          <w:noProof/>
        </w:rPr>
        <w:t>212</w:t>
      </w:r>
      <w:r>
        <w:fldChar w:fldCharType="end"/>
      </w:r>
      <w:r>
        <w:t xml:space="preserve">.  According to the documents provided by the </w:t>
      </w:r>
      <w:r w:rsidR="00935681">
        <w:t>parties</w:t>
      </w:r>
      <w:r>
        <w:t xml:space="preserve"> for the hearing, there is no disproportion in </w:t>
      </w:r>
      <w:smartTag w:uri="urn:schemas-microsoft-com:office:smarttags" w:element="place">
        <w:smartTag w:uri="urn:schemas-microsoft-com:office:smarttags" w:element="country-region">
          <w:r>
            <w:t>Italy</w:t>
          </w:r>
        </w:smartTag>
      </w:smartTag>
      <w:r>
        <w:t xml:space="preserve"> between the amounts awarded</w:t>
      </w:r>
      <w:r w:rsidRPr="00B6343B">
        <w:t xml:space="preserve"> </w:t>
      </w:r>
      <w:r>
        <w:t>to heirs for non-pecuniary damage in the event of a relative</w:t>
      </w:r>
      <w:r w:rsidR="00E6191D">
        <w:t>’</w:t>
      </w:r>
      <w:r>
        <w:t xml:space="preserve">s death or those awarded for physical injury or in defamation cases and those generally awarded by the Court under Article </w:t>
      </w:r>
      <w:smartTag w:uri="urn:schemas-microsoft-com:office:smarttags" w:element="metricconverter">
        <w:smartTagPr>
          <w:attr w:name="ProductID" w:val="41 in"/>
        </w:smartTagPr>
        <w:r>
          <w:t>41 in</w:t>
        </w:r>
      </w:smartTag>
      <w:r>
        <w:t xml:space="preserve"> </w:t>
      </w:r>
      <w:r w:rsidR="00935681">
        <w:t>length-of-proceedings</w:t>
      </w:r>
      <w:r>
        <w:t xml:space="preserve"> case</w:t>
      </w:r>
      <w:r w:rsidR="00935681">
        <w:t>s</w:t>
      </w:r>
      <w:r>
        <w:t xml:space="preserve">. Accordingly, the level of compensation generally awarded by </w:t>
      </w:r>
      <w:r w:rsidR="00176B14">
        <w:t xml:space="preserve">the courts of </w:t>
      </w:r>
      <w:r>
        <w:t xml:space="preserve">appeal in </w:t>
      </w:r>
      <w:r w:rsidR="00252B28">
        <w:t>“</w:t>
      </w:r>
      <w:r>
        <w:t>Pinto</w:t>
      </w:r>
      <w:r w:rsidR="00252B28">
        <w:t>”</w:t>
      </w:r>
      <w:r>
        <w:t xml:space="preserve"> applications cannot be justified by this type of consideration.</w:t>
      </w:r>
    </w:p>
    <w:p w:rsidR="0084190B" w:rsidP="0084190B" w:rsidRDefault="0084190B">
      <w:pPr>
        <w:pStyle w:val="JuParaCharChar"/>
      </w:pPr>
      <w:r>
        <w:fldChar w:fldCharType="begin"/>
      </w:r>
      <w:r>
        <w:instrText xml:space="preserve"> SEQ level0 \*arabic </w:instrText>
      </w:r>
      <w:r>
        <w:fldChar w:fldCharType="separate"/>
      </w:r>
      <w:r w:rsidR="008B3B68">
        <w:rPr>
          <w:noProof/>
        </w:rPr>
        <w:t>213</w:t>
      </w:r>
      <w:r>
        <w:fldChar w:fldCharType="end"/>
      </w:r>
      <w:r>
        <w:t>.  </w:t>
      </w:r>
      <w:r w:rsidR="00635EE7">
        <w:t>Even if the method of calculation provided for in domestic law does not correspond</w:t>
      </w:r>
      <w:r w:rsidRPr="001F4999" w:rsidR="00635EE7">
        <w:t xml:space="preserve"> </w:t>
      </w:r>
      <w:r w:rsidR="00635EE7">
        <w:t>exactly to the criteria established by the Court, an analysis of the case-law</w:t>
      </w:r>
      <w:r w:rsidRPr="00737801" w:rsidR="00635EE7">
        <w:t xml:space="preserve"> </w:t>
      </w:r>
      <w:r w:rsidR="00635EE7">
        <w:t>should enable the courts of appeal to award sums that are not unreasonable in comparison with the awards made by the Court in similar cases</w:t>
      </w:r>
      <w:r>
        <w:t>.</w:t>
      </w:r>
    </w:p>
    <w:p w:rsidR="0084190B" w:rsidP="0084190B" w:rsidRDefault="0084190B">
      <w:pPr>
        <w:pStyle w:val="JuParaCharChar"/>
      </w:pPr>
      <w:r>
        <w:fldChar w:fldCharType="begin"/>
      </w:r>
      <w:r>
        <w:instrText xml:space="preserve"> SEQ level0 \*arabic </w:instrText>
      </w:r>
      <w:r>
        <w:fldChar w:fldCharType="separate"/>
      </w:r>
      <w:r w:rsidR="008B3B68">
        <w:rPr>
          <w:noProof/>
        </w:rPr>
        <w:t>214</w:t>
      </w:r>
      <w:r>
        <w:fldChar w:fldCharType="end"/>
      </w:r>
      <w:r>
        <w:t>.  In the instant case the Court notes that the Court of Appeal did not find that the conduct of the applicants had had a significant effect on the length of the proceedings. Nor did it find that the case was particularly complex. The Court of Appeal</w:t>
      </w:r>
      <w:r w:rsidR="00E6191D">
        <w:t>’</w:t>
      </w:r>
      <w:r w:rsidR="00B5210B">
        <w:t>s decision</w:t>
      </w:r>
      <w:r>
        <w:t xml:space="preserve"> appears to take account only of the excessive length, assessed at three years and six months, and the stakes involved in the dispute. The Court reiterates that the stakes involved in the dispute cannot be assessed </w:t>
      </w:r>
      <w:r w:rsidR="00176B14">
        <w:t>with</w:t>
      </w:r>
      <w:r>
        <w:t xml:space="preserve"> regard only to the final</w:t>
      </w:r>
      <w:r w:rsidR="00BB721F">
        <w:t xml:space="preserve"> </w:t>
      </w:r>
      <w:r>
        <w:t>outcome,</w:t>
      </w:r>
      <w:r w:rsidR="00104E6D">
        <w:t xml:space="preserve"> </w:t>
      </w:r>
      <w:r>
        <w:t xml:space="preserve">otherwise proceedings </w:t>
      </w:r>
      <w:r w:rsidR="004569A6">
        <w:t xml:space="preserve">that are still pending </w:t>
      </w:r>
      <w:r>
        <w:t xml:space="preserve">would </w:t>
      </w:r>
      <w:r w:rsidR="00BC371A">
        <w:t>have no value</w:t>
      </w:r>
      <w:r>
        <w:t>. Regard has to be had to the overall stakes involved in the dispute for the applicants.</w:t>
      </w:r>
    </w:p>
    <w:p w:rsidR="0084190B" w:rsidP="0084190B" w:rsidRDefault="0084190B">
      <w:pPr>
        <w:pStyle w:val="JuParaCharChar"/>
      </w:pPr>
      <w:r>
        <w:t xml:space="preserve">With regard to the </w:t>
      </w:r>
      <w:r w:rsidR="00635EE7">
        <w:t>amount awarded</w:t>
      </w:r>
      <w:r>
        <w:t xml:space="preserve">, </w:t>
      </w:r>
      <w:r w:rsidR="00384B54">
        <w:t xml:space="preserve">it would appear that </w:t>
      </w:r>
      <w:r>
        <w:t>EUR</w:t>
      </w:r>
      <w:r w:rsidR="00AF0A1F">
        <w:t xml:space="preserve"> </w:t>
      </w:r>
      <w:r>
        <w:t xml:space="preserve">2,450 </w:t>
      </w:r>
      <w:r w:rsidR="004569A6">
        <w:t>for a</w:t>
      </w:r>
      <w:r w:rsidRPr="004569A6" w:rsidR="004569A6">
        <w:t xml:space="preserve"> </w:t>
      </w:r>
      <w:r w:rsidR="004569A6">
        <w:t>delay of three</w:t>
      </w:r>
      <w:r>
        <w:t xml:space="preserve"> and a half years amounts to applying a rate of EUR</w:t>
      </w:r>
      <w:r w:rsidR="009E14C6">
        <w:t xml:space="preserve"> </w:t>
      </w:r>
      <w:r>
        <w:t>700 per annum, that is, EUR</w:t>
      </w:r>
      <w:r w:rsidR="00AF0A1F">
        <w:t xml:space="preserve"> </w:t>
      </w:r>
      <w:r>
        <w:t xml:space="preserve">175 </w:t>
      </w:r>
      <w:r w:rsidR="00176B14">
        <w:t>f</w:t>
      </w:r>
      <w:r>
        <w:t>or each applicant</w:t>
      </w:r>
      <w:r w:rsidR="00176B14">
        <w:t xml:space="preserve">. </w:t>
      </w:r>
      <w:r w:rsidR="00104E6D">
        <w:t xml:space="preserve">The Court observes that </w:t>
      </w:r>
      <w:r w:rsidR="00635EE7">
        <w:t>this</w:t>
      </w:r>
      <w:r w:rsidR="00BB721F">
        <w:t xml:space="preserve"> amount is approximately 10% o</w:t>
      </w:r>
      <w:r w:rsidR="00104E6D">
        <w:t xml:space="preserve">f </w:t>
      </w:r>
      <w:r w:rsidR="00635EE7">
        <w:t>what</w:t>
      </w:r>
      <w:r w:rsidR="00104E6D">
        <w:t xml:space="preserve"> it generally awards in similar Italian cases. That factor</w:t>
      </w:r>
      <w:r w:rsidR="00635EE7">
        <w:t xml:space="preserve"> in itself</w:t>
      </w:r>
      <w:r w:rsidR="002C33BD">
        <w:t xml:space="preserve"> lead</w:t>
      </w:r>
      <w:r w:rsidR="00104E6D">
        <w:t xml:space="preserve">s to a result that is manifestly unreasonable </w:t>
      </w:r>
      <w:r w:rsidR="00BB721F">
        <w:t>having regard</w:t>
      </w:r>
      <w:r w:rsidR="00104E6D">
        <w:t xml:space="preserve"> to </w:t>
      </w:r>
      <w:r w:rsidR="00BB721F">
        <w:t>its case-law</w:t>
      </w:r>
      <w:r w:rsidR="00104E6D">
        <w:t>.</w:t>
      </w:r>
      <w:r w:rsidR="002C33BD">
        <w:t xml:space="preserve"> It </w:t>
      </w:r>
      <w:r w:rsidR="00BB721F">
        <w:t>will</w:t>
      </w:r>
      <w:r w:rsidR="002C33BD">
        <w:t xml:space="preserve"> re</w:t>
      </w:r>
      <w:r w:rsidR="000D0EA8">
        <w:t>turn</w:t>
      </w:r>
      <w:r w:rsidR="002C33BD">
        <w:t xml:space="preserve"> to this matter in the context of Article 41 (see paragraphs 2</w:t>
      </w:r>
      <w:r w:rsidR="00635EE7">
        <w:t>7</w:t>
      </w:r>
      <w:r w:rsidR="00B5210B">
        <w:t>2</w:t>
      </w:r>
      <w:r w:rsidR="002C33BD">
        <w:t>-7</w:t>
      </w:r>
      <w:r w:rsidR="00B5210B">
        <w:t>3</w:t>
      </w:r>
      <w:r w:rsidR="002C33BD">
        <w:t xml:space="preserve"> below).</w:t>
      </w:r>
    </w:p>
    <w:p w:rsidRPr="00E57B74" w:rsidR="00D41C0E" w:rsidP="00E57B74" w:rsidRDefault="0084190B">
      <w:pPr>
        <w:pStyle w:val="JuPara"/>
        <w:rPr>
          <w:lang w:val="en-GB"/>
        </w:rPr>
      </w:pPr>
      <w:r>
        <w:fldChar w:fldCharType="begin"/>
      </w:r>
      <w:r w:rsidRPr="00E57B74">
        <w:rPr>
          <w:lang w:val="en-GB"/>
        </w:rPr>
        <w:instrText xml:space="preserve"> SEQ level0 \*arabic </w:instrText>
      </w:r>
      <w:r>
        <w:fldChar w:fldCharType="separate"/>
      </w:r>
      <w:r w:rsidR="008B3B68">
        <w:rPr>
          <w:noProof/>
          <w:lang w:val="en-GB"/>
        </w:rPr>
        <w:t>215</w:t>
      </w:r>
      <w:r>
        <w:fldChar w:fldCharType="end"/>
      </w:r>
      <w:r w:rsidRPr="00E57B74">
        <w:rPr>
          <w:lang w:val="en-GB"/>
        </w:rPr>
        <w:t>.  </w:t>
      </w:r>
      <w:r w:rsidRPr="00E57B74" w:rsidR="00E57B74">
        <w:rPr>
          <w:lang w:val="en-GB"/>
        </w:rPr>
        <w:t>In conclusion, and having regard to the fact that various requirements have not been satisfied, the Court considers that the redress was insufficient. As the second condition – appropriate and sufficient redress – has not been fulfilled, the Court considers that the applicant</w:t>
      </w:r>
      <w:r w:rsidR="00E57B74">
        <w:rPr>
          <w:lang w:val="en-GB"/>
        </w:rPr>
        <w:t>s</w:t>
      </w:r>
      <w:r w:rsidRPr="00E57B74" w:rsidR="00E57B74">
        <w:rPr>
          <w:lang w:val="en-GB"/>
        </w:rPr>
        <w:t xml:space="preserve"> can in the </w:t>
      </w:r>
      <w:r w:rsidR="00E57B74">
        <w:rPr>
          <w:lang w:val="en-GB"/>
        </w:rPr>
        <w:t>instant case still claim to be</w:t>
      </w:r>
      <w:r w:rsidRPr="00E57B74" w:rsidR="00E57B74">
        <w:rPr>
          <w:lang w:val="en-GB"/>
        </w:rPr>
        <w:t xml:space="preserve"> “victim</w:t>
      </w:r>
      <w:r w:rsidR="00E57B74">
        <w:rPr>
          <w:lang w:val="en-GB"/>
        </w:rPr>
        <w:t>s</w:t>
      </w:r>
      <w:r w:rsidRPr="00E57B74" w:rsidR="00E57B74">
        <w:rPr>
          <w:lang w:val="en-GB"/>
        </w:rPr>
        <w:t>”</w:t>
      </w:r>
      <w:r w:rsidR="000D0EA8">
        <w:rPr>
          <w:lang w:val="en-GB"/>
        </w:rPr>
        <w:t xml:space="preserve"> of a breach of the </w:t>
      </w:r>
      <w:r w:rsidR="00BE1DF3">
        <w:rPr>
          <w:lang w:val="en-GB"/>
        </w:rPr>
        <w:t>“</w:t>
      </w:r>
      <w:r w:rsidR="00C5575E">
        <w:rPr>
          <w:lang w:val="en-GB"/>
        </w:rPr>
        <w:t xml:space="preserve">reasonable </w:t>
      </w:r>
      <w:r w:rsidR="000D0EA8">
        <w:rPr>
          <w:lang w:val="en-GB"/>
        </w:rPr>
        <w:t>time</w:t>
      </w:r>
      <w:r w:rsidR="00BE1DF3">
        <w:rPr>
          <w:lang w:val="en-GB"/>
        </w:rPr>
        <w:t>”</w:t>
      </w:r>
      <w:r w:rsidRPr="00E57B74" w:rsidR="00E57B74">
        <w:rPr>
          <w:lang w:val="en-GB"/>
        </w:rPr>
        <w:t xml:space="preserve"> requirement.</w:t>
      </w:r>
    </w:p>
    <w:p w:rsidR="00D41C0E" w:rsidP="00D41C0E" w:rsidRDefault="00D41C0E">
      <w:pPr>
        <w:pStyle w:val="JuParaCharChar"/>
      </w:pPr>
      <w:r>
        <w:fldChar w:fldCharType="begin"/>
      </w:r>
      <w:r>
        <w:instrText xml:space="preserve"> SEQ level0 \*arabic </w:instrText>
      </w:r>
      <w:r>
        <w:fldChar w:fldCharType="separate"/>
      </w:r>
      <w:r w:rsidR="008B3B68">
        <w:rPr>
          <w:noProof/>
        </w:rPr>
        <w:t>216</w:t>
      </w:r>
      <w:r>
        <w:fldChar w:fldCharType="end"/>
      </w:r>
      <w:r>
        <w:t xml:space="preserve">.  Accordingly, this objection by the Government must also be </w:t>
      </w:r>
      <w:r w:rsidR="00E57B74">
        <w:t>dismissed</w:t>
      </w:r>
      <w:r>
        <w:t>.</w:t>
      </w:r>
    </w:p>
    <w:p w:rsidRPr="00176B14" w:rsidR="00D41C0E" w:rsidP="00124007" w:rsidRDefault="00967E1F">
      <w:pPr>
        <w:pStyle w:val="JuHA0"/>
        <w:outlineLvl w:val="0"/>
        <w:rPr>
          <w:lang w:val="en-GB"/>
        </w:rPr>
      </w:pPr>
      <w:r>
        <w:rPr>
          <w:lang w:val="en-GB"/>
        </w:rPr>
        <w:t>C.  </w:t>
      </w:r>
      <w:r w:rsidRPr="00176B14" w:rsidR="00D41C0E">
        <w:rPr>
          <w:lang w:val="en-GB"/>
        </w:rPr>
        <w:t>Compliance with Article 6 § 1 of the Convention</w:t>
      </w:r>
    </w:p>
    <w:p w:rsidR="00A117D4" w:rsidP="00B5210B" w:rsidRDefault="00A117D4">
      <w:pPr>
        <w:pStyle w:val="JuParaChar1Char"/>
      </w:pPr>
      <w:r>
        <w:fldChar w:fldCharType="begin"/>
      </w:r>
      <w:r>
        <w:instrText xml:space="preserve"> SEQ level0 \*arabic </w:instrText>
      </w:r>
      <w:r>
        <w:fldChar w:fldCharType="separate"/>
      </w:r>
      <w:r w:rsidR="008B3B68">
        <w:rPr>
          <w:noProof/>
        </w:rPr>
        <w:t>217</w:t>
      </w:r>
      <w:r>
        <w:fldChar w:fldCharType="end"/>
      </w:r>
      <w:r>
        <w:t>.  In its judgment</w:t>
      </w:r>
      <w:r w:rsidR="00176B14">
        <w:t>,</w:t>
      </w:r>
      <w:r>
        <w:t xml:space="preserve"> the Chamber found that there had been a breach of Article 6 § 1 because the length of the proceedings </w:t>
      </w:r>
      <w:r w:rsidR="000D0EA8">
        <w:t xml:space="preserve">did not satisfy the </w:t>
      </w:r>
      <w:r w:rsidR="00C5575E">
        <w:t>reasonable</w:t>
      </w:r>
      <w:r w:rsidR="00E0289F">
        <w:t>-</w:t>
      </w:r>
      <w:r w:rsidR="000D0EA8">
        <w:t>time</w:t>
      </w:r>
      <w:r>
        <w:t xml:space="preserve"> requirement and that this was another example of the practice referred to in </w:t>
      </w:r>
      <w:r w:rsidRPr="006E2A84">
        <w:rPr>
          <w:i/>
        </w:rPr>
        <w:t>Bottazzi</w:t>
      </w:r>
      <w:r>
        <w:t xml:space="preserve"> (see </w:t>
      </w:r>
      <w:r w:rsidR="00D54CA3">
        <w:t>p</w:t>
      </w:r>
      <w:r w:rsidR="008B3B68">
        <w:t>a</w:t>
      </w:r>
      <w:r w:rsidR="00D54CA3">
        <w:t>ragraphs</w:t>
      </w:r>
      <w:r>
        <w:t xml:space="preserve"> 69-70 of the Chamber judgment).</w:t>
      </w:r>
    </w:p>
    <w:p w:rsidR="007A6EB1" w:rsidP="00E6240A" w:rsidRDefault="00B5210B">
      <w:pPr>
        <w:pStyle w:val="JuParaChar1Char"/>
      </w:pPr>
      <w:r>
        <w:fldChar w:fldCharType="begin"/>
      </w:r>
      <w:r>
        <w:instrText xml:space="preserve"> SEQ level0 \*arabic </w:instrText>
      </w:r>
      <w:r>
        <w:fldChar w:fldCharType="separate"/>
      </w:r>
      <w:r w:rsidR="008B3B68">
        <w:rPr>
          <w:noProof/>
        </w:rPr>
        <w:t>218</w:t>
      </w:r>
      <w:r>
        <w:fldChar w:fldCharType="end"/>
      </w:r>
      <w:r>
        <w:t>.  The applicants complained of the derisory amount of damages awarded.</w:t>
      </w:r>
      <w:r w:rsidR="00E6240A">
        <w:t xml:space="preserve"> Nor did they </w:t>
      </w:r>
      <w:r w:rsidR="00A117D4">
        <w:t xml:space="preserve">see how the Pinto Act could prevent further violations and </w:t>
      </w:r>
      <w:r w:rsidR="00176B14">
        <w:t>pointed out</w:t>
      </w:r>
      <w:r w:rsidR="00A117D4">
        <w:t xml:space="preserve"> that the Committee of Ministers of the Council of Europe considered that the situation of length-of-proceedings cases in </w:t>
      </w:r>
      <w:smartTag w:uri="urn:schemas-microsoft-com:office:smarttags" w:element="place">
        <w:smartTag w:uri="urn:schemas-microsoft-com:office:smarttags" w:element="country-region">
          <w:r w:rsidR="00A117D4">
            <w:t>Italy</w:t>
          </w:r>
        </w:smartTag>
      </w:smartTag>
      <w:r w:rsidR="00A117D4">
        <w:t xml:space="preserve"> was still very serious.</w:t>
      </w:r>
      <w:r w:rsidR="00176B14">
        <w:t xml:space="preserve"> They therefore asked the Grand Chamber to endorse the wording of the Chamber judgment.</w:t>
      </w:r>
    </w:p>
    <w:p w:rsidR="00A117D4" w:rsidP="00A117D4" w:rsidRDefault="00E6240A">
      <w:pPr>
        <w:pStyle w:val="JuParaCharChar"/>
      </w:pPr>
      <w:r>
        <w:fldChar w:fldCharType="begin"/>
      </w:r>
      <w:r>
        <w:instrText xml:space="preserve"> SEQ level0 \*arabic </w:instrText>
      </w:r>
      <w:r>
        <w:fldChar w:fldCharType="separate"/>
      </w:r>
      <w:r w:rsidR="008B3B68">
        <w:rPr>
          <w:noProof/>
        </w:rPr>
        <w:t>219</w:t>
      </w:r>
      <w:r>
        <w:fldChar w:fldCharType="end"/>
      </w:r>
      <w:r>
        <w:t>.  </w:t>
      </w:r>
      <w:r w:rsidR="00A117D4">
        <w:t xml:space="preserve">The Government disputed the wording adopted in </w:t>
      </w:r>
      <w:r w:rsidRPr="006E2A84" w:rsidR="00A117D4">
        <w:rPr>
          <w:i/>
        </w:rPr>
        <w:t>Bottazzi</w:t>
      </w:r>
      <w:r w:rsidR="00A117D4">
        <w:t xml:space="preserve"> (cited above, § 22) regarding the existence of a “practice” </w:t>
      </w:r>
      <w:r>
        <w:t xml:space="preserve">incompatible with the Convention, </w:t>
      </w:r>
      <w:r w:rsidR="00A117D4">
        <w:t>since in the present case there had not been any tolerance on the part of the State, which had taken numerous measures, including the Pinto Act, to prevent further violations.</w:t>
      </w:r>
    </w:p>
    <w:p w:rsidRPr="00967E1F" w:rsidR="00A117D4" w:rsidP="00124007" w:rsidRDefault="00967E1F">
      <w:pPr>
        <w:pStyle w:val="JuH1"/>
        <w:ind w:left="431" w:firstLine="0"/>
        <w:outlineLvl w:val="0"/>
        <w:rPr>
          <w:lang w:val="en-GB"/>
        </w:rPr>
      </w:pPr>
      <w:r w:rsidRPr="00967E1F">
        <w:rPr>
          <w:lang w:val="en-GB"/>
        </w:rPr>
        <w:t>1. </w:t>
      </w:r>
      <w:r>
        <w:rPr>
          <w:lang w:val="en-GB"/>
        </w:rPr>
        <w:t> </w:t>
      </w:r>
      <w:r w:rsidRPr="00967E1F" w:rsidR="00A117D4">
        <w:rPr>
          <w:lang w:val="en-GB"/>
        </w:rPr>
        <w:t xml:space="preserve">Period to be </w:t>
      </w:r>
      <w:r w:rsidR="00BE1DF3">
        <w:rPr>
          <w:lang w:val="en-GB"/>
        </w:rPr>
        <w:t>taken into consideration</w:t>
      </w:r>
    </w:p>
    <w:p w:rsidR="00A117D4" w:rsidP="00A117D4" w:rsidRDefault="00A117D4">
      <w:pPr>
        <w:pStyle w:val="JuParaCharChar"/>
      </w:pPr>
      <w:r>
        <w:fldChar w:fldCharType="begin"/>
      </w:r>
      <w:r>
        <w:instrText xml:space="preserve"> SEQ level0 \*arabic </w:instrText>
      </w:r>
      <w:r>
        <w:fldChar w:fldCharType="separate"/>
      </w:r>
      <w:r w:rsidR="008B3B68">
        <w:rPr>
          <w:noProof/>
        </w:rPr>
        <w:t>220</w:t>
      </w:r>
      <w:r>
        <w:fldChar w:fldCharType="end"/>
      </w:r>
      <w:r>
        <w:t xml:space="preserve">.  The Court </w:t>
      </w:r>
      <w:r w:rsidR="00BE1DF3">
        <w:t>observes</w:t>
      </w:r>
      <w:r>
        <w:t xml:space="preserve"> that its case-law on the intervention of third parties in civil proceedings makes the following distinction: where the applicant has intervened in domestic proceedings only on his or her own behalf the period to be taken into consideration begins to run from that date, whereas if the applicant has declared his or her intention to continue the proceedings as heir he or she can complain of the entire length of the proceedings (see, as the most recent authority, </w:t>
      </w:r>
      <w:r w:rsidRPr="00FE64E6">
        <w:rPr>
          <w:i/>
        </w:rPr>
        <w:t>M.Ö. v. Turkey</w:t>
      </w:r>
      <w:r>
        <w:t>, no. 26136/95, § 25, 19 May 2005).</w:t>
      </w:r>
    </w:p>
    <w:p w:rsidR="000D0F06" w:rsidP="000D0F06" w:rsidRDefault="000D0F06">
      <w:pPr>
        <w:pStyle w:val="JuParaCharChar"/>
      </w:pPr>
      <w:r>
        <w:fldChar w:fldCharType="begin"/>
      </w:r>
      <w:r>
        <w:instrText xml:space="preserve"> SEQ level0 \*arabic </w:instrText>
      </w:r>
      <w:r>
        <w:fldChar w:fldCharType="separate"/>
      </w:r>
      <w:r w:rsidR="008B3B68">
        <w:rPr>
          <w:noProof/>
        </w:rPr>
        <w:t>221</w:t>
      </w:r>
      <w:r>
        <w:fldChar w:fldCharType="end"/>
      </w:r>
      <w:r>
        <w:t xml:space="preserve">.  The period to be taken into consideration therefore began on </w:t>
      </w:r>
      <w:smartTag w:uri="urn:schemas-microsoft-com:office:smarttags" w:element="date">
        <w:smartTagPr>
          <w:attr w:name="Month" w:val="5"/>
          <w:attr w:name="Day" w:val="25"/>
          <w:attr w:name="Year" w:val="1990"/>
        </w:smartTagPr>
        <w:r>
          <w:t>25 May 1990</w:t>
        </w:r>
      </w:smartTag>
      <w:r w:rsidR="00782AA6">
        <w:t>,</w:t>
      </w:r>
      <w:r>
        <w:t xml:space="preserve"> when </w:t>
      </w:r>
      <w:r w:rsidR="00E6240A">
        <w:t>Mr A. Scordino</w:t>
      </w:r>
      <w:r>
        <w:t xml:space="preserve"> brought proceedings against the defendants in the </w:t>
      </w:r>
      <w:smartTag w:uri="urn:schemas-microsoft-com:office:smarttags" w:element="place">
        <w:smartTag w:uri="urn:schemas-microsoft-com:office:smarttags" w:element="City">
          <w:r>
            <w:t>Reggio di Calabria</w:t>
          </w:r>
        </w:smartTag>
      </w:smartTag>
      <w:r>
        <w:t xml:space="preserve"> Court of Appeal, and ended on </w:t>
      </w:r>
      <w:smartTag w:uri="urn:schemas-microsoft-com:office:smarttags" w:element="date">
        <w:smartTagPr>
          <w:attr w:name="Month" w:val="12"/>
          <w:attr w:name="Day" w:val="7"/>
          <w:attr w:name="Year" w:val="1998"/>
        </w:smartTagPr>
        <w:r>
          <w:t>7 December 1998</w:t>
        </w:r>
      </w:smartTag>
      <w:r>
        <w:t>, when the Court of Cassation</w:t>
      </w:r>
      <w:r w:rsidR="00E6191D">
        <w:t>’</w:t>
      </w:r>
      <w:r>
        <w:t>s judgment was deposited with the registry. It therefore lasted just over eight and a half years for two levels of jurisdiction.</w:t>
      </w:r>
    </w:p>
    <w:p w:rsidR="000D0F06" w:rsidP="00124007" w:rsidRDefault="00967E1F">
      <w:pPr>
        <w:pStyle w:val="JuH1"/>
        <w:ind w:left="431" w:firstLine="0"/>
        <w:outlineLvl w:val="0"/>
        <w:rPr>
          <w:lang w:val="en-GB"/>
        </w:rPr>
      </w:pPr>
      <w:r>
        <w:rPr>
          <w:lang w:val="en-GB"/>
        </w:rPr>
        <w:t>2.  </w:t>
      </w:r>
      <w:r w:rsidRPr="000D0F06" w:rsidR="000D0F06">
        <w:rPr>
          <w:lang w:val="en-GB"/>
        </w:rPr>
        <w:t xml:space="preserve">Reasonableness of the length of </w:t>
      </w:r>
      <w:r w:rsidR="00853153">
        <w:rPr>
          <w:lang w:val="en-GB"/>
        </w:rPr>
        <w:t xml:space="preserve">the </w:t>
      </w:r>
      <w:r w:rsidRPr="000D0F06" w:rsidR="000D0F06">
        <w:rPr>
          <w:lang w:val="en-GB"/>
        </w:rPr>
        <w:t>proc</w:t>
      </w:r>
      <w:r w:rsidR="000D0F06">
        <w:rPr>
          <w:lang w:val="en-GB"/>
        </w:rPr>
        <w:t>eedings</w:t>
      </w:r>
    </w:p>
    <w:p w:rsidR="000D0F06" w:rsidP="000D0F06" w:rsidRDefault="000D0F06">
      <w:pPr>
        <w:pStyle w:val="JuParaCharChar"/>
      </w:pPr>
      <w:r>
        <w:fldChar w:fldCharType="begin"/>
      </w:r>
      <w:r>
        <w:instrText xml:space="preserve"> SEQ level0 \*arabic </w:instrText>
      </w:r>
      <w:r>
        <w:fldChar w:fldCharType="separate"/>
      </w:r>
      <w:r w:rsidR="008B3B68">
        <w:rPr>
          <w:noProof/>
        </w:rPr>
        <w:t>222</w:t>
      </w:r>
      <w:r>
        <w:fldChar w:fldCharType="end"/>
      </w:r>
      <w:r>
        <w:t>.  </w:t>
      </w:r>
      <w:r w:rsidRPr="003665CE">
        <w:t xml:space="preserve">The Court has already reiterated the reasons that led it to conclude in the four judgments against </w:t>
      </w:r>
      <w:smartTag w:uri="urn:schemas-microsoft-com:office:smarttags" w:element="country-region">
        <w:r w:rsidRPr="003665CE">
          <w:t>Italy</w:t>
        </w:r>
      </w:smartTag>
      <w:r w:rsidRPr="003665CE">
        <w:t xml:space="preserve"> of 28 July 1999 (</w:t>
      </w:r>
      <w:r w:rsidRPr="003665CE">
        <w:rPr>
          <w:i/>
          <w:lang w:eastAsia="en-US"/>
        </w:rPr>
        <w:t>Bottazzi</w:t>
      </w:r>
      <w:r w:rsidRPr="000D0EA8">
        <w:rPr>
          <w:lang w:eastAsia="en-US"/>
        </w:rPr>
        <w:t>,</w:t>
      </w:r>
      <w:r>
        <w:rPr>
          <w:lang w:eastAsia="en-US"/>
        </w:rPr>
        <w:t xml:space="preserve"> §</w:t>
      </w:r>
      <w:r w:rsidR="00AF0A1F">
        <w:rPr>
          <w:lang w:eastAsia="en-US"/>
        </w:rPr>
        <w:t xml:space="preserve"> </w:t>
      </w:r>
      <w:r>
        <w:rPr>
          <w:lang w:eastAsia="en-US"/>
        </w:rPr>
        <w:t>22</w:t>
      </w:r>
      <w:r w:rsidR="00D54CA3">
        <w:rPr>
          <w:lang w:eastAsia="en-US"/>
        </w:rPr>
        <w:t>;</w:t>
      </w:r>
      <w:r w:rsidRPr="003665CE">
        <w:rPr>
          <w:i/>
          <w:lang w:eastAsia="en-US"/>
        </w:rPr>
        <w:t xml:space="preserve"> Ferrari</w:t>
      </w:r>
      <w:r w:rsidRPr="003665CE">
        <w:rPr>
          <w:lang w:eastAsia="en-US"/>
        </w:rPr>
        <w:t xml:space="preserve">, </w:t>
      </w:r>
      <w:r>
        <w:rPr>
          <w:lang w:eastAsia="en-US"/>
        </w:rPr>
        <w:t>§</w:t>
      </w:r>
      <w:r w:rsidR="00AF0A1F">
        <w:rPr>
          <w:lang w:eastAsia="en-US"/>
        </w:rPr>
        <w:t xml:space="preserve"> </w:t>
      </w:r>
      <w:r>
        <w:rPr>
          <w:lang w:eastAsia="en-US"/>
        </w:rPr>
        <w:t>21;</w:t>
      </w:r>
      <w:r w:rsidRPr="003665CE">
        <w:rPr>
          <w:lang w:eastAsia="en-US"/>
        </w:rPr>
        <w:t xml:space="preserve"> </w:t>
      </w:r>
      <w:r w:rsidRPr="003665CE">
        <w:rPr>
          <w:i/>
          <w:lang w:eastAsia="en-US"/>
        </w:rPr>
        <w:t>A.P.</w:t>
      </w:r>
      <w:r w:rsidR="00924643">
        <w:rPr>
          <w:i/>
          <w:lang w:eastAsia="en-US"/>
        </w:rPr>
        <w:t xml:space="preserve"> v. Italy</w:t>
      </w:r>
      <w:r w:rsidRPr="000D0EA8">
        <w:rPr>
          <w:lang w:eastAsia="en-US"/>
        </w:rPr>
        <w:t>,</w:t>
      </w:r>
      <w:r>
        <w:rPr>
          <w:lang w:eastAsia="en-US"/>
        </w:rPr>
        <w:t xml:space="preserve"> §</w:t>
      </w:r>
      <w:r w:rsidR="00AF0A1F">
        <w:rPr>
          <w:lang w:eastAsia="en-US"/>
        </w:rPr>
        <w:t xml:space="preserve"> </w:t>
      </w:r>
      <w:r>
        <w:rPr>
          <w:lang w:eastAsia="en-US"/>
        </w:rPr>
        <w:t>18; and</w:t>
      </w:r>
      <w:r w:rsidRPr="003665CE">
        <w:rPr>
          <w:lang w:eastAsia="en-US"/>
        </w:rPr>
        <w:t xml:space="preserve"> </w:t>
      </w:r>
      <w:r w:rsidR="007A6EB1">
        <w:rPr>
          <w:i/>
          <w:lang w:val="pt-BR" w:eastAsia="en-US"/>
        </w:rPr>
        <w:t>Di</w:t>
      </w:r>
      <w:r w:rsidR="00924643">
        <w:rPr>
          <w:i/>
          <w:lang w:val="pt-BR" w:eastAsia="en-US"/>
        </w:rPr>
        <w:t xml:space="preserve"> </w:t>
      </w:r>
      <w:r>
        <w:rPr>
          <w:i/>
          <w:lang w:val="pt-BR" w:eastAsia="en-US"/>
        </w:rPr>
        <w:t>Mauro</w:t>
      </w:r>
      <w:r w:rsidR="00924643">
        <w:rPr>
          <w:lang w:val="pt-BR" w:eastAsia="en-US"/>
        </w:rPr>
        <w:t>,</w:t>
      </w:r>
      <w:r w:rsidRPr="003665CE">
        <w:rPr>
          <w:lang w:eastAsia="en-US"/>
        </w:rPr>
        <w:t xml:space="preserve"> </w:t>
      </w:r>
      <w:r>
        <w:rPr>
          <w:lang w:val="pt-BR" w:eastAsia="en-US"/>
        </w:rPr>
        <w:t>§ 23</w:t>
      </w:r>
      <w:r w:rsidRPr="003665CE">
        <w:t xml:space="preserve">) </w:t>
      </w:r>
      <w:r>
        <w:t xml:space="preserve">that there was a practice in </w:t>
      </w:r>
      <w:smartTag w:uri="urn:schemas-microsoft-com:office:smarttags" w:element="place">
        <w:smartTag w:uri="urn:schemas-microsoft-com:office:smarttags" w:element="country-region">
          <w:r>
            <w:t>Italy</w:t>
          </w:r>
        </w:smartTag>
      </w:smartTag>
      <w:r w:rsidRPr="003665CE">
        <w:t xml:space="preserve"> (</w:t>
      </w:r>
      <w:r>
        <w:t>see paragraph</w:t>
      </w:r>
      <w:r w:rsidRPr="003665CE">
        <w:t xml:space="preserve"> </w:t>
      </w:r>
      <w:r>
        <w:t>1</w:t>
      </w:r>
      <w:r w:rsidR="002A347E">
        <w:t>7</w:t>
      </w:r>
      <w:r w:rsidR="00E6240A">
        <w:t>5</w:t>
      </w:r>
      <w:r w:rsidRPr="003665CE">
        <w:t xml:space="preserve"> </w:t>
      </w:r>
      <w:r>
        <w:t>above</w:t>
      </w:r>
      <w:r w:rsidRPr="003665CE">
        <w:t>).</w:t>
      </w:r>
    </w:p>
    <w:p w:rsidR="000D0F06" w:rsidP="000D0F06" w:rsidRDefault="000D0F06">
      <w:pPr>
        <w:pStyle w:val="JuPara"/>
        <w:rPr>
          <w:lang w:val="en-GB"/>
        </w:rPr>
      </w:pPr>
      <w:r>
        <w:fldChar w:fldCharType="begin"/>
      </w:r>
      <w:r w:rsidRPr="000D0F06">
        <w:rPr>
          <w:lang w:val="en-GB"/>
        </w:rPr>
        <w:instrText xml:space="preserve"> SEQ level0 \*arabic </w:instrText>
      </w:r>
      <w:r>
        <w:fldChar w:fldCharType="separate"/>
      </w:r>
      <w:r w:rsidR="008B3B68">
        <w:rPr>
          <w:noProof/>
          <w:lang w:val="en-GB"/>
        </w:rPr>
        <w:t>223</w:t>
      </w:r>
      <w:r>
        <w:fldChar w:fldCharType="end"/>
      </w:r>
      <w:r w:rsidRPr="000D0F06">
        <w:rPr>
          <w:lang w:val="en-GB"/>
        </w:rPr>
        <w:t>.  </w:t>
      </w:r>
      <w:r w:rsidR="009A2466">
        <w:rPr>
          <w:lang w:val="en-GB"/>
        </w:rPr>
        <w:t>It</w:t>
      </w:r>
      <w:r w:rsidR="00256982">
        <w:rPr>
          <w:lang w:val="en-GB"/>
        </w:rPr>
        <w:t xml:space="preserve"> </w:t>
      </w:r>
      <w:r w:rsidRPr="000D0F06">
        <w:rPr>
          <w:lang w:val="en-GB"/>
        </w:rPr>
        <w:t xml:space="preserve">notes </w:t>
      </w:r>
      <w:r w:rsidRPr="00256982" w:rsidR="00256982">
        <w:rPr>
          <w:lang w:val="en-GB"/>
        </w:rPr>
        <w:t>that, as the Government have stressed, a domestic remedy has since been introduced</w:t>
      </w:r>
      <w:r w:rsidRPr="000D0F06">
        <w:rPr>
          <w:lang w:val="en-GB"/>
        </w:rPr>
        <w:t xml:space="preserve">. However, that has not changed the substantive problem, namely, the fact that the length of proceedings in </w:t>
      </w:r>
      <w:smartTag w:uri="urn:schemas-microsoft-com:office:smarttags" w:element="place">
        <w:smartTag w:uri="urn:schemas-microsoft-com:office:smarttags" w:element="country-region">
          <w:r w:rsidRPr="000D0F06">
            <w:rPr>
              <w:lang w:val="en-GB"/>
            </w:rPr>
            <w:t>Italy</w:t>
          </w:r>
        </w:smartTag>
      </w:smartTag>
      <w:r w:rsidRPr="000D0F06">
        <w:rPr>
          <w:lang w:val="en-GB"/>
        </w:rPr>
        <w:t xml:space="preserve"> continues to be excessive. The annual reports of the Committee of Ministers on the excessive length of judicial proceedings in </w:t>
      </w:r>
      <w:smartTag w:uri="urn:schemas-microsoft-com:office:smarttags" w:element="place">
        <w:smartTag w:uri="urn:schemas-microsoft-com:office:smarttags" w:element="country-region">
          <w:r w:rsidRPr="000D0F06">
            <w:rPr>
              <w:lang w:val="en-GB"/>
            </w:rPr>
            <w:t>Italy</w:t>
          </w:r>
        </w:smartTag>
      </w:smartTag>
      <w:r w:rsidRPr="000D0F06">
        <w:rPr>
          <w:lang w:val="en-GB"/>
        </w:rPr>
        <w:t xml:space="preserve"> (see, </w:t>
      </w:r>
      <w:r w:rsidRPr="000D0F06">
        <w:rPr>
          <w:i/>
          <w:lang w:val="en-GB"/>
        </w:rPr>
        <w:t>inter alia</w:t>
      </w:r>
      <w:r w:rsidRPr="000D0F06">
        <w:rPr>
          <w:lang w:val="en-GB"/>
        </w:rPr>
        <w:t xml:space="preserve">, </w:t>
      </w:r>
      <w:smartTag w:uri="urn:schemas-microsoft-com:office:smarttags" w:element="PersonName">
        <w:r w:rsidRPr="000D0F06">
          <w:rPr>
            <w:lang w:val="en-GB"/>
          </w:rPr>
          <w:t>CM</w:t>
        </w:r>
      </w:smartTag>
      <w:r w:rsidRPr="000D0F06">
        <w:rPr>
          <w:lang w:val="en-GB"/>
        </w:rPr>
        <w:t>/Inf/DH(2004)23 revised</w:t>
      </w:r>
      <w:r w:rsidR="00AD74FD">
        <w:rPr>
          <w:lang w:val="en-GB"/>
        </w:rPr>
        <w:t>,</w:t>
      </w:r>
      <w:r w:rsidR="00CD403A">
        <w:rPr>
          <w:lang w:val="en-GB"/>
        </w:rPr>
        <w:t xml:space="preserve"> and Interim Resolution ResDH(2005)114</w:t>
      </w:r>
      <w:r w:rsidRPr="000D0F06">
        <w:rPr>
          <w:lang w:val="en-GB"/>
        </w:rPr>
        <w:t>) scarcely seem to reflect substantial changes in this area. Like the applicant</w:t>
      </w:r>
      <w:r w:rsidR="00FE31F5">
        <w:rPr>
          <w:lang w:val="en-GB"/>
        </w:rPr>
        <w:t>s</w:t>
      </w:r>
      <w:r w:rsidRPr="000D0F06">
        <w:rPr>
          <w:lang w:val="en-GB"/>
        </w:rPr>
        <w:t xml:space="preserve">, the Court does not see how the introduction of the Pinto remedy at domestic level has </w:t>
      </w:r>
      <w:r w:rsidR="009739BA">
        <w:rPr>
          <w:lang w:val="en-GB"/>
        </w:rPr>
        <w:t xml:space="preserve">solved the problem of </w:t>
      </w:r>
      <w:r w:rsidR="00BC371A">
        <w:rPr>
          <w:lang w:val="en-GB"/>
        </w:rPr>
        <w:t>excessively lengthy</w:t>
      </w:r>
      <w:r w:rsidR="009739BA">
        <w:rPr>
          <w:lang w:val="en-GB"/>
        </w:rPr>
        <w:t xml:space="preserve"> proceedings</w:t>
      </w:r>
      <w:r w:rsidRPr="000D0F06">
        <w:rPr>
          <w:lang w:val="en-GB"/>
        </w:rPr>
        <w:t xml:space="preserve">. It has admittedly </w:t>
      </w:r>
      <w:r w:rsidR="00BC371A">
        <w:rPr>
          <w:lang w:val="en-GB"/>
        </w:rPr>
        <w:t>saved</w:t>
      </w:r>
      <w:r w:rsidRPr="000D0F06" w:rsidR="00BC371A">
        <w:rPr>
          <w:lang w:val="en-GB"/>
        </w:rPr>
        <w:t xml:space="preserve"> </w:t>
      </w:r>
      <w:r w:rsidRPr="000D0F06">
        <w:rPr>
          <w:lang w:val="en-GB"/>
        </w:rPr>
        <w:t>the Court</w:t>
      </w:r>
      <w:r w:rsidR="00BC371A">
        <w:rPr>
          <w:lang w:val="en-GB"/>
        </w:rPr>
        <w:t xml:space="preserve"> the trouble of </w:t>
      </w:r>
      <w:r w:rsidRPr="000D0F06">
        <w:rPr>
          <w:lang w:val="en-GB"/>
        </w:rPr>
        <w:t xml:space="preserve">finding these violations, but the task has simply been transferred to the courts of appeal, which </w:t>
      </w:r>
      <w:r w:rsidR="00782AA6">
        <w:rPr>
          <w:lang w:val="en-GB"/>
        </w:rPr>
        <w:t>were</w:t>
      </w:r>
      <w:r w:rsidRPr="000D0F06">
        <w:rPr>
          <w:lang w:val="en-GB"/>
        </w:rPr>
        <w:t xml:space="preserve"> already overburdened</w:t>
      </w:r>
      <w:r w:rsidR="00FE31F5">
        <w:rPr>
          <w:lang w:val="en-GB"/>
        </w:rPr>
        <w:t xml:space="preserve"> themselves</w:t>
      </w:r>
      <w:r w:rsidRPr="000D0F06">
        <w:rPr>
          <w:lang w:val="en-GB"/>
        </w:rPr>
        <w:t xml:space="preserve">. Furthermore, given the occasional </w:t>
      </w:r>
      <w:r w:rsidR="00782AA6">
        <w:rPr>
          <w:lang w:val="en-GB"/>
        </w:rPr>
        <w:t>divergence</w:t>
      </w:r>
      <w:r w:rsidRPr="000D0F06">
        <w:rPr>
          <w:lang w:val="en-GB"/>
        </w:rPr>
        <w:t xml:space="preserve"> between the case-law of the Court of Cassation (see paragraphs </w:t>
      </w:r>
      <w:r w:rsidR="00782AA6">
        <w:rPr>
          <w:lang w:val="en-GB"/>
        </w:rPr>
        <w:t>63</w:t>
      </w:r>
      <w:r w:rsidRPr="000D0F06">
        <w:rPr>
          <w:lang w:val="en-GB"/>
        </w:rPr>
        <w:t>-</w:t>
      </w:r>
      <w:r w:rsidR="00E6240A">
        <w:rPr>
          <w:lang w:val="en-GB"/>
        </w:rPr>
        <w:t>70</w:t>
      </w:r>
      <w:r w:rsidR="00782AA6">
        <w:rPr>
          <w:lang w:val="en-GB"/>
        </w:rPr>
        <w:t xml:space="preserve"> above</w:t>
      </w:r>
      <w:r w:rsidRPr="000D0F06">
        <w:rPr>
          <w:lang w:val="en-GB"/>
        </w:rPr>
        <w:t>) and that of the Court, the latter is again required to give a decision as to the existence of such</w:t>
      </w:r>
      <w:r>
        <w:rPr>
          <w:lang w:val="en-GB"/>
        </w:rPr>
        <w:t xml:space="preserve"> violations.</w:t>
      </w:r>
    </w:p>
    <w:p w:rsidR="000D0F06" w:rsidP="000D0F06" w:rsidRDefault="000D0F06">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224</w:t>
      </w:r>
      <w:r>
        <w:rPr>
          <w:lang w:val="en-GB"/>
        </w:rPr>
        <w:fldChar w:fldCharType="end"/>
      </w:r>
      <w:r>
        <w:rPr>
          <w:lang w:val="en-GB"/>
        </w:rPr>
        <w:t>.  </w:t>
      </w:r>
      <w:r w:rsidRPr="000D0F06">
        <w:rPr>
          <w:lang w:val="en-GB"/>
        </w:rPr>
        <w:t xml:space="preserve">The Court emphasises once again that Article 6 § 1 of the Convention obliges the Contracting States to organise their legal systems so as to enable the courts to comply with its various requirements. It wishes to reaffirm the importance of administering justice without delays which might jeopardise its effectiveness and credibility (see </w:t>
      </w:r>
      <w:r w:rsidRPr="000D0F06">
        <w:rPr>
          <w:i/>
          <w:lang w:val="en-GB"/>
        </w:rPr>
        <w:t>Bottazzi</w:t>
      </w:r>
      <w:r w:rsidRPr="000D0F06">
        <w:rPr>
          <w:lang w:val="en-GB"/>
        </w:rPr>
        <w:t xml:space="preserve">, cited above, § 22). </w:t>
      </w:r>
      <w:r w:rsidR="00782AA6">
        <w:rPr>
          <w:lang w:val="en-GB"/>
        </w:rPr>
        <w:t>I</w:t>
      </w:r>
      <w:r w:rsidRPr="000D0F06">
        <w:rPr>
          <w:lang w:val="en-GB"/>
        </w:rPr>
        <w:t>taly</w:t>
      </w:r>
      <w:r w:rsidR="00E6191D">
        <w:rPr>
          <w:lang w:val="en-GB"/>
        </w:rPr>
        <w:t>’</w:t>
      </w:r>
      <w:r w:rsidR="00782AA6">
        <w:rPr>
          <w:lang w:val="en-GB"/>
        </w:rPr>
        <w:t>s position</w:t>
      </w:r>
      <w:r w:rsidRPr="000D0F06">
        <w:rPr>
          <w:lang w:val="en-GB"/>
        </w:rPr>
        <w:t xml:space="preserve"> in this regard has not changed sufficiently to </w:t>
      </w:r>
      <w:r w:rsidR="00782AA6">
        <w:rPr>
          <w:lang w:val="en-GB"/>
        </w:rPr>
        <w:t>call into question</w:t>
      </w:r>
      <w:r w:rsidRPr="000D0F06">
        <w:rPr>
          <w:lang w:val="en-GB"/>
        </w:rPr>
        <w:t xml:space="preserve"> the conclusion that this accumulation of breaches constitutes a practice that is incompatible with the Convention.</w:t>
      </w:r>
    </w:p>
    <w:p w:rsidR="000D0F06" w:rsidP="000D0F06" w:rsidRDefault="000D0F06">
      <w:pPr>
        <w:pStyle w:val="JuPara"/>
        <w:rPr>
          <w:color w:val="000000"/>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225</w:t>
      </w:r>
      <w:r>
        <w:rPr>
          <w:lang w:val="en-GB"/>
        </w:rPr>
        <w:fldChar w:fldCharType="end"/>
      </w:r>
      <w:r>
        <w:rPr>
          <w:lang w:val="en-GB"/>
        </w:rPr>
        <w:t>.  </w:t>
      </w:r>
      <w:r w:rsidRPr="000D0F06">
        <w:rPr>
          <w:color w:val="000000"/>
          <w:lang w:val="en-GB"/>
        </w:rPr>
        <w:t>The Court notes that in the present case the Court of Appeal found that a reasonable time had been excee</w:t>
      </w:r>
      <w:r w:rsidR="00267B7D">
        <w:rPr>
          <w:color w:val="000000"/>
          <w:lang w:val="en-GB"/>
        </w:rPr>
        <w:t>ded</w:t>
      </w:r>
      <w:r w:rsidRPr="000D0F06">
        <w:rPr>
          <w:color w:val="000000"/>
          <w:lang w:val="en-GB"/>
        </w:rPr>
        <w:t>. However, the fact that the “Pinto” proceedings</w:t>
      </w:r>
      <w:r w:rsidR="00267B7D">
        <w:rPr>
          <w:color w:val="000000"/>
          <w:lang w:val="en-GB"/>
        </w:rPr>
        <w:t>, examined as a whole,</w:t>
      </w:r>
      <w:r w:rsidRPr="000D0F06">
        <w:rPr>
          <w:color w:val="000000"/>
          <w:lang w:val="en-GB"/>
        </w:rPr>
        <w:t xml:space="preserve"> did not cause the applicant</w:t>
      </w:r>
      <w:r>
        <w:rPr>
          <w:color w:val="000000"/>
          <w:lang w:val="en-GB"/>
        </w:rPr>
        <w:t>s</w:t>
      </w:r>
      <w:r w:rsidRPr="000D0F06">
        <w:rPr>
          <w:color w:val="000000"/>
          <w:lang w:val="en-GB"/>
        </w:rPr>
        <w:t xml:space="preserve"> to lose </w:t>
      </w:r>
      <w:r>
        <w:rPr>
          <w:color w:val="000000"/>
          <w:lang w:val="en-GB"/>
        </w:rPr>
        <w:t>their</w:t>
      </w:r>
      <w:r w:rsidRPr="000D0F06">
        <w:rPr>
          <w:color w:val="000000"/>
          <w:lang w:val="en-GB"/>
        </w:rPr>
        <w:t xml:space="preserve"> “victim” status constitutes an aggravating circumstance regarding a breach of Article 6 §</w:t>
      </w:r>
      <w:r w:rsidR="00267B7D">
        <w:rPr>
          <w:color w:val="000000"/>
          <w:lang w:val="en-GB"/>
        </w:rPr>
        <w:t xml:space="preserve"> 1 for exceeding the reasonable </w:t>
      </w:r>
      <w:r w:rsidRPr="000D0F06">
        <w:rPr>
          <w:color w:val="000000"/>
          <w:lang w:val="en-GB"/>
        </w:rPr>
        <w:t>time</w:t>
      </w:r>
      <w:r w:rsidR="00267B7D">
        <w:rPr>
          <w:color w:val="000000"/>
          <w:lang w:val="en-GB"/>
        </w:rPr>
        <w:t>. T</w:t>
      </w:r>
      <w:r w:rsidRPr="000D0F06">
        <w:rPr>
          <w:color w:val="000000"/>
          <w:lang w:val="en-GB"/>
        </w:rPr>
        <w:t>he Court</w:t>
      </w:r>
      <w:r w:rsidR="00267B7D">
        <w:rPr>
          <w:color w:val="000000"/>
          <w:lang w:val="en-GB"/>
        </w:rPr>
        <w:t xml:space="preserve"> will therefore</w:t>
      </w:r>
      <w:r w:rsidRPr="000D0F06">
        <w:rPr>
          <w:color w:val="000000"/>
          <w:lang w:val="en-GB"/>
        </w:rPr>
        <w:t xml:space="preserve"> </w:t>
      </w:r>
      <w:r w:rsidR="00FE31F5">
        <w:rPr>
          <w:color w:val="000000"/>
          <w:lang w:val="en-GB"/>
        </w:rPr>
        <w:t>re</w:t>
      </w:r>
      <w:r w:rsidR="000D0EA8">
        <w:rPr>
          <w:color w:val="000000"/>
          <w:lang w:val="en-GB"/>
        </w:rPr>
        <w:t>turn</w:t>
      </w:r>
      <w:r w:rsidRPr="000D0F06">
        <w:rPr>
          <w:color w:val="000000"/>
          <w:lang w:val="en-GB"/>
        </w:rPr>
        <w:t xml:space="preserve"> to this issue </w:t>
      </w:r>
      <w:r w:rsidR="000D0EA8">
        <w:rPr>
          <w:color w:val="000000"/>
          <w:lang w:val="en-GB"/>
        </w:rPr>
        <w:t>in the context of</w:t>
      </w:r>
      <w:r w:rsidRPr="000D0F06">
        <w:rPr>
          <w:color w:val="000000"/>
          <w:lang w:val="en-GB"/>
        </w:rPr>
        <w:t xml:space="preserve"> Article 41.</w:t>
      </w:r>
    </w:p>
    <w:p w:rsidR="00967E1F" w:rsidP="000D0F06" w:rsidRDefault="000D0F06">
      <w:pPr>
        <w:ind w:firstLine="284"/>
        <w:jc w:val="both"/>
        <w:rPr>
          <w:color w:val="000000"/>
        </w:rPr>
      </w:pPr>
      <w:r>
        <w:rPr>
          <w:color w:val="000000"/>
        </w:rPr>
        <w:fldChar w:fldCharType="begin"/>
      </w:r>
      <w:r>
        <w:rPr>
          <w:color w:val="000000"/>
        </w:rPr>
        <w:instrText xml:space="preserve"> SEQ level0 \*arabic </w:instrText>
      </w:r>
      <w:r>
        <w:rPr>
          <w:color w:val="000000"/>
        </w:rPr>
        <w:fldChar w:fldCharType="separate"/>
      </w:r>
      <w:r w:rsidR="008B3B68">
        <w:rPr>
          <w:noProof/>
          <w:color w:val="000000"/>
        </w:rPr>
        <w:t>226</w:t>
      </w:r>
      <w:r>
        <w:rPr>
          <w:color w:val="000000"/>
        </w:rPr>
        <w:fldChar w:fldCharType="end"/>
      </w:r>
      <w:r>
        <w:rPr>
          <w:color w:val="000000"/>
        </w:rPr>
        <w:t>.  </w:t>
      </w:r>
      <w:r w:rsidR="009313EB">
        <w:t xml:space="preserve">After </w:t>
      </w:r>
      <w:r w:rsidRPr="00B85940" w:rsidR="009313EB">
        <w:t>examin</w:t>
      </w:r>
      <w:r w:rsidR="009313EB">
        <w:t>ing</w:t>
      </w:r>
      <w:r w:rsidRPr="00B85940" w:rsidR="009313EB">
        <w:t xml:space="preserve"> the facts in the light of the information provided by the parties </w:t>
      </w:r>
      <w:r w:rsidR="009313EB">
        <w:t>and the aforementioned practice, and h</w:t>
      </w:r>
      <w:r w:rsidRPr="00B85940" w:rsidR="009313EB">
        <w:t>aving regard to its case-law</w:t>
      </w:r>
      <w:r w:rsidR="009313EB">
        <w:t xml:space="preserve"> on the subject</w:t>
      </w:r>
      <w:r w:rsidRPr="00B85940" w:rsidR="009313EB">
        <w:t>, the Court considers that in the present case the length of the proceedings was ex</w:t>
      </w:r>
      <w:r w:rsidR="000D0EA8">
        <w:t xml:space="preserve">cessive and failed to meet the </w:t>
      </w:r>
      <w:r w:rsidR="00AC1BB5">
        <w:t>“</w:t>
      </w:r>
      <w:r w:rsidR="009313EB">
        <w:t>reasonable</w:t>
      </w:r>
      <w:r w:rsidR="00AC1BB5">
        <w:t xml:space="preserve"> </w:t>
      </w:r>
      <w:r w:rsidR="009313EB">
        <w:t>time</w:t>
      </w:r>
      <w:r w:rsidR="00AC1BB5">
        <w:t>”</w:t>
      </w:r>
      <w:r w:rsidRPr="00B85940" w:rsidR="009313EB">
        <w:t xml:space="preserve"> requirement</w:t>
      </w:r>
      <w:r w:rsidRPr="00B85940">
        <w:rPr>
          <w:color w:val="000000"/>
        </w:rPr>
        <w:t>.</w:t>
      </w:r>
    </w:p>
    <w:p w:rsidR="000D0F06" w:rsidP="000D0F06" w:rsidRDefault="000D0F06">
      <w:pPr>
        <w:ind w:firstLine="284"/>
        <w:jc w:val="both"/>
        <w:rPr>
          <w:color w:val="000000"/>
        </w:rPr>
      </w:pPr>
      <w:r>
        <w:rPr>
          <w:color w:val="000000"/>
        </w:rPr>
        <w:fldChar w:fldCharType="begin"/>
      </w:r>
      <w:r>
        <w:rPr>
          <w:color w:val="000000"/>
        </w:rPr>
        <w:instrText xml:space="preserve"> SEQ level0 \*arabic </w:instrText>
      </w:r>
      <w:r>
        <w:rPr>
          <w:color w:val="000000"/>
        </w:rPr>
        <w:fldChar w:fldCharType="separate"/>
      </w:r>
      <w:r w:rsidR="008B3B68">
        <w:rPr>
          <w:noProof/>
          <w:color w:val="000000"/>
        </w:rPr>
        <w:t>227</w:t>
      </w:r>
      <w:r>
        <w:rPr>
          <w:color w:val="000000"/>
        </w:rPr>
        <w:fldChar w:fldCharType="end"/>
      </w:r>
      <w:r>
        <w:rPr>
          <w:color w:val="000000"/>
        </w:rPr>
        <w:t>.  </w:t>
      </w:r>
      <w:r w:rsidRPr="00B85940">
        <w:rPr>
          <w:color w:val="000000"/>
        </w:rPr>
        <w:t>Accordingly, there has been a violation of Article 6 §</w:t>
      </w:r>
      <w:r w:rsidR="00AF0A1F">
        <w:rPr>
          <w:color w:val="000000"/>
        </w:rPr>
        <w:t xml:space="preserve"> </w:t>
      </w:r>
      <w:r w:rsidRPr="00B85940">
        <w:rPr>
          <w:color w:val="000000"/>
        </w:rPr>
        <w:t>1</w:t>
      </w:r>
      <w:r w:rsidR="00924643">
        <w:rPr>
          <w:color w:val="000000"/>
        </w:rPr>
        <w:t xml:space="preserve"> of the Convention</w:t>
      </w:r>
      <w:r w:rsidRPr="00B85940">
        <w:rPr>
          <w:color w:val="000000"/>
        </w:rPr>
        <w:t>.</w:t>
      </w:r>
    </w:p>
    <w:p w:rsidR="008E72A5" w:rsidP="00124007" w:rsidRDefault="008E72A5">
      <w:pPr>
        <w:pStyle w:val="JuHIRoman"/>
        <w:tabs>
          <w:tab w:val="clear" w:pos="357"/>
          <w:tab w:val="left" w:pos="0"/>
        </w:tabs>
        <w:outlineLvl w:val="0"/>
      </w:pPr>
      <w:r w:rsidRPr="00DA15E2">
        <w:t>IV. </w:t>
      </w:r>
      <w:r w:rsidR="00967E1F">
        <w:t> </w:t>
      </w:r>
      <w:r w:rsidRPr="009F528A">
        <w:t>APPLICATION OF ARTICLE</w:t>
      </w:r>
      <w:r w:rsidR="00C66EAF">
        <w:t>S</w:t>
      </w:r>
      <w:r w:rsidRPr="009F528A">
        <w:t xml:space="preserve"> 46 </w:t>
      </w:r>
      <w:r w:rsidR="001229F9">
        <w:t xml:space="preserve">AND 41 </w:t>
      </w:r>
      <w:r w:rsidRPr="009F528A">
        <w:t>OF THE CONVENTION</w:t>
      </w:r>
    </w:p>
    <w:p w:rsidRPr="00C66EAF" w:rsidR="00C66EAF" w:rsidP="00124007" w:rsidRDefault="00967E1F">
      <w:pPr>
        <w:pStyle w:val="JuHIRoman"/>
        <w:ind w:hanging="117"/>
        <w:outlineLvl w:val="0"/>
        <w:rPr>
          <w:b/>
          <w:bCs/>
        </w:rPr>
      </w:pPr>
      <w:r>
        <w:rPr>
          <w:b/>
          <w:bCs/>
        </w:rPr>
        <w:t>A.  </w:t>
      </w:r>
      <w:r w:rsidR="00C66EAF">
        <w:rPr>
          <w:b/>
          <w:bCs/>
        </w:rPr>
        <w:t>Article 46 of the Convention</w:t>
      </w:r>
    </w:p>
    <w:p w:rsidRPr="003E2A4A" w:rsidR="003E2A4A" w:rsidP="003E2A4A" w:rsidRDefault="003E2A4A">
      <w:pPr>
        <w:pStyle w:val="JuPara"/>
        <w:rPr>
          <w:lang w:val="en-GB"/>
        </w:rPr>
      </w:pPr>
      <w:r>
        <w:fldChar w:fldCharType="begin"/>
      </w:r>
      <w:r w:rsidRPr="003E2A4A">
        <w:rPr>
          <w:lang w:val="en-GB"/>
        </w:rPr>
        <w:instrText xml:space="preserve"> SEQ level0 \*arabic </w:instrText>
      </w:r>
      <w:r>
        <w:fldChar w:fldCharType="separate"/>
      </w:r>
      <w:r w:rsidR="008B3B68">
        <w:rPr>
          <w:noProof/>
          <w:lang w:val="en-GB"/>
        </w:rPr>
        <w:t>228</w:t>
      </w:r>
      <w:r>
        <w:fldChar w:fldCharType="end"/>
      </w:r>
      <w:r w:rsidRPr="003E2A4A">
        <w:rPr>
          <w:lang w:val="en-GB"/>
        </w:rPr>
        <w:t>.  Under this provision</w:t>
      </w:r>
      <w:r w:rsidR="00153E15">
        <w:rPr>
          <w:lang w:val="en-GB"/>
        </w:rPr>
        <w:t>,</w:t>
      </w:r>
    </w:p>
    <w:p w:rsidR="003E2A4A" w:rsidP="003E2A4A" w:rsidRDefault="00267B7D">
      <w:pPr>
        <w:pStyle w:val="JuQuotChar1"/>
      </w:pPr>
      <w:r>
        <w:t>“1. </w:t>
      </w:r>
      <w:r w:rsidR="00D54CA3">
        <w:t> </w:t>
      </w:r>
      <w:r>
        <w:t>T</w:t>
      </w:r>
      <w:r w:rsidR="003E2A4A">
        <w:t>he High Contracting Parties undertake to abide by the final judgment of the Court in any case to which they are parties.</w:t>
      </w:r>
    </w:p>
    <w:p w:rsidR="003E2A4A" w:rsidP="003E2A4A" w:rsidRDefault="00D54CA3">
      <w:pPr>
        <w:pStyle w:val="JuQuotChar1"/>
      </w:pPr>
      <w:r>
        <w:t>2.  </w:t>
      </w:r>
      <w:r w:rsidR="003E2A4A">
        <w:t>The final judgment of the Court shall be transmitted to the Committee of Ministers, which shall supervise its execution.”</w:t>
      </w:r>
    </w:p>
    <w:p w:rsidRPr="00944F4D" w:rsidR="003E2A4A" w:rsidP="00124007" w:rsidRDefault="00853153">
      <w:pPr>
        <w:pStyle w:val="JuH1"/>
        <w:outlineLvl w:val="0"/>
        <w:rPr>
          <w:lang w:val="en-GB"/>
        </w:rPr>
      </w:pPr>
      <w:r w:rsidRPr="00F259A9">
        <w:rPr>
          <w:lang w:val="en-GB"/>
        </w:rPr>
        <w:t>1</w:t>
      </w:r>
      <w:r w:rsidR="00967E1F">
        <w:rPr>
          <w:lang w:val="en-GB"/>
        </w:rPr>
        <w:t>.  </w:t>
      </w:r>
      <w:r w:rsidR="008205CD">
        <w:rPr>
          <w:lang w:val="en-GB"/>
        </w:rPr>
        <w:t>C</w:t>
      </w:r>
      <w:r w:rsidRPr="00944F4D" w:rsidR="003E2A4A">
        <w:rPr>
          <w:lang w:val="en-GB"/>
        </w:rPr>
        <w:t>ompensation for expropriation</w:t>
      </w:r>
    </w:p>
    <w:p w:rsidRPr="003E2A4A" w:rsidR="003E2A4A" w:rsidP="003E2A4A" w:rsidRDefault="003E2A4A">
      <w:pPr>
        <w:pStyle w:val="JuParaChar1"/>
        <w:keepNext/>
        <w:keepLines/>
        <w:rPr>
          <w:lang w:val="en-GB"/>
        </w:rPr>
      </w:pPr>
      <w:r>
        <w:fldChar w:fldCharType="begin"/>
      </w:r>
      <w:r w:rsidRPr="00B82A6A">
        <w:rPr>
          <w:lang w:val="en-GB"/>
        </w:rPr>
        <w:instrText xml:space="preserve"> SEQ level0 \*arabic </w:instrText>
      </w:r>
      <w:r>
        <w:fldChar w:fldCharType="separate"/>
      </w:r>
      <w:r w:rsidR="008B3B68">
        <w:rPr>
          <w:noProof/>
          <w:lang w:val="en-GB"/>
        </w:rPr>
        <w:t>229</w:t>
      </w:r>
      <w:r>
        <w:fldChar w:fldCharType="end"/>
      </w:r>
      <w:r w:rsidRPr="00B82A6A">
        <w:rPr>
          <w:lang w:val="en-GB"/>
        </w:rPr>
        <w:t>.  </w:t>
      </w:r>
      <w:r w:rsidRPr="003E2A4A">
        <w:rPr>
          <w:lang w:val="en-GB"/>
        </w:rPr>
        <w:t>The Court</w:t>
      </w:r>
      <w:r w:rsidR="00E6191D">
        <w:rPr>
          <w:lang w:val="en-GB"/>
        </w:rPr>
        <w:t>’</w:t>
      </w:r>
      <w:r w:rsidRPr="003E2A4A">
        <w:rPr>
          <w:lang w:val="en-GB"/>
        </w:rPr>
        <w:t xml:space="preserve">s conclusions </w:t>
      </w:r>
      <w:r w:rsidR="009F528A">
        <w:rPr>
          <w:lang w:val="en-GB"/>
        </w:rPr>
        <w:t>suggest</w:t>
      </w:r>
      <w:r w:rsidR="0034141E">
        <w:rPr>
          <w:lang w:val="en-GB"/>
        </w:rPr>
        <w:t xml:space="preserve"> in themselves</w:t>
      </w:r>
      <w:r w:rsidRPr="003E2A4A">
        <w:rPr>
          <w:lang w:val="en-GB"/>
        </w:rPr>
        <w:t xml:space="preserve"> that the violation of the applicants</w:t>
      </w:r>
      <w:r w:rsidR="00E6191D">
        <w:rPr>
          <w:lang w:val="en-GB"/>
        </w:rPr>
        <w:t>’</w:t>
      </w:r>
      <w:r w:rsidRPr="003E2A4A">
        <w:rPr>
          <w:lang w:val="en-GB"/>
        </w:rPr>
        <w:t xml:space="preserve"> right</w:t>
      </w:r>
      <w:r w:rsidR="009F528A">
        <w:rPr>
          <w:lang w:val="en-GB"/>
        </w:rPr>
        <w:t xml:space="preserve"> guaranteed under Art</w:t>
      </w:r>
      <w:r w:rsidRPr="003E2A4A">
        <w:rPr>
          <w:lang w:val="en-GB"/>
        </w:rPr>
        <w:t xml:space="preserve">icle 1 of Protocol No. 1 originated </w:t>
      </w:r>
      <w:r w:rsidR="009F528A">
        <w:rPr>
          <w:lang w:val="en-GB"/>
        </w:rPr>
        <w:t>in</w:t>
      </w:r>
      <w:r w:rsidRPr="003E2A4A">
        <w:rPr>
          <w:lang w:val="en-GB"/>
        </w:rPr>
        <w:t xml:space="preserve"> a widespread problem arising out of a malfu</w:t>
      </w:r>
      <w:r>
        <w:rPr>
          <w:lang w:val="en-GB"/>
        </w:rPr>
        <w:t>nctioning of the Italian legislation which has affected, and may still affect in the future,</w:t>
      </w:r>
      <w:r w:rsidRPr="003E2A4A">
        <w:rPr>
          <w:lang w:val="en-GB"/>
        </w:rPr>
        <w:t xml:space="preserve"> </w:t>
      </w:r>
      <w:r>
        <w:rPr>
          <w:lang w:val="en-GB"/>
        </w:rPr>
        <w:t>a large number of people</w:t>
      </w:r>
      <w:r w:rsidRPr="003E2A4A">
        <w:rPr>
          <w:lang w:val="en-GB"/>
        </w:rPr>
        <w:t>. The unjustified hindrance in obtaining compensation for expropriation</w:t>
      </w:r>
      <w:r w:rsidR="00AF0A1F">
        <w:rPr>
          <w:lang w:val="en-GB"/>
        </w:rPr>
        <w:t xml:space="preserve"> </w:t>
      </w:r>
      <w:r>
        <w:rPr>
          <w:lang w:val="en-GB"/>
        </w:rPr>
        <w:t>“</w:t>
      </w:r>
      <w:r w:rsidRPr="003E2A4A">
        <w:rPr>
          <w:lang w:val="en-GB"/>
        </w:rPr>
        <w:t>reasonably related to the value of the property</w:t>
      </w:r>
      <w:r>
        <w:rPr>
          <w:lang w:val="en-GB"/>
        </w:rPr>
        <w:t xml:space="preserve">” </w:t>
      </w:r>
      <w:r w:rsidRPr="003E2A4A">
        <w:rPr>
          <w:lang w:val="en-GB"/>
        </w:rPr>
        <w:t>was not caused by an isolated incident; neither is it attributable to the partic</w:t>
      </w:r>
      <w:r>
        <w:rPr>
          <w:lang w:val="en-GB"/>
        </w:rPr>
        <w:t xml:space="preserve">ular turn taken by events in the case of the applicants. </w:t>
      </w:r>
      <w:r w:rsidRPr="003E2A4A">
        <w:rPr>
          <w:lang w:val="en-GB"/>
        </w:rPr>
        <w:t xml:space="preserve">It </w:t>
      </w:r>
      <w:r w:rsidR="009F528A">
        <w:rPr>
          <w:lang w:val="en-GB"/>
        </w:rPr>
        <w:t>arises</w:t>
      </w:r>
      <w:r w:rsidRPr="003E2A4A">
        <w:rPr>
          <w:lang w:val="en-GB"/>
        </w:rPr>
        <w:t xml:space="preserve"> from the application of a law to a specific category of c</w:t>
      </w:r>
      <w:r>
        <w:rPr>
          <w:lang w:val="en-GB"/>
        </w:rPr>
        <w:t>itizens, namely, persons</w:t>
      </w:r>
      <w:r w:rsidRPr="003E2A4A">
        <w:rPr>
          <w:lang w:val="en-GB"/>
        </w:rPr>
        <w:t xml:space="preserve"> </w:t>
      </w:r>
      <w:r w:rsidR="003C3C7F">
        <w:rPr>
          <w:lang w:val="en-GB"/>
        </w:rPr>
        <w:t>affected by the expropriation of</w:t>
      </w:r>
      <w:r w:rsidR="009F528A">
        <w:rPr>
          <w:lang w:val="en-GB"/>
        </w:rPr>
        <w:t xml:space="preserve"> land</w:t>
      </w:r>
      <w:r w:rsidRPr="003E2A4A">
        <w:rPr>
          <w:lang w:val="en-GB"/>
        </w:rPr>
        <w:t>.</w:t>
      </w:r>
    </w:p>
    <w:p w:rsidR="00967E1F" w:rsidP="003E2A4A" w:rsidRDefault="003E2A4A">
      <w:pPr>
        <w:pStyle w:val="JuParaChar1"/>
        <w:rPr>
          <w:lang w:val="en-GB"/>
        </w:rPr>
      </w:pPr>
      <w:r w:rsidRPr="00C2011C">
        <w:fldChar w:fldCharType="begin"/>
      </w:r>
      <w:r w:rsidRPr="00B82A6A">
        <w:rPr>
          <w:lang w:val="en-GB"/>
        </w:rPr>
        <w:instrText xml:space="preserve"> SEQ level0 \*arabic </w:instrText>
      </w:r>
      <w:r w:rsidRPr="00C2011C">
        <w:fldChar w:fldCharType="separate"/>
      </w:r>
      <w:r w:rsidR="008B3B68">
        <w:rPr>
          <w:noProof/>
          <w:lang w:val="en-GB"/>
        </w:rPr>
        <w:t>230</w:t>
      </w:r>
      <w:r w:rsidRPr="00C2011C">
        <w:fldChar w:fldCharType="end"/>
      </w:r>
      <w:r w:rsidRPr="00B82A6A">
        <w:rPr>
          <w:lang w:val="en-GB"/>
        </w:rPr>
        <w:t>.  </w:t>
      </w:r>
      <w:r w:rsidRPr="003E2A4A">
        <w:rPr>
          <w:lang w:val="en-GB"/>
        </w:rPr>
        <w:t>The existence and systemic nature of this problem have not been acknowle</w:t>
      </w:r>
      <w:r>
        <w:rPr>
          <w:lang w:val="en-GB"/>
        </w:rPr>
        <w:t>dged by the Italian judicial authoritie</w:t>
      </w:r>
      <w:r w:rsidRPr="003E2A4A">
        <w:rPr>
          <w:lang w:val="en-GB"/>
        </w:rPr>
        <w:t>s. However, certain passages of judgment no. 223 of 1983 (see paragraph 5</w:t>
      </w:r>
      <w:r w:rsidR="00C66EAF">
        <w:rPr>
          <w:lang w:val="en-GB"/>
        </w:rPr>
        <w:t>5</w:t>
      </w:r>
      <w:r w:rsidRPr="003E2A4A">
        <w:rPr>
          <w:lang w:val="en-GB"/>
        </w:rPr>
        <w:t xml:space="preserve"> above) and no</w:t>
      </w:r>
      <w:r w:rsidR="00924643">
        <w:rPr>
          <w:lang w:val="en-GB"/>
        </w:rPr>
        <w:t>s</w:t>
      </w:r>
      <w:r w:rsidRPr="003E2A4A">
        <w:rPr>
          <w:lang w:val="en-GB"/>
        </w:rPr>
        <w:t>. 283 and 442 of 1993 (see paragraph 60 above) of the Constitutional Court, in which the court call</w:t>
      </w:r>
      <w:r>
        <w:rPr>
          <w:lang w:val="en-GB"/>
        </w:rPr>
        <w:t>s</w:t>
      </w:r>
      <w:r w:rsidRPr="003E2A4A">
        <w:rPr>
          <w:lang w:val="en-GB"/>
        </w:rPr>
        <w:t xml:space="preserve"> on the legislature to </w:t>
      </w:r>
      <w:r w:rsidR="003C3C7F">
        <w:rPr>
          <w:lang w:val="en-GB"/>
        </w:rPr>
        <w:t>frame</w:t>
      </w:r>
      <w:r w:rsidRPr="003E2A4A">
        <w:rPr>
          <w:lang w:val="en-GB"/>
        </w:rPr>
        <w:t xml:space="preserve"> a law </w:t>
      </w:r>
      <w:r w:rsidR="003C3C7F">
        <w:rPr>
          <w:lang w:val="en-GB"/>
        </w:rPr>
        <w:t>making provision</w:t>
      </w:r>
      <w:r>
        <w:rPr>
          <w:lang w:val="en-GB"/>
        </w:rPr>
        <w:t xml:space="preserve"> for substantial compensation</w:t>
      </w:r>
      <w:r w:rsidRPr="003E2A4A">
        <w:rPr>
          <w:lang w:val="en-GB"/>
        </w:rPr>
        <w:t xml:space="preserve"> (</w:t>
      </w:r>
      <w:r w:rsidRPr="003E2A4A">
        <w:rPr>
          <w:i/>
          <w:lang w:val="en-GB"/>
        </w:rPr>
        <w:t>serio ristoro</w:t>
      </w:r>
      <w:r w:rsidRPr="003E2A4A">
        <w:rPr>
          <w:lang w:val="en-GB"/>
        </w:rPr>
        <w:t xml:space="preserve">) </w:t>
      </w:r>
      <w:r>
        <w:rPr>
          <w:lang w:val="en-GB"/>
        </w:rPr>
        <w:t xml:space="preserve">and </w:t>
      </w:r>
      <w:r w:rsidR="003C3C7F">
        <w:rPr>
          <w:lang w:val="en-GB"/>
        </w:rPr>
        <w:t>holds that</w:t>
      </w:r>
      <w:r>
        <w:rPr>
          <w:lang w:val="en-GB"/>
        </w:rPr>
        <w:t xml:space="preserve"> section</w:t>
      </w:r>
      <w:r w:rsidRPr="003E2A4A">
        <w:rPr>
          <w:lang w:val="en-GB"/>
        </w:rPr>
        <w:t xml:space="preserve"> 5</w:t>
      </w:r>
      <w:r w:rsidR="00B40D2B">
        <w:rPr>
          <w:lang w:val="en-GB"/>
        </w:rPr>
        <w:t xml:space="preserve"> </w:t>
      </w:r>
      <w:r w:rsidRPr="003E2A4A">
        <w:rPr>
          <w:i/>
          <w:lang w:val="en-GB"/>
        </w:rPr>
        <w:t>bis</w:t>
      </w:r>
      <w:r w:rsidRPr="003E2A4A">
        <w:rPr>
          <w:lang w:val="en-GB"/>
        </w:rPr>
        <w:t xml:space="preserve"> </w:t>
      </w:r>
      <w:r>
        <w:rPr>
          <w:lang w:val="en-GB"/>
        </w:rPr>
        <w:t>of Law</w:t>
      </w:r>
      <w:r w:rsidR="005347B8">
        <w:rPr>
          <w:lang w:val="en-GB"/>
        </w:rPr>
        <w:t xml:space="preserve"> </w:t>
      </w:r>
      <w:r>
        <w:rPr>
          <w:lang w:val="en-GB"/>
        </w:rPr>
        <w:t>no.</w:t>
      </w:r>
      <w:r w:rsidRPr="003E2A4A">
        <w:rPr>
          <w:lang w:val="en-GB"/>
        </w:rPr>
        <w:t> 359</w:t>
      </w:r>
      <w:r w:rsidR="003C3C7F">
        <w:rPr>
          <w:lang w:val="en-GB"/>
        </w:rPr>
        <w:t>/</w:t>
      </w:r>
      <w:r w:rsidRPr="003E2A4A">
        <w:rPr>
          <w:lang w:val="en-GB"/>
        </w:rPr>
        <w:t xml:space="preserve">1992 </w:t>
      </w:r>
      <w:r w:rsidR="003C3C7F">
        <w:rPr>
          <w:lang w:val="en-GB"/>
        </w:rPr>
        <w:t>is</w:t>
      </w:r>
      <w:r>
        <w:rPr>
          <w:lang w:val="en-GB"/>
        </w:rPr>
        <w:t xml:space="preserve"> </w:t>
      </w:r>
      <w:r w:rsidRPr="003E2A4A">
        <w:rPr>
          <w:lang w:val="en-GB"/>
        </w:rPr>
        <w:t>compatible</w:t>
      </w:r>
      <w:r>
        <w:rPr>
          <w:lang w:val="en-GB"/>
        </w:rPr>
        <w:t xml:space="preserve"> with the</w:t>
      </w:r>
      <w:r w:rsidRPr="003E2A4A">
        <w:rPr>
          <w:lang w:val="en-GB"/>
        </w:rPr>
        <w:t xml:space="preserve"> Constitution </w:t>
      </w:r>
      <w:r>
        <w:rPr>
          <w:lang w:val="en-GB"/>
        </w:rPr>
        <w:t>on account of its urgent and temporary nature</w:t>
      </w:r>
      <w:r w:rsidRPr="003E2A4A">
        <w:rPr>
          <w:lang w:val="en-GB"/>
        </w:rPr>
        <w:t>, indi</w:t>
      </w:r>
      <w:r>
        <w:rPr>
          <w:lang w:val="en-GB"/>
        </w:rPr>
        <w:t>cate that the Constitutional Court has detected an underlying structural problem to which the legislature should find a</w:t>
      </w:r>
      <w:r w:rsidRPr="003E2A4A">
        <w:rPr>
          <w:lang w:val="en-GB"/>
        </w:rPr>
        <w:t xml:space="preserve"> solution.</w:t>
      </w:r>
    </w:p>
    <w:p w:rsidRPr="003E2A4A" w:rsidR="003E2A4A" w:rsidP="003E2A4A" w:rsidRDefault="003C3C7F">
      <w:pPr>
        <w:pStyle w:val="JuParaChar1"/>
        <w:rPr>
          <w:lang w:val="en-GB"/>
        </w:rPr>
      </w:pPr>
      <w:r>
        <w:rPr>
          <w:lang w:val="en-GB"/>
        </w:rPr>
        <w:t>In the</w:t>
      </w:r>
      <w:r w:rsidRPr="003E2A4A" w:rsidR="003E2A4A">
        <w:rPr>
          <w:lang w:val="en-GB"/>
        </w:rPr>
        <w:t xml:space="preserve"> Court</w:t>
      </w:r>
      <w:r w:rsidR="00E6191D">
        <w:rPr>
          <w:lang w:val="en-GB"/>
        </w:rPr>
        <w:t>’</w:t>
      </w:r>
      <w:r>
        <w:rPr>
          <w:lang w:val="en-GB"/>
        </w:rPr>
        <w:t xml:space="preserve">s view, </w:t>
      </w:r>
      <w:r w:rsidRPr="003E2A4A" w:rsidR="003E2A4A">
        <w:rPr>
          <w:lang w:val="en-GB"/>
        </w:rPr>
        <w:t xml:space="preserve">the facts of the case disclose the existence, within the Italian legal order, of a shortcoming as a consequence of which </w:t>
      </w:r>
      <w:r w:rsidR="003E2A4A">
        <w:rPr>
          <w:lang w:val="en-GB"/>
        </w:rPr>
        <w:t>an entire category of individuals have been, or are still being, deprived of their right to the peaceful enjoyment of their possessions</w:t>
      </w:r>
      <w:r w:rsidRPr="003E2A4A" w:rsidR="003E2A4A">
        <w:rPr>
          <w:lang w:val="en-GB"/>
        </w:rPr>
        <w:t xml:space="preserve">. It also finds that the </w:t>
      </w:r>
      <w:r>
        <w:rPr>
          <w:lang w:val="en-GB"/>
        </w:rPr>
        <w:t>legal loopholes</w:t>
      </w:r>
      <w:r w:rsidRPr="003E2A4A" w:rsidR="003E2A4A">
        <w:rPr>
          <w:lang w:val="en-GB"/>
        </w:rPr>
        <w:t xml:space="preserve"> </w:t>
      </w:r>
      <w:r>
        <w:rPr>
          <w:lang w:val="en-GB"/>
        </w:rPr>
        <w:t>detected</w:t>
      </w:r>
      <w:r w:rsidRPr="003E2A4A" w:rsidR="003E2A4A">
        <w:rPr>
          <w:lang w:val="en-GB"/>
        </w:rPr>
        <w:t xml:space="preserve"> in the applicants</w:t>
      </w:r>
      <w:r w:rsidR="00E6191D">
        <w:rPr>
          <w:lang w:val="en-GB"/>
        </w:rPr>
        <w:t>’</w:t>
      </w:r>
      <w:r w:rsidRPr="003E2A4A" w:rsidR="003E2A4A">
        <w:rPr>
          <w:lang w:val="en-GB"/>
        </w:rPr>
        <w:t xml:space="preserve"> particular case may subsequently give rise to numerous well-founded applications, having regard also to th</w:t>
      </w:r>
      <w:r w:rsidR="003E2A4A">
        <w:rPr>
          <w:lang w:val="en-GB"/>
        </w:rPr>
        <w:t>e fact that the E</w:t>
      </w:r>
      <w:r w:rsidRPr="003E2A4A" w:rsidR="003E2A4A">
        <w:rPr>
          <w:lang w:val="en-GB"/>
        </w:rPr>
        <w:t xml:space="preserve">xpropriation </w:t>
      </w:r>
      <w:r w:rsidR="003E2A4A">
        <w:rPr>
          <w:lang w:val="en-GB"/>
        </w:rPr>
        <w:t xml:space="preserve">Code </w:t>
      </w:r>
      <w:r w:rsidR="00152D42">
        <w:rPr>
          <w:lang w:val="en-GB"/>
        </w:rPr>
        <w:t xml:space="preserve">has </w:t>
      </w:r>
      <w:r w:rsidR="003E2A4A">
        <w:rPr>
          <w:lang w:val="en-GB"/>
        </w:rPr>
        <w:t>codified the</w:t>
      </w:r>
      <w:r w:rsidRPr="003E2A4A" w:rsidR="003E2A4A">
        <w:rPr>
          <w:lang w:val="en-GB"/>
        </w:rPr>
        <w:t xml:space="preserve"> </w:t>
      </w:r>
      <w:r w:rsidR="003E2A4A">
        <w:rPr>
          <w:lang w:val="en-GB"/>
        </w:rPr>
        <w:t>compensation criteria introduced by section</w:t>
      </w:r>
      <w:r w:rsidRPr="003E2A4A" w:rsidR="003E2A4A">
        <w:rPr>
          <w:lang w:val="en-GB"/>
        </w:rPr>
        <w:t xml:space="preserve"> 5</w:t>
      </w:r>
      <w:r w:rsidR="00B40D2B">
        <w:rPr>
          <w:lang w:val="en-GB"/>
        </w:rPr>
        <w:t xml:space="preserve"> </w:t>
      </w:r>
      <w:r w:rsidRPr="003E2A4A" w:rsidR="003E2A4A">
        <w:rPr>
          <w:i/>
          <w:lang w:val="en-GB"/>
        </w:rPr>
        <w:t>bis</w:t>
      </w:r>
      <w:r w:rsidRPr="003E2A4A" w:rsidR="003E2A4A">
        <w:rPr>
          <w:lang w:val="en-GB"/>
        </w:rPr>
        <w:t xml:space="preserve"> </w:t>
      </w:r>
      <w:r w:rsidR="003E2A4A">
        <w:rPr>
          <w:lang w:val="en-GB"/>
        </w:rPr>
        <w:t>of Law no.</w:t>
      </w:r>
      <w:r w:rsidRPr="003E2A4A" w:rsidR="003E2A4A">
        <w:rPr>
          <w:lang w:val="en-GB"/>
        </w:rPr>
        <w:t xml:space="preserve"> 359</w:t>
      </w:r>
      <w:r>
        <w:rPr>
          <w:lang w:val="en-GB"/>
        </w:rPr>
        <w:t>/</w:t>
      </w:r>
      <w:r w:rsidRPr="003E2A4A" w:rsidR="003E2A4A">
        <w:rPr>
          <w:lang w:val="en-GB"/>
        </w:rPr>
        <w:t>1992 (</w:t>
      </w:r>
      <w:r w:rsidR="003E2A4A">
        <w:rPr>
          <w:lang w:val="en-GB"/>
        </w:rPr>
        <w:t>see paragraph</w:t>
      </w:r>
      <w:r w:rsidRPr="003E2A4A" w:rsidR="003E2A4A">
        <w:rPr>
          <w:lang w:val="en-GB"/>
        </w:rPr>
        <w:t xml:space="preserve"> 61 </w:t>
      </w:r>
      <w:r w:rsidR="003E2A4A">
        <w:rPr>
          <w:lang w:val="en-GB"/>
        </w:rPr>
        <w:t>above</w:t>
      </w:r>
      <w:r w:rsidRPr="003E2A4A" w:rsidR="003E2A4A">
        <w:rPr>
          <w:lang w:val="en-GB"/>
        </w:rPr>
        <w:t>).</w:t>
      </w:r>
    </w:p>
    <w:p w:rsidRPr="003647D0" w:rsidR="003E2A4A" w:rsidP="003E2A4A" w:rsidRDefault="003E2A4A">
      <w:pPr>
        <w:pStyle w:val="JuParaChar1"/>
        <w:rPr>
          <w:lang w:val="en-GB"/>
        </w:rPr>
      </w:pPr>
      <w:r w:rsidRPr="00C2011C">
        <w:fldChar w:fldCharType="begin"/>
      </w:r>
      <w:r w:rsidRPr="00087AB0">
        <w:rPr>
          <w:lang w:val="en-GB"/>
        </w:rPr>
        <w:instrText xml:space="preserve"> SEQ level0 \*arabic </w:instrText>
      </w:r>
      <w:r w:rsidRPr="00C2011C">
        <w:fldChar w:fldCharType="separate"/>
      </w:r>
      <w:r w:rsidR="008B3B68">
        <w:rPr>
          <w:noProof/>
          <w:lang w:val="en-GB"/>
        </w:rPr>
        <w:t>231</w:t>
      </w:r>
      <w:r w:rsidRPr="00C2011C">
        <w:fldChar w:fldCharType="end"/>
      </w:r>
      <w:r w:rsidRPr="00087AB0">
        <w:rPr>
          <w:lang w:val="en-GB"/>
        </w:rPr>
        <w:t>.  </w:t>
      </w:r>
      <w:r w:rsidRPr="00F2730B" w:rsidR="009527FE">
        <w:rPr>
          <w:lang w:val="en-GB"/>
        </w:rPr>
        <w:t>As part of the measures designed to guarantee the effectiveness of the machinery established by the</w:t>
      </w:r>
      <w:r w:rsidRPr="00F2730B">
        <w:rPr>
          <w:lang w:val="en-GB"/>
        </w:rPr>
        <w:t xml:space="preserve"> Convention, </w:t>
      </w:r>
      <w:r w:rsidRPr="00F2730B" w:rsidR="009527FE">
        <w:rPr>
          <w:lang w:val="en-GB"/>
        </w:rPr>
        <w:t>the Committee of Ministers of the Council of E</w:t>
      </w:r>
      <w:r w:rsidRPr="00F2730B">
        <w:rPr>
          <w:lang w:val="en-GB"/>
        </w:rPr>
        <w:t>urope</w:t>
      </w:r>
      <w:r w:rsidR="008205CD">
        <w:rPr>
          <w:lang w:val="en-GB"/>
        </w:rPr>
        <w:t xml:space="preserve"> adopted on 12 May 2004 R</w:t>
      </w:r>
      <w:r w:rsidRPr="00F2730B" w:rsidR="009527FE">
        <w:rPr>
          <w:lang w:val="en-GB"/>
        </w:rPr>
        <w:t>e</w:t>
      </w:r>
      <w:r w:rsidRPr="00F2730B">
        <w:rPr>
          <w:lang w:val="en-GB"/>
        </w:rPr>
        <w:t xml:space="preserve">solution Res(2004)3 </w:t>
      </w:r>
      <w:r w:rsidRPr="00F2730B" w:rsidR="009527FE">
        <w:rPr>
          <w:lang w:val="en-GB"/>
        </w:rPr>
        <w:t xml:space="preserve">on judgments revealing an underlying </w:t>
      </w:r>
      <w:r w:rsidRPr="00F2730B" w:rsidR="00F2730B">
        <w:rPr>
          <w:lang w:val="en-GB"/>
        </w:rPr>
        <w:t>systemic</w:t>
      </w:r>
      <w:r w:rsidRPr="00F2730B" w:rsidR="009527FE">
        <w:rPr>
          <w:lang w:val="en-GB"/>
        </w:rPr>
        <w:t xml:space="preserve"> problem</w:t>
      </w:r>
      <w:r w:rsidRPr="00F2730B">
        <w:rPr>
          <w:lang w:val="en-GB"/>
        </w:rPr>
        <w:t xml:space="preserve"> </w:t>
      </w:r>
      <w:r w:rsidRPr="00F2730B" w:rsidR="009527FE">
        <w:rPr>
          <w:lang w:val="en-GB"/>
        </w:rPr>
        <w:t xml:space="preserve">in which, after </w:t>
      </w:r>
      <w:r w:rsidRPr="00F2730B" w:rsidR="00F2730B">
        <w:rPr>
          <w:lang w:val="en-GB"/>
        </w:rPr>
        <w:t xml:space="preserve">emphasising the interest in helping the </w:t>
      </w:r>
      <w:r w:rsidR="008205CD">
        <w:rPr>
          <w:lang w:val="en-GB"/>
        </w:rPr>
        <w:t>S</w:t>
      </w:r>
      <w:r w:rsidR="00F7226C">
        <w:rPr>
          <w:lang w:val="en-GB"/>
        </w:rPr>
        <w:t xml:space="preserve">tate concerned to identify the </w:t>
      </w:r>
      <w:r w:rsidRPr="00F2730B" w:rsidR="00F2730B">
        <w:rPr>
          <w:lang w:val="en-GB"/>
        </w:rPr>
        <w:t>underlyin</w:t>
      </w:r>
      <w:r w:rsidR="00F2730B">
        <w:rPr>
          <w:lang w:val="en-GB"/>
        </w:rPr>
        <w:t>g</w:t>
      </w:r>
      <w:r w:rsidRPr="00F2730B" w:rsidR="00F2730B">
        <w:rPr>
          <w:lang w:val="en-GB"/>
        </w:rPr>
        <w:t xml:space="preserve"> problems and the necessary exe</w:t>
      </w:r>
      <w:r w:rsidRPr="00F2730B">
        <w:rPr>
          <w:lang w:val="en-GB"/>
        </w:rPr>
        <w:t xml:space="preserve">cution </w:t>
      </w:r>
      <w:r w:rsidRPr="00F2730B" w:rsidR="00F2730B">
        <w:rPr>
          <w:lang w:val="en-GB"/>
        </w:rPr>
        <w:t>measures</w:t>
      </w:r>
      <w:r w:rsidRPr="00F2730B">
        <w:rPr>
          <w:lang w:val="en-GB"/>
        </w:rPr>
        <w:t xml:space="preserve"> (</w:t>
      </w:r>
      <w:r w:rsidRPr="00F2730B" w:rsidR="00F2730B">
        <w:rPr>
          <w:lang w:val="en-GB"/>
        </w:rPr>
        <w:t>seventh paragraph of the p</w:t>
      </w:r>
      <w:r w:rsidRPr="00F2730B" w:rsidR="009527FE">
        <w:rPr>
          <w:lang w:val="en-GB"/>
        </w:rPr>
        <w:t>reamble</w:t>
      </w:r>
      <w:r w:rsidRPr="00F2730B">
        <w:rPr>
          <w:lang w:val="en-GB"/>
        </w:rPr>
        <w:t xml:space="preserve">), </w:t>
      </w:r>
      <w:r w:rsidRPr="00F2730B" w:rsidR="00F2730B">
        <w:rPr>
          <w:lang w:val="en-GB"/>
        </w:rPr>
        <w:t>it</w:t>
      </w:r>
      <w:r w:rsidRPr="00F2730B">
        <w:rPr>
          <w:lang w:val="en-GB"/>
        </w:rPr>
        <w:t xml:space="preserve"> invite</w:t>
      </w:r>
      <w:r w:rsidRPr="00F2730B" w:rsidR="00F2730B">
        <w:rPr>
          <w:lang w:val="en-GB"/>
        </w:rPr>
        <w:t xml:space="preserve">d the </w:t>
      </w:r>
      <w:r w:rsidRPr="00F2730B">
        <w:rPr>
          <w:lang w:val="en-GB"/>
        </w:rPr>
        <w:t>Cour</w:t>
      </w:r>
      <w:r w:rsidRPr="00F2730B" w:rsidR="00F2730B">
        <w:rPr>
          <w:lang w:val="en-GB"/>
        </w:rPr>
        <w:t xml:space="preserve">t </w:t>
      </w:r>
      <w:r w:rsidR="00F2730B">
        <w:rPr>
          <w:lang w:val="en-GB"/>
        </w:rPr>
        <w:t>“</w:t>
      </w:r>
      <w:r w:rsidRPr="00F2730B" w:rsidR="00F2730B">
        <w:rPr>
          <w:lang w:val="en-GB"/>
        </w:rPr>
        <w:t xml:space="preserve">to identify, </w:t>
      </w:r>
      <w:r w:rsidRPr="00F2730B" w:rsidR="00F2730B">
        <w:rPr>
          <w:rFonts w:cs="Arial"/>
          <w:bCs/>
          <w:lang w:val="en-GB"/>
        </w:rPr>
        <w:t>in its judgments finding a violation of the Convention, what it considers to be an underlying systemic problem and the source of this problem, in particular when it is likely to give rise to numerous</w:t>
      </w:r>
      <w:r w:rsidR="008205CD">
        <w:rPr>
          <w:rFonts w:cs="Arial"/>
          <w:bCs/>
          <w:lang w:val="en-GB"/>
        </w:rPr>
        <w:t xml:space="preserve"> applications, so as to assist S</w:t>
      </w:r>
      <w:r w:rsidRPr="00F2730B" w:rsidR="00F2730B">
        <w:rPr>
          <w:rFonts w:cs="Arial"/>
          <w:bCs/>
          <w:lang w:val="en-GB"/>
        </w:rPr>
        <w:t>tates in finding the appropriate solution and the Committee of Ministers in supervising the execution of judgments</w:t>
      </w:r>
      <w:r w:rsidR="003647D0">
        <w:rPr>
          <w:lang w:val="en-GB"/>
        </w:rPr>
        <w:t xml:space="preserve">” </w:t>
      </w:r>
      <w:r w:rsidRPr="00F2730B" w:rsidR="009527FE">
        <w:rPr>
          <w:lang w:val="en-GB"/>
        </w:rPr>
        <w:t>(paragraph</w:t>
      </w:r>
      <w:r w:rsidRPr="00F2730B">
        <w:rPr>
          <w:lang w:val="en-GB"/>
        </w:rPr>
        <w:t xml:space="preserve"> I </w:t>
      </w:r>
      <w:r w:rsidRPr="00F2730B" w:rsidR="009527FE">
        <w:rPr>
          <w:lang w:val="en-GB"/>
        </w:rPr>
        <w:t xml:space="preserve">of the </w:t>
      </w:r>
      <w:r w:rsidR="008205CD">
        <w:rPr>
          <w:lang w:val="en-GB"/>
        </w:rPr>
        <w:t>R</w:t>
      </w:r>
      <w:r w:rsidRPr="00F2730B" w:rsidR="009527FE">
        <w:rPr>
          <w:lang w:val="en-GB"/>
        </w:rPr>
        <w:t>e</w:t>
      </w:r>
      <w:r w:rsidRPr="00F2730B">
        <w:rPr>
          <w:lang w:val="en-GB"/>
        </w:rPr>
        <w:t xml:space="preserve">solution). </w:t>
      </w:r>
      <w:r w:rsidR="008205CD">
        <w:rPr>
          <w:lang w:val="en-GB"/>
        </w:rPr>
        <w:t>That R</w:t>
      </w:r>
      <w:r w:rsidRPr="003647D0" w:rsidR="003647D0">
        <w:rPr>
          <w:lang w:val="en-GB"/>
        </w:rPr>
        <w:t>e</w:t>
      </w:r>
      <w:r w:rsidRPr="003647D0">
        <w:rPr>
          <w:lang w:val="en-GB"/>
        </w:rPr>
        <w:t xml:space="preserve">solution </w:t>
      </w:r>
      <w:r w:rsidRPr="003647D0" w:rsidR="003647D0">
        <w:rPr>
          <w:lang w:val="en-GB"/>
        </w:rPr>
        <w:t>has to</w:t>
      </w:r>
      <w:r w:rsidR="00FE31F5">
        <w:rPr>
          <w:lang w:val="en-GB"/>
        </w:rPr>
        <w:t xml:space="preserve"> be</w:t>
      </w:r>
      <w:r w:rsidRPr="003647D0" w:rsidR="003647D0">
        <w:rPr>
          <w:lang w:val="en-GB"/>
        </w:rPr>
        <w:t xml:space="preserve"> replaced in the</w:t>
      </w:r>
      <w:r w:rsidRPr="003647D0">
        <w:rPr>
          <w:lang w:val="en-GB"/>
        </w:rPr>
        <w:t xml:space="preserve"> context</w:t>
      </w:r>
      <w:r w:rsidRPr="003647D0" w:rsidR="003647D0">
        <w:rPr>
          <w:lang w:val="en-GB"/>
        </w:rPr>
        <w:t xml:space="preserve"> of the increase in the Court</w:t>
      </w:r>
      <w:r w:rsidR="00E6191D">
        <w:rPr>
          <w:lang w:val="en-GB"/>
        </w:rPr>
        <w:t>’</w:t>
      </w:r>
      <w:r w:rsidRPr="003647D0" w:rsidR="003647D0">
        <w:rPr>
          <w:lang w:val="en-GB"/>
        </w:rPr>
        <w:t xml:space="preserve">s </w:t>
      </w:r>
      <w:r w:rsidR="00152D42">
        <w:rPr>
          <w:lang w:val="en-GB"/>
        </w:rPr>
        <w:t>work</w:t>
      </w:r>
      <w:r w:rsidR="003647D0">
        <w:rPr>
          <w:lang w:val="en-GB"/>
        </w:rPr>
        <w:t>load</w:t>
      </w:r>
      <w:r w:rsidRPr="003647D0">
        <w:rPr>
          <w:lang w:val="en-GB"/>
        </w:rPr>
        <w:t xml:space="preserve">, </w:t>
      </w:r>
      <w:r w:rsidR="003647D0">
        <w:rPr>
          <w:lang w:val="en-GB"/>
        </w:rPr>
        <w:t xml:space="preserve">owing to, </w:t>
      </w:r>
      <w:r w:rsidRPr="003647D0" w:rsidR="003647D0">
        <w:rPr>
          <w:i/>
          <w:lang w:val="en-GB"/>
        </w:rPr>
        <w:t>inter alia</w:t>
      </w:r>
      <w:r w:rsidR="003647D0">
        <w:rPr>
          <w:lang w:val="en-GB"/>
        </w:rPr>
        <w:t xml:space="preserve">, </w:t>
      </w:r>
      <w:r w:rsidR="003C3C7F">
        <w:rPr>
          <w:lang w:val="en-GB"/>
        </w:rPr>
        <w:t>a</w:t>
      </w:r>
      <w:r w:rsidR="003647D0">
        <w:rPr>
          <w:lang w:val="en-GB"/>
        </w:rPr>
        <w:t xml:space="preserve"> series of cases resulting from the same structural or systemic cause</w:t>
      </w:r>
      <w:r w:rsidRPr="003647D0">
        <w:rPr>
          <w:lang w:val="en-GB"/>
        </w:rPr>
        <w:t>.</w:t>
      </w:r>
    </w:p>
    <w:p w:rsidR="003E2A4A" w:rsidP="003E2A4A" w:rsidRDefault="003E2A4A">
      <w:pPr>
        <w:pStyle w:val="JuParaChar1"/>
        <w:rPr>
          <w:lang w:val="en-GB"/>
        </w:rPr>
      </w:pPr>
      <w:r w:rsidRPr="00C2011C">
        <w:fldChar w:fldCharType="begin"/>
      </w:r>
      <w:r w:rsidRPr="00B82A6A">
        <w:rPr>
          <w:lang w:val="en-GB"/>
        </w:rPr>
        <w:instrText xml:space="preserve"> SEQ level0 \*arabic </w:instrText>
      </w:r>
      <w:r w:rsidRPr="00C2011C">
        <w:fldChar w:fldCharType="separate"/>
      </w:r>
      <w:r w:rsidR="008B3B68">
        <w:rPr>
          <w:noProof/>
          <w:lang w:val="en-GB"/>
        </w:rPr>
        <w:t>232</w:t>
      </w:r>
      <w:r w:rsidRPr="00C2011C">
        <w:fldChar w:fldCharType="end"/>
      </w:r>
      <w:r w:rsidRPr="00B82A6A">
        <w:rPr>
          <w:lang w:val="en-GB"/>
        </w:rPr>
        <w:t>.  </w:t>
      </w:r>
      <w:r w:rsidRPr="009527FE" w:rsidR="009527FE">
        <w:rPr>
          <w:lang w:val="en-GB"/>
        </w:rPr>
        <w:t xml:space="preserve">In that connection the Court draws </w:t>
      </w:r>
      <w:r w:rsidRPr="009527FE">
        <w:rPr>
          <w:lang w:val="en-GB"/>
        </w:rPr>
        <w:t xml:space="preserve">attention </w:t>
      </w:r>
      <w:r w:rsidRPr="009527FE" w:rsidR="009527FE">
        <w:rPr>
          <w:lang w:val="en-GB"/>
        </w:rPr>
        <w:t>to the Recomme</w:t>
      </w:r>
      <w:r w:rsidRPr="009527FE">
        <w:rPr>
          <w:lang w:val="en-GB"/>
        </w:rPr>
        <w:t xml:space="preserve">ndation </w:t>
      </w:r>
      <w:r w:rsidRPr="009527FE" w:rsidR="009527FE">
        <w:rPr>
          <w:lang w:val="en-GB"/>
        </w:rPr>
        <w:t>of the Committee of Ministers of</w:t>
      </w:r>
      <w:r w:rsidRPr="009527FE">
        <w:rPr>
          <w:lang w:val="en-GB"/>
        </w:rPr>
        <w:t xml:space="preserve"> 12 </w:t>
      </w:r>
      <w:r w:rsidRPr="009527FE" w:rsidR="009527FE">
        <w:rPr>
          <w:lang w:val="en-GB"/>
        </w:rPr>
        <w:t>May</w:t>
      </w:r>
      <w:r w:rsidRPr="009527FE">
        <w:rPr>
          <w:lang w:val="en-GB"/>
        </w:rPr>
        <w:t xml:space="preserve"> 2004 (Rec(2004)6) </w:t>
      </w:r>
      <w:r w:rsidRPr="009527FE" w:rsidR="009527FE">
        <w:rPr>
          <w:lang w:val="en-GB"/>
        </w:rPr>
        <w:t>on the improvement of domestic remedies</w:t>
      </w:r>
      <w:r w:rsidRPr="009527FE">
        <w:rPr>
          <w:lang w:val="en-GB"/>
        </w:rPr>
        <w:t xml:space="preserve">, </w:t>
      </w:r>
      <w:r w:rsidRPr="009527FE" w:rsidR="009527FE">
        <w:rPr>
          <w:lang w:val="en-GB"/>
        </w:rPr>
        <w:t xml:space="preserve">in which the Committee of Ministers </w:t>
      </w:r>
      <w:r w:rsidR="00AC1BB5">
        <w:rPr>
          <w:lang w:val="en-GB"/>
        </w:rPr>
        <w:t>reiterated</w:t>
      </w:r>
      <w:r w:rsidRPr="009527FE" w:rsidR="009527FE">
        <w:rPr>
          <w:lang w:val="en-GB"/>
        </w:rPr>
        <w:t xml:space="preserve"> that, in addition to the </w:t>
      </w:r>
      <w:r w:rsidRPr="009527FE">
        <w:rPr>
          <w:lang w:val="en-GB"/>
        </w:rPr>
        <w:t xml:space="preserve">obligation </w:t>
      </w:r>
      <w:r w:rsidRPr="009527FE" w:rsidR="009527FE">
        <w:rPr>
          <w:lang w:val="en-GB"/>
        </w:rPr>
        <w:t>under A</w:t>
      </w:r>
      <w:r w:rsidRPr="009527FE">
        <w:rPr>
          <w:lang w:val="en-GB"/>
        </w:rPr>
        <w:t xml:space="preserve">rticle 13 </w:t>
      </w:r>
      <w:r w:rsidRPr="009527FE" w:rsidR="009527FE">
        <w:rPr>
          <w:lang w:val="en-GB"/>
        </w:rPr>
        <w:t>of the</w:t>
      </w:r>
      <w:r w:rsidRPr="009527FE">
        <w:rPr>
          <w:lang w:val="en-GB"/>
        </w:rPr>
        <w:t xml:space="preserve"> Convention </w:t>
      </w:r>
      <w:r w:rsidRPr="009527FE" w:rsidR="009527FE">
        <w:rPr>
          <w:lang w:val="en-GB"/>
        </w:rPr>
        <w:t xml:space="preserve">to </w:t>
      </w:r>
      <w:r w:rsidR="009527FE">
        <w:rPr>
          <w:lang w:val="en-GB"/>
        </w:rPr>
        <w:t>ensure that</w:t>
      </w:r>
      <w:r w:rsidRPr="009527FE" w:rsidR="009527FE">
        <w:rPr>
          <w:lang w:val="en-GB"/>
        </w:rPr>
        <w:t xml:space="preserve"> an</w:t>
      </w:r>
      <w:r w:rsidR="009527FE">
        <w:rPr>
          <w:lang w:val="en-GB"/>
        </w:rPr>
        <w:t xml:space="preserve">yone who has an arguable complaint has an effective remedy before a </w:t>
      </w:r>
      <w:r w:rsidRPr="009527FE">
        <w:rPr>
          <w:lang w:val="en-GB"/>
        </w:rPr>
        <w:t>national</w:t>
      </w:r>
      <w:r w:rsidR="009527FE">
        <w:rPr>
          <w:lang w:val="en-GB"/>
        </w:rPr>
        <w:t xml:space="preserve"> authority</w:t>
      </w:r>
      <w:r w:rsidRPr="009527FE">
        <w:rPr>
          <w:lang w:val="en-GB"/>
        </w:rPr>
        <w:t xml:space="preserve">, </w:t>
      </w:r>
      <w:r w:rsidR="009527FE">
        <w:rPr>
          <w:lang w:val="en-GB"/>
        </w:rPr>
        <w:t xml:space="preserve">the States have the general </w:t>
      </w:r>
      <w:r w:rsidRPr="009527FE">
        <w:rPr>
          <w:lang w:val="en-GB"/>
        </w:rPr>
        <w:t>obligation</w:t>
      </w:r>
      <w:r w:rsidR="009527FE">
        <w:rPr>
          <w:lang w:val="en-GB"/>
        </w:rPr>
        <w:t xml:space="preserve"> to solve the problems underlying violations found</w:t>
      </w:r>
      <w:r w:rsidRPr="009527FE">
        <w:rPr>
          <w:lang w:val="en-GB"/>
        </w:rPr>
        <w:t xml:space="preserve">. </w:t>
      </w:r>
      <w:r w:rsidRPr="00B82A6A" w:rsidR="002233D3">
        <w:rPr>
          <w:lang w:val="en-GB"/>
        </w:rPr>
        <w:t xml:space="preserve">Emphasising that the improvement of remedies at </w:t>
      </w:r>
      <w:r w:rsidRPr="00B82A6A">
        <w:rPr>
          <w:lang w:val="en-GB"/>
        </w:rPr>
        <w:t>national</w:t>
      </w:r>
      <w:r w:rsidRPr="00B82A6A" w:rsidR="002233D3">
        <w:rPr>
          <w:lang w:val="en-GB"/>
        </w:rPr>
        <w:t xml:space="preserve"> level</w:t>
      </w:r>
      <w:r w:rsidRPr="00B82A6A">
        <w:rPr>
          <w:lang w:val="en-GB"/>
        </w:rPr>
        <w:t xml:space="preserve">, </w:t>
      </w:r>
      <w:r w:rsidRPr="00B82A6A" w:rsidR="002233D3">
        <w:rPr>
          <w:lang w:val="en-GB"/>
        </w:rPr>
        <w:t xml:space="preserve">particularly in respect of repetitive cases, should also contribute to reducing the workload of the Court, the Committee of Ministers recommended </w:t>
      </w:r>
      <w:r w:rsidRPr="00B82A6A" w:rsidR="00B82A6A">
        <w:rPr>
          <w:lang w:val="en-GB"/>
        </w:rPr>
        <w:t>that</w:t>
      </w:r>
      <w:r w:rsidRPr="00B82A6A">
        <w:rPr>
          <w:lang w:val="en-GB"/>
        </w:rPr>
        <w:t xml:space="preserve"> </w:t>
      </w:r>
      <w:r w:rsidRPr="00B82A6A" w:rsidR="002233D3">
        <w:rPr>
          <w:lang w:val="en-GB"/>
        </w:rPr>
        <w:t>member States</w:t>
      </w:r>
      <w:r w:rsidRPr="00B82A6A">
        <w:rPr>
          <w:lang w:val="en-GB"/>
        </w:rPr>
        <w:t xml:space="preserve"> </w:t>
      </w:r>
      <w:r w:rsidRPr="00B82A6A" w:rsidR="00B82A6A">
        <w:rPr>
          <w:lang w:val="en-GB"/>
        </w:rPr>
        <w:t>review</w:t>
      </w:r>
      <w:r w:rsidRPr="00B82A6A">
        <w:rPr>
          <w:lang w:val="en-GB"/>
        </w:rPr>
        <w:t xml:space="preserve">, </w:t>
      </w:r>
      <w:r w:rsidRPr="00B82A6A" w:rsidR="00B82A6A">
        <w:rPr>
          <w:lang w:val="en-GB"/>
        </w:rPr>
        <w:t>following Court judgments w</w:t>
      </w:r>
      <w:r w:rsidR="00B82A6A">
        <w:rPr>
          <w:lang w:val="en-GB"/>
        </w:rPr>
        <w:t>hich point to structural or general deficiencies in national law or practice</w:t>
      </w:r>
      <w:r w:rsidRPr="00B82A6A">
        <w:rPr>
          <w:lang w:val="en-GB"/>
        </w:rPr>
        <w:t xml:space="preserve">, </w:t>
      </w:r>
      <w:r w:rsidR="00B82A6A">
        <w:rPr>
          <w:lang w:val="en-GB"/>
        </w:rPr>
        <w:t>the effectiveness of the existing domestic remedies and, “where necessary, set up effective remedies, in order to avoid repetitive cases being brought before the Court”</w:t>
      </w:r>
      <w:r w:rsidRPr="00B82A6A">
        <w:rPr>
          <w:lang w:val="en-GB"/>
        </w:rPr>
        <w:t>.</w:t>
      </w:r>
    </w:p>
    <w:p w:rsidR="00B82A6A" w:rsidP="00B82A6A" w:rsidRDefault="00B82A6A">
      <w:pPr>
        <w:pStyle w:val="JuParaChar1"/>
        <w:rPr>
          <w:lang w:val="en-GB"/>
        </w:rPr>
      </w:pPr>
      <w:r>
        <w:rPr>
          <w:lang w:val="en-GB"/>
        </w:rPr>
        <w:fldChar w:fldCharType="begin"/>
      </w:r>
      <w:r w:rsidRPr="00A427C9">
        <w:rPr>
          <w:lang w:val="en-GB"/>
        </w:rPr>
        <w:instrText xml:space="preserve"> SEQ level0 \*arabic </w:instrText>
      </w:r>
      <w:r>
        <w:rPr>
          <w:lang w:val="en-GB"/>
        </w:rPr>
        <w:fldChar w:fldCharType="separate"/>
      </w:r>
      <w:r w:rsidR="008B3B68">
        <w:rPr>
          <w:noProof/>
          <w:lang w:val="en-GB"/>
        </w:rPr>
        <w:t>233</w:t>
      </w:r>
      <w:r>
        <w:rPr>
          <w:lang w:val="en-GB"/>
        </w:rPr>
        <w:fldChar w:fldCharType="end"/>
      </w:r>
      <w:r w:rsidRPr="00A427C9">
        <w:rPr>
          <w:lang w:val="en-GB"/>
        </w:rPr>
        <w:t>.  </w:t>
      </w:r>
      <w:r w:rsidRPr="00B82A6A">
        <w:rPr>
          <w:lang w:val="en-GB"/>
        </w:rPr>
        <w:t xml:space="preserve">Before examining the claims for just satisfaction submitted by the applicants under Article 41 of the Convention, and having regard to the circumstances of the case and the evolution of its workload, </w:t>
      </w:r>
      <w:r>
        <w:rPr>
          <w:lang w:val="en-GB"/>
        </w:rPr>
        <w:t>the</w:t>
      </w:r>
      <w:r w:rsidRPr="00B82A6A">
        <w:rPr>
          <w:lang w:val="en-GB"/>
        </w:rPr>
        <w:t xml:space="preserve"> Cour</w:t>
      </w:r>
      <w:r>
        <w:rPr>
          <w:lang w:val="en-GB"/>
        </w:rPr>
        <w:t>t</w:t>
      </w:r>
      <w:r w:rsidRPr="00B82A6A">
        <w:rPr>
          <w:lang w:val="en-GB"/>
        </w:rPr>
        <w:t xml:space="preserve"> </w:t>
      </w:r>
      <w:r w:rsidR="008205CD">
        <w:rPr>
          <w:lang w:val="en-GB"/>
        </w:rPr>
        <w:t>will</w:t>
      </w:r>
      <w:r>
        <w:rPr>
          <w:lang w:val="en-GB"/>
        </w:rPr>
        <w:t xml:space="preserve"> examine</w:t>
      </w:r>
      <w:r w:rsidRPr="00B82A6A">
        <w:rPr>
          <w:lang w:val="en-GB"/>
        </w:rPr>
        <w:t xml:space="preserve"> </w:t>
      </w:r>
      <w:r w:rsidRPr="003C3C7F" w:rsidR="003C3C7F">
        <w:rPr>
          <w:lang w:val="en-GB"/>
        </w:rPr>
        <w:t>what</w:t>
      </w:r>
      <w:r w:rsidRPr="003C3C7F">
        <w:rPr>
          <w:lang w:val="en-GB"/>
        </w:rPr>
        <w:t xml:space="preserve"> consequences may be drawn from</w:t>
      </w:r>
      <w:r>
        <w:rPr>
          <w:lang w:val="en-GB"/>
        </w:rPr>
        <w:t xml:space="preserve"> A</w:t>
      </w:r>
      <w:r w:rsidRPr="00B82A6A">
        <w:rPr>
          <w:lang w:val="en-GB"/>
        </w:rPr>
        <w:t xml:space="preserve">rticle 46 </w:t>
      </w:r>
      <w:r>
        <w:rPr>
          <w:lang w:val="en-GB"/>
        </w:rPr>
        <w:t>of the</w:t>
      </w:r>
      <w:r w:rsidRPr="00B82A6A">
        <w:rPr>
          <w:lang w:val="en-GB"/>
        </w:rPr>
        <w:t xml:space="preserve"> Convention </w:t>
      </w:r>
      <w:r>
        <w:rPr>
          <w:lang w:val="en-GB"/>
        </w:rPr>
        <w:t>for the respondent State</w:t>
      </w:r>
      <w:r w:rsidRPr="00B82A6A">
        <w:rPr>
          <w:lang w:val="en-GB"/>
        </w:rPr>
        <w:t>. It reiterates that, under Article 46, the High Contracting Parties undertake to abide by the final judgment</w:t>
      </w:r>
      <w:r>
        <w:rPr>
          <w:lang w:val="en-GB"/>
        </w:rPr>
        <w:t>s</w:t>
      </w:r>
      <w:r w:rsidRPr="00B82A6A">
        <w:rPr>
          <w:lang w:val="en-GB"/>
        </w:rPr>
        <w:t xml:space="preserve"> of the Court in any case to which they are parties, execution being supervised by the Committee of Ministers. </w:t>
      </w:r>
      <w:smartTag w:uri="urn:schemas-microsoft-com:office:smarttags" w:element="PersonName">
        <w:r w:rsidRPr="00B82A6A">
          <w:rPr>
            <w:lang w:val="en-GB"/>
          </w:rPr>
          <w:t>One</w:t>
        </w:r>
      </w:smartTag>
      <w:r w:rsidRPr="00B82A6A">
        <w:rPr>
          <w:lang w:val="en-GB"/>
        </w:rPr>
        <w:t xml:space="preserve"> of the effects of this is that where the Court finds a violation, </w:t>
      </w:r>
      <w:r>
        <w:rPr>
          <w:lang w:val="en-GB"/>
        </w:rPr>
        <w:t>th</w:t>
      </w:r>
      <w:r w:rsidRPr="00B82A6A">
        <w:rPr>
          <w:lang w:val="en-GB"/>
        </w:rPr>
        <w:t xml:space="preserve">e respondent State </w:t>
      </w:r>
      <w:r>
        <w:rPr>
          <w:lang w:val="en-GB"/>
        </w:rPr>
        <w:t xml:space="preserve">has </w:t>
      </w:r>
      <w:r w:rsidRPr="00B82A6A">
        <w:rPr>
          <w:lang w:val="en-GB"/>
        </w:rPr>
        <w:t xml:space="preserve">a legal obligation not just to pay those concerned the sums awarded by way of just satisfaction under Article 41, but also to select, subject to supervision by the Committee of Ministers, the general and/or, if appropriate, individual measures to be adopted in their domestic legal order to put an end to the violation found by the Court and to redress </w:t>
      </w:r>
      <w:r w:rsidR="008205CD">
        <w:rPr>
          <w:lang w:val="en-GB"/>
        </w:rPr>
        <w:t>as</w:t>
      </w:r>
      <w:r w:rsidRPr="00B82A6A">
        <w:rPr>
          <w:lang w:val="en-GB"/>
        </w:rPr>
        <w:t xml:space="preserve"> far as possible the effects. </w:t>
      </w:r>
      <w:r>
        <w:rPr>
          <w:lang w:val="en-GB"/>
        </w:rPr>
        <w:t>T</w:t>
      </w:r>
      <w:r w:rsidRPr="00B82A6A">
        <w:rPr>
          <w:lang w:val="en-GB"/>
        </w:rPr>
        <w:t>he respondent State remains free</w:t>
      </w:r>
      <w:r w:rsidR="009572A1">
        <w:rPr>
          <w:lang w:val="en-GB"/>
        </w:rPr>
        <w:t>, s</w:t>
      </w:r>
      <w:r w:rsidRPr="009572A1" w:rsidR="009572A1">
        <w:rPr>
          <w:lang w:val="en-GB"/>
        </w:rPr>
        <w:t>ubject to monitoring by the Committee of Ministers,</w:t>
      </w:r>
      <w:r w:rsidRPr="00B82A6A">
        <w:rPr>
          <w:lang w:val="en-GB"/>
        </w:rPr>
        <w:t xml:space="preserve"> to choose the means by which it will discharge its legal obligation under Article 46 of the Convention, provided that such means are compatible with the conclusions </w:t>
      </w:r>
      <w:r>
        <w:rPr>
          <w:lang w:val="en-GB"/>
        </w:rPr>
        <w:t>set out in the Court</w:t>
      </w:r>
      <w:r w:rsidR="00E6191D">
        <w:rPr>
          <w:lang w:val="en-GB"/>
        </w:rPr>
        <w:t>’</w:t>
      </w:r>
      <w:r>
        <w:rPr>
          <w:lang w:val="en-GB"/>
        </w:rPr>
        <w:t xml:space="preserve">s judgment (see </w:t>
      </w:r>
      <w:r w:rsidRPr="00B82A6A">
        <w:rPr>
          <w:i/>
          <w:lang w:val="en-GB"/>
        </w:rPr>
        <w:t xml:space="preserve">Scozzari </w:t>
      </w:r>
      <w:r>
        <w:rPr>
          <w:i/>
          <w:lang w:val="en-GB"/>
        </w:rPr>
        <w:t>and</w:t>
      </w:r>
      <w:r w:rsidRPr="00B82A6A">
        <w:rPr>
          <w:i/>
          <w:lang w:val="en-GB"/>
        </w:rPr>
        <w:t xml:space="preserve"> Giunta </w:t>
      </w:r>
      <w:r w:rsidR="00F41FC1">
        <w:rPr>
          <w:i/>
          <w:lang w:val="en-GB"/>
        </w:rPr>
        <w:t>v</w:t>
      </w:r>
      <w:r w:rsidRPr="00B82A6A">
        <w:rPr>
          <w:i/>
          <w:lang w:val="en-GB"/>
        </w:rPr>
        <w:t xml:space="preserve">. </w:t>
      </w:r>
      <w:r w:rsidR="00F41FC1">
        <w:rPr>
          <w:i/>
          <w:lang w:val="en-GB"/>
        </w:rPr>
        <w:t>Italy</w:t>
      </w:r>
      <w:r w:rsidRPr="00B82A6A">
        <w:rPr>
          <w:lang w:val="en-GB"/>
        </w:rPr>
        <w:t xml:space="preserve"> [GC], n</w:t>
      </w:r>
      <w:r w:rsidR="00F41FC1">
        <w:rPr>
          <w:lang w:val="en-GB"/>
        </w:rPr>
        <w:t>os.</w:t>
      </w:r>
      <w:r w:rsidRPr="00B82A6A">
        <w:rPr>
          <w:lang w:val="en-GB"/>
        </w:rPr>
        <w:t xml:space="preserve"> 39221/98 </w:t>
      </w:r>
      <w:r w:rsidR="00F41FC1">
        <w:rPr>
          <w:lang w:val="en-GB"/>
        </w:rPr>
        <w:t>and</w:t>
      </w:r>
      <w:r w:rsidRPr="00B82A6A">
        <w:rPr>
          <w:lang w:val="en-GB"/>
        </w:rPr>
        <w:t xml:space="preserve"> 41963/98, §</w:t>
      </w:r>
      <w:r>
        <w:rPr>
          <w:lang w:val="en-GB"/>
        </w:rPr>
        <w:t xml:space="preserve"> 249, </w:t>
      </w:r>
      <w:r w:rsidR="00E53175">
        <w:rPr>
          <w:lang w:val="en-GB"/>
        </w:rPr>
        <w:t>ECHR</w:t>
      </w:r>
      <w:r>
        <w:rPr>
          <w:lang w:val="en-GB"/>
        </w:rPr>
        <w:t xml:space="preserve"> 2000-VIII</w:t>
      </w:r>
      <w:r w:rsidR="00152D42">
        <w:rPr>
          <w:lang w:val="en-GB"/>
        </w:rPr>
        <w:t xml:space="preserve">, and </w:t>
      </w:r>
      <w:r w:rsidR="00924643">
        <w:rPr>
          <w:i/>
          <w:lang w:val="en-GB" w:eastAsia="en-US"/>
        </w:rPr>
        <w:t>Broniowski</w:t>
      </w:r>
      <w:r w:rsidR="00924643">
        <w:rPr>
          <w:lang w:val="en-GB" w:eastAsia="en-US"/>
        </w:rPr>
        <w:t>, cited above,</w:t>
      </w:r>
      <w:r w:rsidRPr="00B82A6A">
        <w:rPr>
          <w:lang w:val="en-GB" w:eastAsia="en-US"/>
        </w:rPr>
        <w:t xml:space="preserve"> § 192</w:t>
      </w:r>
      <w:r w:rsidRPr="00B82A6A">
        <w:rPr>
          <w:lang w:val="en-GB"/>
        </w:rPr>
        <w:t>).</w:t>
      </w:r>
    </w:p>
    <w:p w:rsidR="00A427C9" w:rsidP="00A427C9" w:rsidRDefault="00A427C9">
      <w:pPr>
        <w:pStyle w:val="JuParaChar1"/>
        <w:rPr>
          <w:lang w:val="en-GB"/>
        </w:rPr>
      </w:pPr>
      <w:r>
        <w:rPr>
          <w:lang w:val="en-GB"/>
        </w:rPr>
        <w:fldChar w:fldCharType="begin"/>
      </w:r>
      <w:r w:rsidRPr="00B04CAE">
        <w:rPr>
          <w:lang w:val="en-GB"/>
        </w:rPr>
        <w:instrText xml:space="preserve"> SEQ level0 \*arabic </w:instrText>
      </w:r>
      <w:r>
        <w:rPr>
          <w:lang w:val="en-GB"/>
        </w:rPr>
        <w:fldChar w:fldCharType="separate"/>
      </w:r>
      <w:r w:rsidR="008B3B68">
        <w:rPr>
          <w:noProof/>
          <w:lang w:val="en-GB"/>
        </w:rPr>
        <w:t>234</w:t>
      </w:r>
      <w:r>
        <w:rPr>
          <w:lang w:val="en-GB"/>
        </w:rPr>
        <w:fldChar w:fldCharType="end"/>
      </w:r>
      <w:r w:rsidRPr="00B04CAE">
        <w:rPr>
          <w:lang w:val="en-GB"/>
        </w:rPr>
        <w:t>.  </w:t>
      </w:r>
      <w:r w:rsidRPr="00A427C9">
        <w:rPr>
          <w:lang w:val="en-GB"/>
        </w:rPr>
        <w:t>Furthermore, under the Convention, particularly Article</w:t>
      </w:r>
      <w:r w:rsidR="008205CD">
        <w:rPr>
          <w:lang w:val="en-GB"/>
        </w:rPr>
        <w:t xml:space="preserve"> 1, in ratifying the Convention</w:t>
      </w:r>
      <w:r w:rsidRPr="00A427C9">
        <w:rPr>
          <w:lang w:val="en-GB"/>
        </w:rPr>
        <w:t xml:space="preserve"> the Contracting States undertake to ensure that</w:t>
      </w:r>
      <w:r>
        <w:rPr>
          <w:lang w:val="en-GB"/>
        </w:rPr>
        <w:t xml:space="preserve"> their domestic law is</w:t>
      </w:r>
      <w:r w:rsidRPr="00A427C9">
        <w:rPr>
          <w:lang w:val="en-GB"/>
        </w:rPr>
        <w:t xml:space="preserve"> compatible </w:t>
      </w:r>
      <w:r>
        <w:rPr>
          <w:lang w:val="en-GB"/>
        </w:rPr>
        <w:t>with the Convention</w:t>
      </w:r>
      <w:r w:rsidRPr="00A427C9">
        <w:rPr>
          <w:lang w:val="en-GB"/>
        </w:rPr>
        <w:t xml:space="preserve"> (</w:t>
      </w:r>
      <w:r w:rsidR="00F41FC1">
        <w:rPr>
          <w:lang w:val="en-GB"/>
        </w:rPr>
        <w:t xml:space="preserve">see </w:t>
      </w:r>
      <w:r w:rsidRPr="00A427C9">
        <w:rPr>
          <w:i/>
          <w:iCs/>
          <w:lang w:val="en-GB"/>
        </w:rPr>
        <w:t>Maestri</w:t>
      </w:r>
      <w:r w:rsidRPr="00A427C9">
        <w:rPr>
          <w:lang w:val="en-GB"/>
        </w:rPr>
        <w:t xml:space="preserve"> </w:t>
      </w:r>
      <w:r w:rsidRPr="008205CD" w:rsidR="00F41FC1">
        <w:rPr>
          <w:i/>
          <w:lang w:val="en-GB"/>
        </w:rPr>
        <w:t>v</w:t>
      </w:r>
      <w:r w:rsidR="00924643">
        <w:rPr>
          <w:i/>
          <w:iCs/>
          <w:lang w:val="en-GB"/>
        </w:rPr>
        <w:t xml:space="preserve">. </w:t>
      </w:r>
      <w:smartTag w:uri="urn:schemas-microsoft-com:office:smarttags" w:element="place">
        <w:smartTag w:uri="urn:schemas-microsoft-com:office:smarttags" w:element="country-region">
          <w:r w:rsidRPr="00A427C9">
            <w:rPr>
              <w:i/>
              <w:iCs/>
              <w:lang w:val="en-GB"/>
            </w:rPr>
            <w:t>Ital</w:t>
          </w:r>
          <w:r w:rsidR="00F41FC1">
            <w:rPr>
              <w:i/>
              <w:iCs/>
              <w:lang w:val="en-GB"/>
            </w:rPr>
            <w:t>y</w:t>
          </w:r>
        </w:smartTag>
      </w:smartTag>
      <w:r w:rsidRPr="00A427C9">
        <w:rPr>
          <w:lang w:val="en-GB"/>
        </w:rPr>
        <w:t xml:space="preserve"> [GC], </w:t>
      </w:r>
      <w:r>
        <w:rPr>
          <w:lang w:val="en-GB"/>
        </w:rPr>
        <w:t>no.</w:t>
      </w:r>
      <w:r w:rsidRPr="00A427C9">
        <w:rPr>
          <w:position w:val="6"/>
          <w:lang w:val="en-GB"/>
        </w:rPr>
        <w:t xml:space="preserve"> </w:t>
      </w:r>
      <w:r w:rsidRPr="00A427C9">
        <w:rPr>
          <w:lang w:val="en-GB"/>
        </w:rPr>
        <w:t xml:space="preserve">39748/98, § 47, </w:t>
      </w:r>
      <w:r>
        <w:rPr>
          <w:lang w:val="en-GB"/>
        </w:rPr>
        <w:t>ECHR</w:t>
      </w:r>
      <w:r w:rsidRPr="00A427C9">
        <w:rPr>
          <w:lang w:val="en-GB"/>
        </w:rPr>
        <w:t xml:space="preserve"> 2004-I).</w:t>
      </w:r>
    </w:p>
    <w:p w:rsidR="00B04CAE" w:rsidP="00B04CAE" w:rsidRDefault="00B04CAE">
      <w:pPr>
        <w:pStyle w:val="JuParaChar1"/>
        <w:keepLines/>
        <w:rPr>
          <w:lang w:val="en-GB"/>
        </w:rPr>
      </w:pPr>
      <w:r>
        <w:rPr>
          <w:lang w:val="en-GB"/>
        </w:rPr>
        <w:fldChar w:fldCharType="begin"/>
      </w:r>
      <w:r w:rsidRPr="00CE08C6">
        <w:rPr>
          <w:lang w:val="en-GB"/>
        </w:rPr>
        <w:instrText xml:space="preserve"> SEQ level0 \*arabic </w:instrText>
      </w:r>
      <w:r>
        <w:rPr>
          <w:lang w:val="en-GB"/>
        </w:rPr>
        <w:fldChar w:fldCharType="separate"/>
      </w:r>
      <w:r w:rsidR="008B3B68">
        <w:rPr>
          <w:noProof/>
          <w:lang w:val="en-GB"/>
        </w:rPr>
        <w:t>235</w:t>
      </w:r>
      <w:r>
        <w:rPr>
          <w:lang w:val="en-GB"/>
        </w:rPr>
        <w:fldChar w:fldCharType="end"/>
      </w:r>
      <w:r w:rsidRPr="00CE08C6">
        <w:rPr>
          <w:lang w:val="en-GB"/>
        </w:rPr>
        <w:t>.  </w:t>
      </w:r>
      <w:r w:rsidRPr="00B04CAE">
        <w:rPr>
          <w:lang w:val="en-GB"/>
        </w:rPr>
        <w:t>The Court has already noted that the violation it has found in the present case arose from a situation affecting a large num</w:t>
      </w:r>
      <w:r>
        <w:rPr>
          <w:lang w:val="en-GB"/>
        </w:rPr>
        <w:t>ber of people, namely, the category of individuals whose land was expropriated</w:t>
      </w:r>
      <w:r w:rsidRPr="00B04CAE">
        <w:rPr>
          <w:lang w:val="en-GB"/>
        </w:rPr>
        <w:t xml:space="preserve"> (see paragraphs 9</w:t>
      </w:r>
      <w:r w:rsidR="00E6240A">
        <w:rPr>
          <w:lang w:val="en-GB"/>
        </w:rPr>
        <w:t>9</w:t>
      </w:r>
      <w:r w:rsidRPr="00B04CAE">
        <w:rPr>
          <w:lang w:val="en-GB"/>
        </w:rPr>
        <w:t>-10</w:t>
      </w:r>
      <w:r w:rsidR="00E6240A">
        <w:rPr>
          <w:lang w:val="en-GB"/>
        </w:rPr>
        <w:t>4</w:t>
      </w:r>
      <w:r w:rsidRPr="00B04CAE">
        <w:rPr>
          <w:lang w:val="en-GB"/>
        </w:rPr>
        <w:t xml:space="preserve"> above). There are already dozens of applications before the Court that have been lodged by persons </w:t>
      </w:r>
      <w:r>
        <w:rPr>
          <w:lang w:val="en-GB"/>
        </w:rPr>
        <w:t>affected</w:t>
      </w:r>
      <w:r w:rsidRPr="00B04CAE">
        <w:rPr>
          <w:lang w:val="en-GB"/>
        </w:rPr>
        <w:t xml:space="preserve"> </w:t>
      </w:r>
      <w:r>
        <w:rPr>
          <w:lang w:val="en-GB"/>
        </w:rPr>
        <w:t xml:space="preserve">by </w:t>
      </w:r>
      <w:r w:rsidR="00F41FC1">
        <w:rPr>
          <w:lang w:val="en-GB"/>
        </w:rPr>
        <w:t>an</w:t>
      </w:r>
      <w:r>
        <w:rPr>
          <w:lang w:val="en-GB"/>
        </w:rPr>
        <w:t xml:space="preserve"> expropriation of </w:t>
      </w:r>
      <w:r w:rsidR="00F41FC1">
        <w:rPr>
          <w:lang w:val="en-GB"/>
        </w:rPr>
        <w:t>property to which</w:t>
      </w:r>
      <w:r>
        <w:rPr>
          <w:lang w:val="en-GB"/>
        </w:rPr>
        <w:t xml:space="preserve"> the impugned compensation</w:t>
      </w:r>
      <w:r w:rsidR="00F41FC1">
        <w:rPr>
          <w:lang w:val="en-GB"/>
        </w:rPr>
        <w:t xml:space="preserve"> criteria apply</w:t>
      </w:r>
      <w:r w:rsidRPr="00B04CAE">
        <w:rPr>
          <w:lang w:val="en-GB"/>
        </w:rPr>
        <w:t xml:space="preserve">. </w:t>
      </w:r>
      <w:r w:rsidR="00F41FC1">
        <w:rPr>
          <w:lang w:val="en-GB"/>
        </w:rPr>
        <w:t>That is</w:t>
      </w:r>
      <w:r w:rsidRPr="00B04CAE">
        <w:rPr>
          <w:lang w:val="en-GB"/>
        </w:rPr>
        <w:t xml:space="preserve"> not only </w:t>
      </w:r>
      <w:r w:rsidR="00F41FC1">
        <w:rPr>
          <w:lang w:val="en-GB"/>
        </w:rPr>
        <w:t xml:space="preserve">an </w:t>
      </w:r>
      <w:r w:rsidRPr="00B04CAE">
        <w:rPr>
          <w:lang w:val="en-GB"/>
        </w:rPr>
        <w:t>aggravating</w:t>
      </w:r>
      <w:r w:rsidR="00F41FC1">
        <w:rPr>
          <w:lang w:val="en-GB"/>
        </w:rPr>
        <w:t xml:space="preserve"> factor</w:t>
      </w:r>
      <w:r w:rsidRPr="00B04CAE">
        <w:rPr>
          <w:lang w:val="en-GB"/>
        </w:rPr>
        <w:t xml:space="preserve"> as regards the State</w:t>
      </w:r>
      <w:r w:rsidR="00E6191D">
        <w:rPr>
          <w:lang w:val="en-GB"/>
        </w:rPr>
        <w:t>’</w:t>
      </w:r>
      <w:r w:rsidRPr="00B04CAE">
        <w:rPr>
          <w:lang w:val="en-GB"/>
        </w:rPr>
        <w:t xml:space="preserve">s responsibility under the Convention </w:t>
      </w:r>
      <w:r w:rsidR="00F41FC1">
        <w:rPr>
          <w:lang w:val="en-GB"/>
        </w:rPr>
        <w:t>for</w:t>
      </w:r>
      <w:r w:rsidRPr="00B04CAE">
        <w:rPr>
          <w:lang w:val="en-GB"/>
        </w:rPr>
        <w:t xml:space="preserve"> a past o</w:t>
      </w:r>
      <w:r>
        <w:rPr>
          <w:lang w:val="en-GB"/>
        </w:rPr>
        <w:t>r present situation, but</w:t>
      </w:r>
      <w:r w:rsidR="00F41FC1">
        <w:rPr>
          <w:lang w:val="en-GB"/>
        </w:rPr>
        <w:t xml:space="preserve"> is</w:t>
      </w:r>
      <w:r>
        <w:rPr>
          <w:lang w:val="en-GB"/>
        </w:rPr>
        <w:t xml:space="preserve"> also a threat for the future </w:t>
      </w:r>
      <w:r w:rsidR="00F41FC1">
        <w:rPr>
          <w:lang w:val="en-GB"/>
        </w:rPr>
        <w:t xml:space="preserve">effectiveness </w:t>
      </w:r>
      <w:r>
        <w:rPr>
          <w:lang w:val="en-GB"/>
        </w:rPr>
        <w:t>of the system put in</w:t>
      </w:r>
      <w:r w:rsidRPr="00B04CAE">
        <w:rPr>
          <w:lang w:val="en-GB"/>
        </w:rPr>
        <w:t xml:space="preserve"> place </w:t>
      </w:r>
      <w:r>
        <w:rPr>
          <w:lang w:val="en-GB"/>
        </w:rPr>
        <w:t>by the</w:t>
      </w:r>
      <w:r w:rsidRPr="00B04CAE">
        <w:rPr>
          <w:lang w:val="en-GB"/>
        </w:rPr>
        <w:t xml:space="preserve"> Convention.</w:t>
      </w:r>
    </w:p>
    <w:p w:rsidRPr="00CE08C6" w:rsidR="00CE08C6" w:rsidP="00CE08C6" w:rsidRDefault="00CE08C6">
      <w:pPr>
        <w:pStyle w:val="JuParaChar1"/>
        <w:rPr>
          <w:lang w:val="en-GB"/>
        </w:rPr>
      </w:pPr>
      <w:r>
        <w:rPr>
          <w:lang w:val="en-GB"/>
        </w:rPr>
        <w:fldChar w:fldCharType="begin"/>
      </w:r>
      <w:r w:rsidRPr="00507681">
        <w:rPr>
          <w:lang w:val="en-GB"/>
        </w:rPr>
        <w:instrText xml:space="preserve"> SEQ level0 \*arabic </w:instrText>
      </w:r>
      <w:r>
        <w:rPr>
          <w:lang w:val="en-GB"/>
        </w:rPr>
        <w:fldChar w:fldCharType="separate"/>
      </w:r>
      <w:r w:rsidR="008B3B68">
        <w:rPr>
          <w:noProof/>
          <w:lang w:val="en-GB"/>
        </w:rPr>
        <w:t>236</w:t>
      </w:r>
      <w:r>
        <w:rPr>
          <w:lang w:val="en-GB"/>
        </w:rPr>
        <w:fldChar w:fldCharType="end"/>
      </w:r>
      <w:r w:rsidRPr="00507681">
        <w:rPr>
          <w:lang w:val="en-GB"/>
        </w:rPr>
        <w:t>.  </w:t>
      </w:r>
      <w:r w:rsidR="0029763B">
        <w:rPr>
          <w:lang w:val="en-GB"/>
        </w:rPr>
        <w:t>I</w:t>
      </w:r>
      <w:r w:rsidRPr="00CE08C6">
        <w:rPr>
          <w:lang w:val="en-GB"/>
        </w:rPr>
        <w:t xml:space="preserve">n theory it is not for the Court to determine what may be the appropriate measures of redress for a respondent State to </w:t>
      </w:r>
      <w:r w:rsidR="00D54CA3">
        <w:rPr>
          <w:lang w:val="en-GB"/>
        </w:rPr>
        <w:t>take</w:t>
      </w:r>
      <w:r w:rsidR="0029763B">
        <w:rPr>
          <w:lang w:val="en-GB"/>
        </w:rPr>
        <w:t xml:space="preserve"> in accordance with</w:t>
      </w:r>
      <w:r w:rsidRPr="00CE08C6">
        <w:rPr>
          <w:lang w:val="en-GB"/>
        </w:rPr>
        <w:t xml:space="preserve"> its obligations under Article 46 of the Convention</w:t>
      </w:r>
      <w:r w:rsidR="0029763B">
        <w:rPr>
          <w:lang w:val="en-GB"/>
        </w:rPr>
        <w:t>. However</w:t>
      </w:r>
      <w:r w:rsidRPr="00CE08C6">
        <w:rPr>
          <w:lang w:val="en-GB"/>
        </w:rPr>
        <w:t xml:space="preserve">, having regard to </w:t>
      </w:r>
      <w:r w:rsidRPr="0029763B" w:rsidR="0029763B">
        <w:rPr>
          <w:lang w:val="en-GB"/>
        </w:rPr>
        <w:t>the systemic situation which it has identified, the Court would observe that general measures at national level are undoubtedly called for in the execution of the present judgment</w:t>
      </w:r>
      <w:r w:rsidRPr="00CE08C6">
        <w:rPr>
          <w:lang w:val="en-GB"/>
        </w:rPr>
        <w:t>, me</w:t>
      </w:r>
      <w:r>
        <w:rPr>
          <w:lang w:val="en-GB"/>
        </w:rPr>
        <w:t>a</w:t>
      </w:r>
      <w:r w:rsidRPr="00CE08C6">
        <w:rPr>
          <w:lang w:val="en-GB"/>
        </w:rPr>
        <w:t xml:space="preserve">sures </w:t>
      </w:r>
      <w:r>
        <w:rPr>
          <w:lang w:val="en-GB"/>
        </w:rPr>
        <w:t>which must take into consideration the large number of people affected</w:t>
      </w:r>
      <w:r w:rsidRPr="00CE08C6">
        <w:rPr>
          <w:lang w:val="en-GB"/>
        </w:rPr>
        <w:t xml:space="preserve">. </w:t>
      </w:r>
      <w:r w:rsidR="00832C2A">
        <w:rPr>
          <w:lang w:val="en-GB"/>
        </w:rPr>
        <w:t>Furthermore</w:t>
      </w:r>
      <w:r w:rsidRPr="00CE08C6">
        <w:rPr>
          <w:lang w:val="en-GB"/>
        </w:rPr>
        <w:t>, the measures taken must be such as to remedy the systemic defect underlying the Court</w:t>
      </w:r>
      <w:r w:rsidR="00E6191D">
        <w:rPr>
          <w:lang w:val="en-GB"/>
        </w:rPr>
        <w:t>’</w:t>
      </w:r>
      <w:r w:rsidRPr="00CE08C6">
        <w:rPr>
          <w:lang w:val="en-GB"/>
        </w:rPr>
        <w:t xml:space="preserve">s finding of a violation, so that </w:t>
      </w:r>
      <w:r>
        <w:rPr>
          <w:lang w:val="en-GB"/>
        </w:rPr>
        <w:t>the system</w:t>
      </w:r>
      <w:r w:rsidRPr="00CE08C6">
        <w:rPr>
          <w:lang w:val="en-GB"/>
        </w:rPr>
        <w:t xml:space="preserve"> </w:t>
      </w:r>
      <w:r>
        <w:rPr>
          <w:lang w:val="en-GB"/>
        </w:rPr>
        <w:t>established by the</w:t>
      </w:r>
      <w:r w:rsidRPr="00CE08C6">
        <w:rPr>
          <w:lang w:val="en-GB"/>
        </w:rPr>
        <w:t xml:space="preserve"> Convention </w:t>
      </w:r>
      <w:r>
        <w:rPr>
          <w:lang w:val="en-GB"/>
        </w:rPr>
        <w:t xml:space="preserve">is not </w:t>
      </w:r>
      <w:r w:rsidR="00832C2A">
        <w:rPr>
          <w:lang w:val="en-GB"/>
        </w:rPr>
        <w:t>compromised</w:t>
      </w:r>
      <w:r>
        <w:rPr>
          <w:lang w:val="en-GB"/>
        </w:rPr>
        <w:t xml:space="preserve"> by a large number of applications arising out of the same</w:t>
      </w:r>
      <w:r w:rsidRPr="00CE08C6">
        <w:rPr>
          <w:lang w:val="en-GB"/>
        </w:rPr>
        <w:t xml:space="preserve"> </w:t>
      </w:r>
      <w:r>
        <w:rPr>
          <w:lang w:val="en-GB"/>
        </w:rPr>
        <w:t>ca</w:t>
      </w:r>
      <w:r w:rsidRPr="00CE08C6">
        <w:rPr>
          <w:lang w:val="en-GB"/>
        </w:rPr>
        <w:t xml:space="preserve">use. Such measures must therefore include a mechanism for providing </w:t>
      </w:r>
      <w:r>
        <w:rPr>
          <w:lang w:val="en-GB"/>
        </w:rPr>
        <w:t xml:space="preserve">injured </w:t>
      </w:r>
      <w:r w:rsidRPr="00CE08C6">
        <w:rPr>
          <w:lang w:val="en-GB"/>
        </w:rPr>
        <w:t xml:space="preserve">persons with </w:t>
      </w:r>
      <w:r>
        <w:rPr>
          <w:lang w:val="en-GB"/>
        </w:rPr>
        <w:t>compensation for the</w:t>
      </w:r>
      <w:r w:rsidRPr="00CE08C6">
        <w:rPr>
          <w:lang w:val="en-GB"/>
        </w:rPr>
        <w:t xml:space="preserve"> violation </w:t>
      </w:r>
      <w:r>
        <w:rPr>
          <w:lang w:val="en-GB"/>
        </w:rPr>
        <w:t>of the</w:t>
      </w:r>
      <w:r w:rsidRPr="00CE08C6">
        <w:rPr>
          <w:lang w:val="en-GB"/>
        </w:rPr>
        <w:t xml:space="preserve"> Convention </w:t>
      </w:r>
      <w:r>
        <w:rPr>
          <w:lang w:val="en-GB"/>
        </w:rPr>
        <w:t>established in the present judgment</w:t>
      </w:r>
      <w:r w:rsidRPr="00CE08C6">
        <w:rPr>
          <w:lang w:val="en-GB"/>
        </w:rPr>
        <w:t xml:space="preserve"> </w:t>
      </w:r>
      <w:r>
        <w:rPr>
          <w:lang w:val="en-GB"/>
        </w:rPr>
        <w:t>concerning</w:t>
      </w:r>
      <w:r w:rsidRPr="00CE08C6">
        <w:rPr>
          <w:lang w:val="en-GB"/>
        </w:rPr>
        <w:t xml:space="preserve"> </w:t>
      </w:r>
      <w:r w:rsidR="00152D42">
        <w:rPr>
          <w:lang w:val="en-GB"/>
        </w:rPr>
        <w:t>the applicants</w:t>
      </w:r>
      <w:r w:rsidRPr="00CE08C6">
        <w:rPr>
          <w:lang w:val="en-GB"/>
        </w:rPr>
        <w:t>. In that connection the Court</w:t>
      </w:r>
      <w:r w:rsidR="00E6191D">
        <w:rPr>
          <w:lang w:val="en-GB"/>
        </w:rPr>
        <w:t>’</w:t>
      </w:r>
      <w:r w:rsidRPr="00CE08C6">
        <w:rPr>
          <w:lang w:val="en-GB"/>
        </w:rPr>
        <w:t>s concern is to facilitate the rapid and effective suppression of</w:t>
      </w:r>
      <w:r w:rsidR="00D54CA3">
        <w:rPr>
          <w:lang w:val="en-GB"/>
        </w:rPr>
        <w:t xml:space="preserve"> a malfunction</w:t>
      </w:r>
      <w:r>
        <w:rPr>
          <w:lang w:val="en-GB"/>
        </w:rPr>
        <w:t xml:space="preserve"> found in the n</w:t>
      </w:r>
      <w:r w:rsidR="00D54CA3">
        <w:rPr>
          <w:lang w:val="en-GB"/>
        </w:rPr>
        <w:t xml:space="preserve">ational system of human </w:t>
      </w:r>
      <w:r>
        <w:rPr>
          <w:lang w:val="en-GB"/>
        </w:rPr>
        <w:t>rights</w:t>
      </w:r>
      <w:r w:rsidRPr="00CE08C6">
        <w:rPr>
          <w:lang w:val="en-GB"/>
        </w:rPr>
        <w:t xml:space="preserve"> protection. Once such a deficiency has been identified, the national authorities have the task, subject to supervision by the Committee of Ministers, of taking</w:t>
      </w:r>
      <w:r w:rsidR="00E6240A">
        <w:rPr>
          <w:lang w:val="en-GB"/>
        </w:rPr>
        <w:t xml:space="preserve"> </w:t>
      </w:r>
      <w:r w:rsidR="00D54CA3">
        <w:rPr>
          <w:lang w:val="en-GB"/>
        </w:rPr>
        <w:t>– retrospectively if necessary</w:t>
      </w:r>
      <w:r w:rsidRPr="00CE08C6">
        <w:rPr>
          <w:lang w:val="en-GB"/>
        </w:rPr>
        <w:t xml:space="preserve"> (see </w:t>
      </w:r>
      <w:r w:rsidRPr="00CE08C6">
        <w:rPr>
          <w:i/>
          <w:lang w:val="en-GB"/>
        </w:rPr>
        <w:t>Bottazzi</w:t>
      </w:r>
      <w:r w:rsidRPr="00CE08C6">
        <w:rPr>
          <w:lang w:val="en-GB"/>
        </w:rPr>
        <w:t xml:space="preserve">, </w:t>
      </w:r>
      <w:r w:rsidR="00325C12">
        <w:rPr>
          <w:lang w:val="en-GB"/>
        </w:rPr>
        <w:t xml:space="preserve">§ 22, </w:t>
      </w:r>
      <w:r w:rsidR="008205CD">
        <w:rPr>
          <w:lang w:val="en-GB"/>
        </w:rPr>
        <w:t xml:space="preserve">and </w:t>
      </w:r>
      <w:r w:rsidRPr="00CE08C6">
        <w:rPr>
          <w:i/>
          <w:lang w:val="en-GB"/>
        </w:rPr>
        <w:t>Di</w:t>
      </w:r>
      <w:r w:rsidR="009E14C6">
        <w:rPr>
          <w:i/>
          <w:lang w:val="en-GB"/>
        </w:rPr>
        <w:t xml:space="preserve"> </w:t>
      </w:r>
      <w:r w:rsidRPr="00CE08C6">
        <w:rPr>
          <w:i/>
          <w:lang w:val="en-GB"/>
        </w:rPr>
        <w:t>Mauro</w:t>
      </w:r>
      <w:r w:rsidR="008205CD">
        <w:rPr>
          <w:lang w:val="en-GB"/>
        </w:rPr>
        <w:t xml:space="preserve">, </w:t>
      </w:r>
      <w:r w:rsidR="00325C12">
        <w:rPr>
          <w:lang w:val="en-GB"/>
        </w:rPr>
        <w:t xml:space="preserve">§ 23, </w:t>
      </w:r>
      <w:r w:rsidR="008205CD">
        <w:rPr>
          <w:lang w:val="en-GB"/>
        </w:rPr>
        <w:t>both cited above</w:t>
      </w:r>
      <w:r w:rsidRPr="00CE08C6">
        <w:rPr>
          <w:lang w:val="en-GB"/>
        </w:rPr>
        <w:t xml:space="preserve">, and the Interim Resolution of the Committee of Ministers ResDH(2000)135 of 25 </w:t>
      </w:r>
      <w:r>
        <w:rPr>
          <w:lang w:val="en-GB"/>
        </w:rPr>
        <w:t>October</w:t>
      </w:r>
      <w:r w:rsidRPr="00CE08C6">
        <w:rPr>
          <w:lang w:val="en-GB"/>
        </w:rPr>
        <w:t xml:space="preserve"> 2000 (</w:t>
      </w:r>
      <w:r w:rsidR="0029763B">
        <w:rPr>
          <w:lang w:val="en-GB"/>
        </w:rPr>
        <w:t>Ex</w:t>
      </w:r>
      <w:r w:rsidRPr="00CE08C6">
        <w:rPr>
          <w:lang w:val="en-GB"/>
        </w:rPr>
        <w:t xml:space="preserve">cessive </w:t>
      </w:r>
      <w:r w:rsidR="0029763B">
        <w:rPr>
          <w:lang w:val="en-GB"/>
        </w:rPr>
        <w:t>length of judicial proceedings in Italy</w:t>
      </w:r>
      <w:r w:rsidRPr="00CE08C6">
        <w:rPr>
          <w:lang w:val="en-GB"/>
        </w:rPr>
        <w:t xml:space="preserve">: </w:t>
      </w:r>
      <w:r w:rsidR="0029763B">
        <w:rPr>
          <w:lang w:val="en-GB"/>
        </w:rPr>
        <w:t>general measures</w:t>
      </w:r>
      <w:r w:rsidRPr="00CE08C6">
        <w:rPr>
          <w:lang w:val="en-GB"/>
        </w:rPr>
        <w:t xml:space="preserve">); </w:t>
      </w:r>
      <w:r w:rsidR="0029763B">
        <w:rPr>
          <w:lang w:val="en-GB"/>
        </w:rPr>
        <w:t>see also</w:t>
      </w:r>
      <w:r w:rsidRPr="00CE08C6">
        <w:rPr>
          <w:lang w:val="en-GB"/>
        </w:rPr>
        <w:t xml:space="preserve"> </w:t>
      </w:r>
      <w:r w:rsidRPr="00CE08C6">
        <w:rPr>
          <w:i/>
          <w:lang w:val="en-GB"/>
        </w:rPr>
        <w:t>Brusco</w:t>
      </w:r>
      <w:r w:rsidRPr="00CE08C6">
        <w:rPr>
          <w:lang w:val="en-GB"/>
        </w:rPr>
        <w:t>,</w:t>
      </w:r>
      <w:r w:rsidR="008205CD">
        <w:rPr>
          <w:lang w:val="en-GB"/>
        </w:rPr>
        <w:t xml:space="preserve"> cited above, </w:t>
      </w:r>
      <w:r w:rsidR="0029763B">
        <w:rPr>
          <w:lang w:val="en-GB"/>
        </w:rPr>
        <w:t>and</w:t>
      </w:r>
      <w:r w:rsidRPr="00CE08C6">
        <w:rPr>
          <w:lang w:val="en-GB"/>
        </w:rPr>
        <w:t xml:space="preserve"> </w:t>
      </w:r>
      <w:r w:rsidRPr="00CE08C6">
        <w:rPr>
          <w:i/>
          <w:lang w:val="en-GB"/>
        </w:rPr>
        <w:t xml:space="preserve">Giacometti </w:t>
      </w:r>
      <w:r w:rsidR="0029763B">
        <w:rPr>
          <w:i/>
          <w:lang w:val="en-GB"/>
        </w:rPr>
        <w:t>and Others</w:t>
      </w:r>
      <w:r w:rsidRPr="00CE08C6">
        <w:rPr>
          <w:i/>
          <w:lang w:val="en-GB"/>
        </w:rPr>
        <w:t xml:space="preserve"> </w:t>
      </w:r>
      <w:r w:rsidR="0029763B">
        <w:rPr>
          <w:i/>
          <w:lang w:val="en-GB"/>
        </w:rPr>
        <w:t>v</w:t>
      </w:r>
      <w:r w:rsidR="008205CD">
        <w:rPr>
          <w:i/>
          <w:lang w:val="en-GB"/>
        </w:rPr>
        <w:t xml:space="preserve">. </w:t>
      </w:r>
      <w:r w:rsidRPr="00CE08C6">
        <w:rPr>
          <w:i/>
          <w:lang w:val="en-GB"/>
        </w:rPr>
        <w:t>Ital</w:t>
      </w:r>
      <w:r w:rsidR="0029763B">
        <w:rPr>
          <w:i/>
          <w:lang w:val="en-GB"/>
        </w:rPr>
        <w:t>y</w:t>
      </w:r>
      <w:r w:rsidRPr="00CE08C6">
        <w:rPr>
          <w:lang w:val="en-GB"/>
        </w:rPr>
        <w:t xml:space="preserve"> (d</w:t>
      </w:r>
      <w:r w:rsidR="0029763B">
        <w:rPr>
          <w:lang w:val="en-GB"/>
        </w:rPr>
        <w:t>e</w:t>
      </w:r>
      <w:r w:rsidRPr="00CE08C6">
        <w:rPr>
          <w:lang w:val="en-GB"/>
        </w:rPr>
        <w:t xml:space="preserve">c.), </w:t>
      </w:r>
      <w:r w:rsidR="0029763B">
        <w:rPr>
          <w:lang w:val="en-GB"/>
        </w:rPr>
        <w:t>no.</w:t>
      </w:r>
      <w:r w:rsidR="00D54CA3">
        <w:rPr>
          <w:lang w:val="en-GB"/>
        </w:rPr>
        <w:t xml:space="preserve"> </w:t>
      </w:r>
      <w:r w:rsidRPr="00CE08C6">
        <w:rPr>
          <w:lang w:val="en-GB"/>
        </w:rPr>
        <w:t xml:space="preserve">34939/97, </w:t>
      </w:r>
      <w:r w:rsidR="00E53175">
        <w:rPr>
          <w:lang w:val="en-GB"/>
        </w:rPr>
        <w:t>ECHR</w:t>
      </w:r>
      <w:r w:rsidR="00E54656">
        <w:rPr>
          <w:lang w:val="en-GB"/>
        </w:rPr>
        <w:t xml:space="preserve"> 2001-</w:t>
      </w:r>
      <w:r w:rsidRPr="00CE08C6">
        <w:rPr>
          <w:lang w:val="en-GB"/>
        </w:rPr>
        <w:t xml:space="preserve">XII) </w:t>
      </w:r>
      <w:r w:rsidR="00D54CA3">
        <w:rPr>
          <w:lang w:val="en-GB"/>
        </w:rPr>
        <w:t xml:space="preserve">– </w:t>
      </w:r>
      <w:r>
        <w:rPr>
          <w:lang w:val="en-GB"/>
        </w:rPr>
        <w:t xml:space="preserve">the necessary measures of redress </w:t>
      </w:r>
      <w:r w:rsidRPr="00CE08C6">
        <w:rPr>
          <w:lang w:val="en-GB"/>
        </w:rPr>
        <w:t>in accordance with the principle of subsidiarity</w:t>
      </w:r>
      <w:r>
        <w:rPr>
          <w:lang w:val="en-GB"/>
        </w:rPr>
        <w:t xml:space="preserve"> under the Convention</w:t>
      </w:r>
      <w:r w:rsidRPr="00CE08C6">
        <w:rPr>
          <w:lang w:val="en-GB"/>
        </w:rPr>
        <w:t xml:space="preserve">, </w:t>
      </w:r>
      <w:r>
        <w:rPr>
          <w:lang w:val="en-GB"/>
        </w:rPr>
        <w:t>so that the</w:t>
      </w:r>
      <w:r w:rsidRPr="00CE08C6">
        <w:rPr>
          <w:lang w:val="en-GB"/>
        </w:rPr>
        <w:t xml:space="preserve"> Cour</w:t>
      </w:r>
      <w:r>
        <w:rPr>
          <w:lang w:val="en-GB"/>
        </w:rPr>
        <w:t xml:space="preserve">t does not have to reiterate its finding of a </w:t>
      </w:r>
      <w:r w:rsidRPr="00CE08C6">
        <w:rPr>
          <w:lang w:val="en-GB"/>
        </w:rPr>
        <w:t xml:space="preserve">violation </w:t>
      </w:r>
      <w:r>
        <w:rPr>
          <w:lang w:val="en-GB"/>
        </w:rPr>
        <w:t>in a long series of comparable case</w:t>
      </w:r>
      <w:r w:rsidRPr="00CE08C6">
        <w:rPr>
          <w:lang w:val="en-GB"/>
        </w:rPr>
        <w:t>s.</w:t>
      </w:r>
    </w:p>
    <w:p w:rsidR="00CE08C6" w:rsidP="009071EF" w:rsidRDefault="00CE08C6">
      <w:pPr>
        <w:pStyle w:val="JuParaChar1"/>
        <w:rPr>
          <w:lang w:val="en-GB"/>
        </w:rPr>
      </w:pPr>
      <w:r w:rsidRPr="00C2011C">
        <w:fldChar w:fldCharType="begin"/>
      </w:r>
      <w:r w:rsidRPr="00507681">
        <w:rPr>
          <w:lang w:val="en-GB"/>
        </w:rPr>
        <w:instrText xml:space="preserve"> SEQ level0 \*arabic </w:instrText>
      </w:r>
      <w:r w:rsidRPr="00C2011C">
        <w:fldChar w:fldCharType="separate"/>
      </w:r>
      <w:r w:rsidR="008B3B68">
        <w:rPr>
          <w:noProof/>
          <w:lang w:val="en-GB"/>
        </w:rPr>
        <w:t>237</w:t>
      </w:r>
      <w:r w:rsidRPr="00C2011C">
        <w:fldChar w:fldCharType="end"/>
      </w:r>
      <w:r w:rsidRPr="00507681">
        <w:rPr>
          <w:lang w:val="en-GB"/>
        </w:rPr>
        <w:t>.  </w:t>
      </w:r>
      <w:r w:rsidRPr="009071EF" w:rsidR="009071EF">
        <w:rPr>
          <w:lang w:val="en-GB"/>
        </w:rPr>
        <w:t xml:space="preserve">In order to assist the respondent State in complying with its </w:t>
      </w:r>
      <w:r w:rsidRPr="009071EF">
        <w:rPr>
          <w:lang w:val="en-GB"/>
        </w:rPr>
        <w:t xml:space="preserve">obligations </w:t>
      </w:r>
      <w:r w:rsidRPr="009071EF" w:rsidR="009071EF">
        <w:rPr>
          <w:lang w:val="en-GB"/>
        </w:rPr>
        <w:t>under Ar</w:t>
      </w:r>
      <w:r w:rsidRPr="009071EF">
        <w:rPr>
          <w:lang w:val="en-GB"/>
        </w:rPr>
        <w:t xml:space="preserve">ticle 46, </w:t>
      </w:r>
      <w:r w:rsidRPr="009071EF" w:rsidR="009071EF">
        <w:rPr>
          <w:lang w:val="en-GB"/>
        </w:rPr>
        <w:t>the</w:t>
      </w:r>
      <w:r w:rsidRPr="009071EF">
        <w:rPr>
          <w:lang w:val="en-GB"/>
        </w:rPr>
        <w:t xml:space="preserve"> Cour</w:t>
      </w:r>
      <w:r w:rsidRPr="009071EF" w:rsidR="009071EF">
        <w:rPr>
          <w:lang w:val="en-GB"/>
        </w:rPr>
        <w:t>t</w:t>
      </w:r>
      <w:r w:rsidRPr="009071EF">
        <w:rPr>
          <w:lang w:val="en-GB"/>
        </w:rPr>
        <w:t xml:space="preserve"> </w:t>
      </w:r>
      <w:r w:rsidRPr="009071EF" w:rsidR="009071EF">
        <w:rPr>
          <w:lang w:val="en-GB"/>
        </w:rPr>
        <w:t>has attempted to indicate the t</w:t>
      </w:r>
      <w:r w:rsidRPr="009071EF">
        <w:rPr>
          <w:lang w:val="en-GB"/>
        </w:rPr>
        <w:t xml:space="preserve">ype </w:t>
      </w:r>
      <w:r w:rsidRPr="009071EF" w:rsidR="009071EF">
        <w:rPr>
          <w:lang w:val="en-GB"/>
        </w:rPr>
        <w:t>of</w:t>
      </w:r>
      <w:r w:rsidRPr="009071EF">
        <w:rPr>
          <w:lang w:val="en-GB"/>
        </w:rPr>
        <w:t xml:space="preserve"> me</w:t>
      </w:r>
      <w:r w:rsidRPr="009071EF" w:rsidR="009071EF">
        <w:rPr>
          <w:lang w:val="en-GB"/>
        </w:rPr>
        <w:t>a</w:t>
      </w:r>
      <w:r w:rsidRPr="009071EF">
        <w:rPr>
          <w:lang w:val="en-GB"/>
        </w:rPr>
        <w:t xml:space="preserve">sures </w:t>
      </w:r>
      <w:r w:rsidR="00325C12">
        <w:rPr>
          <w:lang w:val="en-GB"/>
        </w:rPr>
        <w:t xml:space="preserve">the </w:t>
      </w:r>
      <w:smartTag w:uri="urn:schemas-microsoft-com:office:smarttags" w:element="place">
        <w:smartTag w:uri="urn:schemas-microsoft-com:office:smarttags" w:element="PlaceName">
          <w:r w:rsidR="00325C12">
            <w:rPr>
              <w:lang w:val="en-GB"/>
            </w:rPr>
            <w:t>Italian</w:t>
          </w:r>
        </w:smartTag>
        <w:r w:rsidR="00325C12">
          <w:rPr>
            <w:lang w:val="en-GB"/>
          </w:rPr>
          <w:t xml:space="preserve"> </w:t>
        </w:r>
        <w:smartTag w:uri="urn:schemas-microsoft-com:office:smarttags" w:element="PlaceType">
          <w:r w:rsidR="00325C12">
            <w:rPr>
              <w:lang w:val="en-GB"/>
            </w:rPr>
            <w:t>State</w:t>
          </w:r>
        </w:smartTag>
      </w:smartTag>
      <w:r w:rsidR="009071EF">
        <w:rPr>
          <w:lang w:val="en-GB"/>
        </w:rPr>
        <w:t xml:space="preserve"> could take in order to</w:t>
      </w:r>
      <w:r w:rsidRPr="009071EF">
        <w:rPr>
          <w:lang w:val="en-GB"/>
        </w:rPr>
        <w:t xml:space="preserve"> </w:t>
      </w:r>
      <w:r w:rsidR="009071EF">
        <w:rPr>
          <w:lang w:val="en-GB"/>
        </w:rPr>
        <w:t>put an end to the</w:t>
      </w:r>
      <w:r w:rsidRPr="009071EF">
        <w:rPr>
          <w:lang w:val="en-GB"/>
        </w:rPr>
        <w:t xml:space="preserve"> </w:t>
      </w:r>
      <w:r w:rsidR="009071EF">
        <w:rPr>
          <w:lang w:val="en-GB"/>
        </w:rPr>
        <w:t xml:space="preserve">systemic </w:t>
      </w:r>
      <w:r w:rsidRPr="009071EF">
        <w:rPr>
          <w:lang w:val="en-GB"/>
        </w:rPr>
        <w:t xml:space="preserve">situation </w:t>
      </w:r>
      <w:r w:rsidR="009071EF">
        <w:rPr>
          <w:lang w:val="en-GB"/>
        </w:rPr>
        <w:t xml:space="preserve">found in the present case. </w:t>
      </w:r>
      <w:r w:rsidR="00E6240A">
        <w:rPr>
          <w:lang w:val="en-GB"/>
        </w:rPr>
        <w:t>It</w:t>
      </w:r>
      <w:r w:rsidRPr="009071EF" w:rsidR="009071EF">
        <w:rPr>
          <w:lang w:val="en-GB"/>
        </w:rPr>
        <w:t xml:space="preserve"> considers that the respondent State </w:t>
      </w:r>
      <w:r w:rsidR="001229F9">
        <w:rPr>
          <w:lang w:val="en-GB"/>
        </w:rPr>
        <w:t>should</w:t>
      </w:r>
      <w:r w:rsidRPr="009071EF" w:rsidR="009071EF">
        <w:rPr>
          <w:lang w:val="en-GB"/>
        </w:rPr>
        <w:t>, above all, remove every obstacle to the award of compensation bearing a reasonable relation to the value of the expropriated property</w:t>
      </w:r>
      <w:r w:rsidRPr="009071EF">
        <w:rPr>
          <w:lang w:val="en-GB"/>
        </w:rPr>
        <w:t xml:space="preserve">, </w:t>
      </w:r>
      <w:r w:rsidRPr="009071EF" w:rsidR="009071EF">
        <w:rPr>
          <w:lang w:val="en-GB"/>
        </w:rPr>
        <w:t>and thus ensure, by appropriate statutory</w:t>
      </w:r>
      <w:r w:rsidRPr="009071EF">
        <w:rPr>
          <w:lang w:val="en-GB"/>
        </w:rPr>
        <w:t>,</w:t>
      </w:r>
      <w:r w:rsidRPr="009071EF" w:rsidR="009071EF">
        <w:rPr>
          <w:lang w:val="en-GB"/>
        </w:rPr>
        <w:t xml:space="preserve"> administrative</w:t>
      </w:r>
      <w:r w:rsidRPr="009071EF">
        <w:rPr>
          <w:lang w:val="en-GB"/>
        </w:rPr>
        <w:t xml:space="preserve"> </w:t>
      </w:r>
      <w:r w:rsidRPr="009071EF" w:rsidR="009071EF">
        <w:rPr>
          <w:lang w:val="en-GB"/>
        </w:rPr>
        <w:t>and</w:t>
      </w:r>
      <w:r w:rsidRPr="009071EF">
        <w:rPr>
          <w:lang w:val="en-GB"/>
        </w:rPr>
        <w:t xml:space="preserve"> budg</w:t>
      </w:r>
      <w:r w:rsidRPr="009071EF" w:rsidR="009071EF">
        <w:rPr>
          <w:lang w:val="en-GB"/>
        </w:rPr>
        <w:t>etary</w:t>
      </w:r>
      <w:r w:rsidRPr="009071EF">
        <w:rPr>
          <w:lang w:val="en-GB"/>
        </w:rPr>
        <w:t xml:space="preserve"> </w:t>
      </w:r>
      <w:r w:rsidRPr="009071EF" w:rsidR="009071EF">
        <w:rPr>
          <w:lang w:val="en-GB"/>
        </w:rPr>
        <w:t>measures</w:t>
      </w:r>
      <w:r w:rsidR="0066479C">
        <w:rPr>
          <w:lang w:val="en-GB"/>
        </w:rPr>
        <w:t>,</w:t>
      </w:r>
      <w:r w:rsidRPr="009071EF" w:rsidR="009071EF">
        <w:rPr>
          <w:lang w:val="en-GB"/>
        </w:rPr>
        <w:t xml:space="preserve"> </w:t>
      </w:r>
      <w:r w:rsidR="009071EF">
        <w:rPr>
          <w:lang w:val="en-GB"/>
        </w:rPr>
        <w:t>that the right in question is guaranteed effectively and rapidly in respect of other claimants affected by the expropriation of property</w:t>
      </w:r>
      <w:r w:rsidRPr="009071EF">
        <w:rPr>
          <w:lang w:val="en-GB"/>
        </w:rPr>
        <w:t xml:space="preserve">, </w:t>
      </w:r>
      <w:r w:rsidR="009071EF">
        <w:rPr>
          <w:lang w:val="en-GB"/>
        </w:rPr>
        <w:t>in accordance with the principl</w:t>
      </w:r>
      <w:r w:rsidRPr="009071EF">
        <w:rPr>
          <w:lang w:val="en-GB"/>
        </w:rPr>
        <w:t xml:space="preserve">es </w:t>
      </w:r>
      <w:r w:rsidR="009071EF">
        <w:rPr>
          <w:lang w:val="en-GB"/>
        </w:rPr>
        <w:t>of the</w:t>
      </w:r>
      <w:r w:rsidRPr="009071EF">
        <w:rPr>
          <w:lang w:val="en-GB"/>
        </w:rPr>
        <w:t xml:space="preserve"> protection </w:t>
      </w:r>
      <w:r w:rsidR="009071EF">
        <w:rPr>
          <w:lang w:val="en-GB"/>
        </w:rPr>
        <w:t>of</w:t>
      </w:r>
      <w:r w:rsidRPr="009071EF">
        <w:rPr>
          <w:lang w:val="en-GB"/>
        </w:rPr>
        <w:t xml:space="preserve"> </w:t>
      </w:r>
      <w:r w:rsidR="009071EF">
        <w:rPr>
          <w:lang w:val="en-GB"/>
        </w:rPr>
        <w:t>pecuniary rights set forth in A</w:t>
      </w:r>
      <w:r w:rsidRPr="009071EF">
        <w:rPr>
          <w:lang w:val="en-GB"/>
        </w:rPr>
        <w:t xml:space="preserve">rticle 1 </w:t>
      </w:r>
      <w:r w:rsidR="009071EF">
        <w:rPr>
          <w:lang w:val="en-GB"/>
        </w:rPr>
        <w:t>of Protocol No. 1, i</w:t>
      </w:r>
      <w:r w:rsidRPr="009071EF">
        <w:rPr>
          <w:lang w:val="en-GB"/>
        </w:rPr>
        <w:t>n particul</w:t>
      </w:r>
      <w:r w:rsidR="009071EF">
        <w:rPr>
          <w:lang w:val="en-GB"/>
        </w:rPr>
        <w:t xml:space="preserve">ar the </w:t>
      </w:r>
      <w:r w:rsidRPr="009071EF">
        <w:rPr>
          <w:lang w:val="en-GB"/>
        </w:rPr>
        <w:t>princip</w:t>
      </w:r>
      <w:r w:rsidR="009071EF">
        <w:rPr>
          <w:lang w:val="en-GB"/>
        </w:rPr>
        <w:t xml:space="preserve">les applicable </w:t>
      </w:r>
      <w:r w:rsidR="00152D42">
        <w:rPr>
          <w:lang w:val="en-GB"/>
        </w:rPr>
        <w:t>to</w:t>
      </w:r>
      <w:r w:rsidR="009071EF">
        <w:rPr>
          <w:lang w:val="en-GB"/>
        </w:rPr>
        <w:t xml:space="preserve"> compensatio</w:t>
      </w:r>
      <w:r w:rsidRPr="009071EF">
        <w:rPr>
          <w:lang w:val="en-GB"/>
        </w:rPr>
        <w:t>n</w:t>
      </w:r>
      <w:r w:rsidR="00152D42">
        <w:rPr>
          <w:lang w:val="en-GB"/>
        </w:rPr>
        <w:t xml:space="preserve"> arrangements</w:t>
      </w:r>
      <w:r w:rsidRPr="009071EF">
        <w:rPr>
          <w:lang w:val="en-GB"/>
        </w:rPr>
        <w:t xml:space="preserve"> (</w:t>
      </w:r>
      <w:r w:rsidR="009071EF">
        <w:rPr>
          <w:lang w:val="en-GB"/>
        </w:rPr>
        <w:t>see paragraph</w:t>
      </w:r>
      <w:r w:rsidRPr="009071EF">
        <w:rPr>
          <w:lang w:val="en-GB"/>
        </w:rPr>
        <w:t>s 9</w:t>
      </w:r>
      <w:r w:rsidR="00E501B6">
        <w:rPr>
          <w:lang w:val="en-GB"/>
        </w:rPr>
        <w:t>3</w:t>
      </w:r>
      <w:r w:rsidR="0066479C">
        <w:rPr>
          <w:lang w:val="en-GB"/>
        </w:rPr>
        <w:t>-9</w:t>
      </w:r>
      <w:r w:rsidR="00E501B6">
        <w:rPr>
          <w:lang w:val="en-GB"/>
        </w:rPr>
        <w:t>8</w:t>
      </w:r>
      <w:r w:rsidRPr="009071EF">
        <w:rPr>
          <w:lang w:val="en-GB"/>
        </w:rPr>
        <w:t xml:space="preserve"> </w:t>
      </w:r>
      <w:r w:rsidR="009071EF">
        <w:rPr>
          <w:lang w:val="en-GB"/>
        </w:rPr>
        <w:t>above</w:t>
      </w:r>
      <w:r w:rsidRPr="009071EF">
        <w:rPr>
          <w:lang w:val="en-GB"/>
        </w:rPr>
        <w:t>).</w:t>
      </w:r>
    </w:p>
    <w:p w:rsidRPr="0066479C" w:rsidR="0066479C" w:rsidP="00124007" w:rsidRDefault="003F5C96">
      <w:pPr>
        <w:pStyle w:val="JuH1"/>
        <w:outlineLvl w:val="0"/>
        <w:rPr>
          <w:lang w:val="en-GB"/>
        </w:rPr>
      </w:pPr>
      <w:r>
        <w:rPr>
          <w:lang w:val="en-GB"/>
        </w:rPr>
        <w:t>2</w:t>
      </w:r>
      <w:r w:rsidRPr="00DA15E2" w:rsidR="0066479C">
        <w:rPr>
          <w:lang w:val="en-GB"/>
        </w:rPr>
        <w:t>.  </w:t>
      </w:r>
      <w:r w:rsidRPr="0066479C" w:rsidR="0066479C">
        <w:rPr>
          <w:lang w:val="en-GB"/>
        </w:rPr>
        <w:t>The excessive length of the proc</w:t>
      </w:r>
      <w:r w:rsidR="0066479C">
        <w:rPr>
          <w:lang w:val="en-GB"/>
        </w:rPr>
        <w:t>eedings</w:t>
      </w:r>
    </w:p>
    <w:p w:rsidRPr="00E57B74" w:rsidR="00507681" w:rsidP="00507681" w:rsidRDefault="00507681">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238</w:t>
      </w:r>
      <w:r>
        <w:rPr>
          <w:lang w:val="en-GB"/>
        </w:rPr>
        <w:fldChar w:fldCharType="end"/>
      </w:r>
      <w:r>
        <w:rPr>
          <w:lang w:val="en-GB"/>
        </w:rPr>
        <w:t>.  </w:t>
      </w:r>
      <w:r w:rsidRPr="00E57B74" w:rsidR="00E57B74">
        <w:rPr>
          <w:lang w:val="en-GB"/>
        </w:rPr>
        <w:t>Hundreds of cases are currently pending before the Court in respect of awards made by the courts of appeal in “Pinto” proceedings prior to the Court of Cassation</w:t>
      </w:r>
      <w:r w:rsidR="00E6191D">
        <w:rPr>
          <w:lang w:val="en-GB"/>
        </w:rPr>
        <w:t>’</w:t>
      </w:r>
      <w:r w:rsidRPr="00E57B74" w:rsidR="00E57B74">
        <w:rPr>
          <w:lang w:val="en-GB"/>
        </w:rPr>
        <w:t>s departure from precedent and/or the delay in payment of the amounts in question. The Court, while acknowledging with satisfaction the favourable developments in Italian case-law,</w:t>
      </w:r>
      <w:r w:rsidRPr="00E57B74" w:rsidR="00E57B74">
        <w:rPr>
          <w:b/>
          <w:szCs w:val="24"/>
          <w:lang w:val="en-GB"/>
        </w:rPr>
        <w:t xml:space="preserve"> </w:t>
      </w:r>
      <w:r w:rsidRPr="00E57B74" w:rsidR="00E57B74">
        <w:rPr>
          <w:szCs w:val="24"/>
          <w:lang w:val="en-GB"/>
        </w:rPr>
        <w:t xml:space="preserve">and particularly the recent judgment of the plenary Court of Cassation (see paragraph </w:t>
      </w:r>
      <w:r w:rsidR="00E57B74">
        <w:rPr>
          <w:szCs w:val="24"/>
          <w:lang w:val="en-GB"/>
        </w:rPr>
        <w:t>68</w:t>
      </w:r>
      <w:r w:rsidRPr="00E57B74" w:rsidR="00E57B74">
        <w:rPr>
          <w:szCs w:val="24"/>
          <w:lang w:val="en-GB"/>
        </w:rPr>
        <w:t xml:space="preserve"> above), </w:t>
      </w:r>
      <w:r w:rsidRPr="00E57B74" w:rsidR="00E57B74">
        <w:rPr>
          <w:lang w:val="en-GB"/>
        </w:rPr>
        <w:t>regrets to observe that</w:t>
      </w:r>
      <w:r w:rsidR="00D54CA3">
        <w:rPr>
          <w:lang w:val="en-GB"/>
        </w:rPr>
        <w:t>,</w:t>
      </w:r>
      <w:r w:rsidRPr="00E57B74" w:rsidR="00E57B74">
        <w:rPr>
          <w:lang w:val="en-GB"/>
        </w:rPr>
        <w:t xml:space="preserve"> where a deficiency that has given rise to a violation has been put right, another one related to the first one appears: in the present case the delay in exec</w:t>
      </w:r>
      <w:r w:rsidR="00D54CA3">
        <w:rPr>
          <w:lang w:val="en-GB"/>
        </w:rPr>
        <w:t>uting decisions. It cannot over</w:t>
      </w:r>
      <w:r w:rsidRPr="00E57B74" w:rsidR="00E57B74">
        <w:rPr>
          <w:lang w:val="en-GB"/>
        </w:rPr>
        <w:t>emphasise the fact that States must equip themselves with the means necessary and adequate to ensure that all the conditions for providing effective justice are guaranteed</w:t>
      </w:r>
      <w:r w:rsidR="00E57B74">
        <w:rPr>
          <w:lang w:val="en-GB"/>
        </w:rPr>
        <w:t>.</w:t>
      </w:r>
    </w:p>
    <w:p w:rsidR="00507681" w:rsidP="00507681" w:rsidRDefault="00507681">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239</w:t>
      </w:r>
      <w:r>
        <w:rPr>
          <w:lang w:val="en-GB"/>
        </w:rPr>
        <w:fldChar w:fldCharType="end"/>
      </w:r>
      <w:r>
        <w:rPr>
          <w:lang w:val="en-GB"/>
        </w:rPr>
        <w:t>.  </w:t>
      </w:r>
      <w:r w:rsidR="00163565">
        <w:rPr>
          <w:lang w:val="en-GB"/>
        </w:rPr>
        <w:t>In its</w:t>
      </w:r>
      <w:r w:rsidR="00C5575E">
        <w:rPr>
          <w:lang w:val="en-GB"/>
        </w:rPr>
        <w:t xml:space="preserve"> Recommendation </w:t>
      </w:r>
      <w:r w:rsidRPr="00507681">
        <w:rPr>
          <w:lang w:val="en-GB"/>
        </w:rPr>
        <w:t>Rec(2004)6</w:t>
      </w:r>
      <w:r w:rsidR="00153E15">
        <w:rPr>
          <w:lang w:val="en-GB"/>
        </w:rPr>
        <w:t xml:space="preserve"> of 12 </w:t>
      </w:r>
      <w:r w:rsidRPr="00507681" w:rsidR="00153E15">
        <w:rPr>
          <w:lang w:val="en-GB"/>
        </w:rPr>
        <w:t>May 2004</w:t>
      </w:r>
      <w:r w:rsidR="00153E15">
        <w:rPr>
          <w:lang w:val="en-GB"/>
        </w:rPr>
        <w:t>,</w:t>
      </w:r>
      <w:r w:rsidRPr="00507681" w:rsidR="00153E15">
        <w:rPr>
          <w:lang w:val="en-GB"/>
        </w:rPr>
        <w:t xml:space="preserve"> </w:t>
      </w:r>
      <w:r w:rsidRPr="00507681">
        <w:rPr>
          <w:lang w:val="en-GB"/>
        </w:rPr>
        <w:t>the Committee of Ministers welcomed the fact that the Convention had become an integral part of the domestic legal order of all States Parties while recommending that member States ensure that domestic remedies existed and were effective.</w:t>
      </w:r>
      <w:r w:rsidR="00163565">
        <w:rPr>
          <w:lang w:val="en-GB"/>
        </w:rPr>
        <w:t xml:space="preserve"> </w:t>
      </w:r>
      <w:r w:rsidRPr="00507681">
        <w:rPr>
          <w:lang w:val="en-GB"/>
        </w:rPr>
        <w:t xml:space="preserve">In that connection the Court </w:t>
      </w:r>
      <w:r w:rsidR="00275D09">
        <w:rPr>
          <w:lang w:val="en-GB"/>
        </w:rPr>
        <w:t>would</w:t>
      </w:r>
      <w:r w:rsidRPr="00507681">
        <w:rPr>
          <w:lang w:val="en-GB"/>
        </w:rPr>
        <w:t xml:space="preserve"> stress that although the exi</w:t>
      </w:r>
      <w:r w:rsidR="00D54CA3">
        <w:rPr>
          <w:lang w:val="en-GB"/>
        </w:rPr>
        <w:t>stence of a remedy is necessary</w:t>
      </w:r>
      <w:r w:rsidRPr="00507681">
        <w:rPr>
          <w:lang w:val="en-GB"/>
        </w:rPr>
        <w:t xml:space="preserve"> it is not in itself sufficient. The domestic courts must</w:t>
      </w:r>
      <w:r w:rsidR="00163565">
        <w:rPr>
          <w:lang w:val="en-GB"/>
        </w:rPr>
        <w:t xml:space="preserve"> also</w:t>
      </w:r>
      <w:r w:rsidRPr="00507681">
        <w:rPr>
          <w:lang w:val="en-GB"/>
        </w:rPr>
        <w:t xml:space="preserve"> be able, under domestic law, to apply the European case-law directly and their knowledge of this case-law has to be facilitate</w:t>
      </w:r>
      <w:r>
        <w:rPr>
          <w:lang w:val="en-GB"/>
        </w:rPr>
        <w:t>d by the State in question.</w:t>
      </w:r>
    </w:p>
    <w:p w:rsidR="00B92F8F" w:rsidP="00507681" w:rsidRDefault="00507681">
      <w:pPr>
        <w:pStyle w:val="JuPara"/>
        <w:rPr>
          <w:lang w:val="en-GB"/>
        </w:rPr>
      </w:pPr>
      <w:r w:rsidRPr="00507681">
        <w:rPr>
          <w:lang w:val="en-GB"/>
        </w:rPr>
        <w:t xml:space="preserve">The Court refers in this regard to the contents of the Recommendations of the Committee of Ministers on the publication and dissemination in the member </w:t>
      </w:r>
      <w:r w:rsidR="0062795A">
        <w:rPr>
          <w:lang w:val="en-GB"/>
        </w:rPr>
        <w:t>S</w:t>
      </w:r>
      <w:r w:rsidRPr="00507681">
        <w:rPr>
          <w:lang w:val="en-GB"/>
        </w:rPr>
        <w:t xml:space="preserve">tates of the text of the European Convention on Human Rights and of the case-law of the </w:t>
      </w:r>
      <w:r w:rsidR="00D54CA3">
        <w:rPr>
          <w:lang w:val="en-GB"/>
        </w:rPr>
        <w:t xml:space="preserve">European </w:t>
      </w:r>
      <w:r w:rsidRPr="00507681">
        <w:rPr>
          <w:lang w:val="en-GB"/>
        </w:rPr>
        <w:t xml:space="preserve">Court </w:t>
      </w:r>
      <w:r w:rsidR="00D54CA3">
        <w:rPr>
          <w:lang w:val="en-GB"/>
        </w:rPr>
        <w:t>of Human Rights (Rec(2002)13</w:t>
      </w:r>
      <w:r w:rsidRPr="00507681">
        <w:rPr>
          <w:lang w:val="en-GB"/>
        </w:rPr>
        <w:t xml:space="preserve"> of 18 December 2002) and on the European Convention on Human Rights in university education and pr</w:t>
      </w:r>
      <w:r w:rsidR="00D54CA3">
        <w:rPr>
          <w:lang w:val="en-GB"/>
        </w:rPr>
        <w:t>ofessional training (Rec(2004)4</w:t>
      </w:r>
      <w:r w:rsidRPr="00507681">
        <w:rPr>
          <w:lang w:val="en-GB"/>
        </w:rPr>
        <w:t xml:space="preserve"> of 12 May 2004), not forgetting the Resolution of the Committee of Ministers (Res(2002)12) setting up the </w:t>
      </w:r>
      <w:smartTag w:uri="urn:schemas-microsoft-com:office:smarttags" w:element="PersonName">
        <w:r w:rsidRPr="00507681">
          <w:rPr>
            <w:lang w:val="en-GB"/>
          </w:rPr>
          <w:t>CEPEJ</w:t>
        </w:r>
      </w:smartTag>
      <w:r w:rsidRPr="00507681">
        <w:rPr>
          <w:lang w:val="en-GB"/>
        </w:rPr>
        <w:t xml:space="preserve"> and the fact that at the</w:t>
      </w:r>
      <w:r w:rsidR="009D601E">
        <w:rPr>
          <w:lang w:val="en-GB"/>
        </w:rPr>
        <w:t xml:space="preserve"> Warsaw Summit in May 2005 the h</w:t>
      </w:r>
      <w:r w:rsidRPr="00507681">
        <w:rPr>
          <w:lang w:val="en-GB"/>
        </w:rPr>
        <w:t xml:space="preserve">eads of State and </w:t>
      </w:r>
      <w:r w:rsidR="009D601E">
        <w:rPr>
          <w:lang w:val="en-GB"/>
        </w:rPr>
        <w:t>government</w:t>
      </w:r>
      <w:r w:rsidRPr="00507681">
        <w:rPr>
          <w:lang w:val="en-GB"/>
        </w:rPr>
        <w:t xml:space="preserve"> of the member States decided to develop the evaluation and assistance functions of the CEPEJ</w:t>
      </w:r>
      <w:r w:rsidR="00B92F8F">
        <w:rPr>
          <w:lang w:val="en-GB"/>
        </w:rPr>
        <w:t>.</w:t>
      </w:r>
    </w:p>
    <w:p w:rsidR="00507681" w:rsidP="00507681" w:rsidRDefault="00507681">
      <w:pPr>
        <w:pStyle w:val="JuPara"/>
        <w:rPr>
          <w:lang w:val="en-GB"/>
        </w:rPr>
      </w:pPr>
      <w:r w:rsidRPr="00507681">
        <w:rPr>
          <w:lang w:val="en-GB"/>
        </w:rPr>
        <w:t xml:space="preserve">In the </w:t>
      </w:r>
      <w:r w:rsidR="00153E15">
        <w:rPr>
          <w:lang w:val="en-GB"/>
        </w:rPr>
        <w:t>above-mentione</w:t>
      </w:r>
      <w:r w:rsidR="00E00A80">
        <w:rPr>
          <w:lang w:val="en-GB"/>
        </w:rPr>
        <w:t>d</w:t>
      </w:r>
      <w:r w:rsidRPr="00507681">
        <w:rPr>
          <w:lang w:val="en-GB"/>
        </w:rPr>
        <w:t xml:space="preserve"> Recommendation </w:t>
      </w:r>
      <w:r w:rsidR="009D601E">
        <w:rPr>
          <w:lang w:val="en-GB"/>
        </w:rPr>
        <w:t>Rec</w:t>
      </w:r>
      <w:r w:rsidRPr="00507681">
        <w:rPr>
          <w:lang w:val="en-GB"/>
        </w:rPr>
        <w:t xml:space="preserve">(2004)6 </w:t>
      </w:r>
      <w:r w:rsidRPr="00507681" w:rsidR="00153E15">
        <w:rPr>
          <w:lang w:val="en-GB"/>
        </w:rPr>
        <w:t>of 12</w:t>
      </w:r>
      <w:r w:rsidR="00153E15">
        <w:rPr>
          <w:lang w:val="en-GB"/>
        </w:rPr>
        <w:t xml:space="preserve"> May 2004, </w:t>
      </w:r>
      <w:r w:rsidRPr="00507681">
        <w:rPr>
          <w:lang w:val="en-GB"/>
        </w:rPr>
        <w:t>the Committee of Ministers als</w:t>
      </w:r>
      <w:r w:rsidR="00163565">
        <w:rPr>
          <w:lang w:val="en-GB"/>
        </w:rPr>
        <w:t>o reiterated that the States have</w:t>
      </w:r>
      <w:r w:rsidRPr="00507681">
        <w:rPr>
          <w:lang w:val="en-GB"/>
        </w:rPr>
        <w:t xml:space="preserve"> the general obligation to solve the</w:t>
      </w:r>
      <w:r w:rsidRPr="00507681">
        <w:rPr>
          <w:rFonts w:cs="Arial"/>
          <w:lang w:val="en-GB"/>
        </w:rPr>
        <w:t xml:space="preserve"> problems underlying violations found.</w:t>
      </w:r>
    </w:p>
    <w:p w:rsidR="00507681" w:rsidP="00507681" w:rsidRDefault="00507681">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240</w:t>
      </w:r>
      <w:r>
        <w:rPr>
          <w:lang w:val="en-GB"/>
        </w:rPr>
        <w:fldChar w:fldCharType="end"/>
      </w:r>
      <w:r>
        <w:rPr>
          <w:lang w:val="en-GB"/>
        </w:rPr>
        <w:t>.  While</w:t>
      </w:r>
      <w:r w:rsidRPr="00507681">
        <w:rPr>
          <w:lang w:val="en-GB"/>
        </w:rPr>
        <w:t xml:space="preserve"> reiterat</w:t>
      </w:r>
      <w:r>
        <w:rPr>
          <w:lang w:val="en-GB"/>
        </w:rPr>
        <w:t>ing</w:t>
      </w:r>
      <w:r w:rsidRPr="00507681">
        <w:rPr>
          <w:lang w:val="en-GB"/>
        </w:rPr>
        <w:t xml:space="preserve"> that the respondent State remains free</w:t>
      </w:r>
      <w:r>
        <w:rPr>
          <w:lang w:val="en-GB"/>
        </w:rPr>
        <w:t>,</w:t>
      </w:r>
      <w:r w:rsidRPr="00507681">
        <w:rPr>
          <w:lang w:val="en-GB"/>
        </w:rPr>
        <w:t xml:space="preserve"> subject to monitoring</w:t>
      </w:r>
      <w:r>
        <w:rPr>
          <w:lang w:val="en-GB"/>
        </w:rPr>
        <w:t xml:space="preserve"> by the Committee of Ministers,</w:t>
      </w:r>
      <w:r w:rsidRPr="00507681">
        <w:rPr>
          <w:lang w:val="en-GB"/>
        </w:rPr>
        <w:t xml:space="preserve"> to choose the means by which it will discharge its legal obligation under Article 46 of the Convention, provided that such means are compatible with the conclusions set out in the Court</w:t>
      </w:r>
      <w:r w:rsidR="00E6191D">
        <w:rPr>
          <w:lang w:val="en-GB"/>
        </w:rPr>
        <w:t>’</w:t>
      </w:r>
      <w:r w:rsidRPr="00507681">
        <w:rPr>
          <w:lang w:val="en-GB"/>
        </w:rPr>
        <w:t>s judgment</w:t>
      </w:r>
      <w:r>
        <w:rPr>
          <w:lang w:val="en-GB"/>
        </w:rPr>
        <w:t xml:space="preserve"> </w:t>
      </w:r>
      <w:r w:rsidRPr="00507681">
        <w:rPr>
          <w:lang w:val="en-GB"/>
        </w:rPr>
        <w:t>(see</w:t>
      </w:r>
      <w:r w:rsidRPr="00507681">
        <w:rPr>
          <w:i/>
          <w:lang w:val="en-GB"/>
        </w:rPr>
        <w:t xml:space="preserve"> Broniowski</w:t>
      </w:r>
      <w:r w:rsidR="008205CD">
        <w:rPr>
          <w:lang w:val="en-GB"/>
        </w:rPr>
        <w:t>, cited above</w:t>
      </w:r>
      <w:r w:rsidR="00BE19BF">
        <w:rPr>
          <w:lang w:val="en-GB"/>
        </w:rPr>
        <w:t>, § 192</w:t>
      </w:r>
      <w:r w:rsidRPr="00507681">
        <w:rPr>
          <w:lang w:val="en-GB"/>
        </w:rPr>
        <w:t>)</w:t>
      </w:r>
      <w:r>
        <w:rPr>
          <w:lang w:val="en-GB"/>
        </w:rPr>
        <w:t xml:space="preserve"> and without </w:t>
      </w:r>
      <w:r w:rsidRPr="00507681">
        <w:rPr>
          <w:lang w:val="en-GB"/>
        </w:rPr>
        <w:t xml:space="preserve">seeking to determine what measures may be </w:t>
      </w:r>
      <w:r w:rsidR="00843585">
        <w:rPr>
          <w:lang w:val="en-GB"/>
        </w:rPr>
        <w:t>taken by the re</w:t>
      </w:r>
      <w:r w:rsidRPr="00507681">
        <w:rPr>
          <w:lang w:val="en-GB"/>
        </w:rPr>
        <w:t>spondent State</w:t>
      </w:r>
      <w:r w:rsidR="00843585">
        <w:rPr>
          <w:lang w:val="en-GB"/>
        </w:rPr>
        <w:t xml:space="preserve"> in order to </w:t>
      </w:r>
      <w:r w:rsidR="00F01D43">
        <w:rPr>
          <w:lang w:val="en-GB"/>
        </w:rPr>
        <w:t>comply with</w:t>
      </w:r>
      <w:r w:rsidR="00843585">
        <w:rPr>
          <w:lang w:val="en-GB"/>
        </w:rPr>
        <w:t xml:space="preserve"> it</w:t>
      </w:r>
      <w:r w:rsidRPr="00507681">
        <w:rPr>
          <w:lang w:val="en-GB"/>
        </w:rPr>
        <w:t>s obligations under Article 46 of the Convention, the Court would draw its attention to the conditions in</w:t>
      </w:r>
      <w:r>
        <w:rPr>
          <w:lang w:val="en-GB"/>
        </w:rPr>
        <w:t xml:space="preserve">dicated above (see paragraphs </w:t>
      </w:r>
      <w:r w:rsidR="00A7281A">
        <w:rPr>
          <w:lang w:val="en-GB"/>
        </w:rPr>
        <w:t>17</w:t>
      </w:r>
      <w:r w:rsidR="00163565">
        <w:rPr>
          <w:lang w:val="en-GB"/>
        </w:rPr>
        <w:t>3</w:t>
      </w:r>
      <w:r>
        <w:rPr>
          <w:lang w:val="en-GB"/>
        </w:rPr>
        <w:t>-</w:t>
      </w:r>
      <w:r w:rsidR="00A7281A">
        <w:rPr>
          <w:lang w:val="en-GB"/>
        </w:rPr>
        <w:t>21</w:t>
      </w:r>
      <w:r w:rsidR="00163565">
        <w:rPr>
          <w:lang w:val="en-GB"/>
        </w:rPr>
        <w:t>6</w:t>
      </w:r>
      <w:r w:rsidRPr="00507681">
        <w:rPr>
          <w:lang w:val="en-GB"/>
        </w:rPr>
        <w:t>) regarding the possibility for a person to continue to claim to be a “victim” in this type of case</w:t>
      </w:r>
      <w:r>
        <w:rPr>
          <w:lang w:val="en-GB"/>
        </w:rPr>
        <w:t>.</w:t>
      </w:r>
    </w:p>
    <w:p w:rsidR="00F7226C" w:rsidP="00507681" w:rsidRDefault="00507681">
      <w:pPr>
        <w:pStyle w:val="JuPara"/>
        <w:rPr>
          <w:lang w:val="en-GB"/>
        </w:rPr>
      </w:pPr>
      <w:r>
        <w:rPr>
          <w:lang w:val="en-GB"/>
        </w:rPr>
        <w:t>The Court</w:t>
      </w:r>
      <w:r w:rsidRPr="00507681">
        <w:rPr>
          <w:lang w:val="en-GB"/>
        </w:rPr>
        <w:t xml:space="preserve"> invite</w:t>
      </w:r>
      <w:r>
        <w:rPr>
          <w:lang w:val="en-GB"/>
        </w:rPr>
        <w:t>s</w:t>
      </w:r>
      <w:r w:rsidRPr="00507681">
        <w:rPr>
          <w:lang w:val="en-GB"/>
        </w:rPr>
        <w:t xml:space="preserve"> </w:t>
      </w:r>
      <w:r>
        <w:rPr>
          <w:lang w:val="en-GB"/>
        </w:rPr>
        <w:t>the respondent State</w:t>
      </w:r>
      <w:r w:rsidRPr="00507681">
        <w:rPr>
          <w:lang w:val="en-GB"/>
        </w:rPr>
        <w:t xml:space="preserve"> to take all measures necessary to ensure that the domestic decisions are not only in conformity with the case-law of this Court but </w:t>
      </w:r>
      <w:r w:rsidR="00152D42">
        <w:rPr>
          <w:lang w:val="en-GB"/>
        </w:rPr>
        <w:t xml:space="preserve">are </w:t>
      </w:r>
      <w:r w:rsidRPr="00507681">
        <w:rPr>
          <w:lang w:val="en-GB"/>
        </w:rPr>
        <w:t>also executed within six months of being deposited with the registry.</w:t>
      </w:r>
    </w:p>
    <w:p w:rsidRPr="00853153" w:rsidR="009A391E" w:rsidP="00124007" w:rsidRDefault="00F62697">
      <w:pPr>
        <w:pStyle w:val="JuHA0"/>
        <w:outlineLvl w:val="0"/>
        <w:rPr>
          <w:lang w:val="en-GB"/>
        </w:rPr>
      </w:pPr>
      <w:r w:rsidRPr="00F259A9">
        <w:rPr>
          <w:lang w:val="en-GB"/>
        </w:rPr>
        <w:t>B.</w:t>
      </w:r>
      <w:r w:rsidR="00967E1F">
        <w:rPr>
          <w:lang w:val="en-GB"/>
        </w:rPr>
        <w:t>  </w:t>
      </w:r>
      <w:r w:rsidRPr="00853153" w:rsidR="009A391E">
        <w:rPr>
          <w:lang w:val="en-GB"/>
        </w:rPr>
        <w:t>A</w:t>
      </w:r>
      <w:r w:rsidRPr="00853153" w:rsidR="00853153">
        <w:rPr>
          <w:lang w:val="en-GB"/>
        </w:rPr>
        <w:t xml:space="preserve">rticle </w:t>
      </w:r>
      <w:r w:rsidRPr="00853153" w:rsidR="009A391E">
        <w:rPr>
          <w:lang w:val="en-GB"/>
        </w:rPr>
        <w:t xml:space="preserve">41 </w:t>
      </w:r>
      <w:r w:rsidRPr="00853153" w:rsidR="00853153">
        <w:rPr>
          <w:lang w:val="en-GB"/>
        </w:rPr>
        <w:t>of the</w:t>
      </w:r>
      <w:r w:rsidRPr="00853153" w:rsidR="009A391E">
        <w:rPr>
          <w:lang w:val="en-GB"/>
        </w:rPr>
        <w:t xml:space="preserve"> C</w:t>
      </w:r>
      <w:r w:rsidR="00853153">
        <w:rPr>
          <w:lang w:val="en-GB"/>
        </w:rPr>
        <w:t>onvention</w:t>
      </w:r>
    </w:p>
    <w:p w:rsidR="009A391E" w:rsidP="009A391E" w:rsidRDefault="009A391E">
      <w:pPr>
        <w:pStyle w:val="JuParaCharChar"/>
      </w:pPr>
      <w:r>
        <w:fldChar w:fldCharType="begin"/>
      </w:r>
      <w:r>
        <w:instrText xml:space="preserve"> SEQ level0 \*arabic </w:instrText>
      </w:r>
      <w:r>
        <w:fldChar w:fldCharType="separate"/>
      </w:r>
      <w:r w:rsidR="008B3B68">
        <w:rPr>
          <w:noProof/>
        </w:rPr>
        <w:t>241</w:t>
      </w:r>
      <w:r>
        <w:fldChar w:fldCharType="end"/>
      </w:r>
      <w:r>
        <w:t>.  </w:t>
      </w:r>
      <w:r w:rsidRPr="008213D8">
        <w:t>Article 41 of the Convention provides:</w:t>
      </w:r>
    </w:p>
    <w:p w:rsidR="009A391E" w:rsidP="009A391E" w:rsidRDefault="009A391E">
      <w:pPr>
        <w:pStyle w:val="JuQuotChar1"/>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F259A9" w:rsidR="009A391E" w:rsidP="00124007" w:rsidRDefault="00853153">
      <w:pPr>
        <w:pStyle w:val="JuH1"/>
        <w:outlineLvl w:val="0"/>
        <w:rPr>
          <w:lang w:val="en-GB"/>
        </w:rPr>
      </w:pPr>
      <w:r w:rsidRPr="00F259A9">
        <w:rPr>
          <w:lang w:val="en-GB"/>
        </w:rPr>
        <w:t>1</w:t>
      </w:r>
      <w:r w:rsidR="00967E1F">
        <w:rPr>
          <w:lang w:val="en-GB"/>
        </w:rPr>
        <w:t>.  </w:t>
      </w:r>
      <w:r w:rsidRPr="00F259A9" w:rsidR="009A391E">
        <w:rPr>
          <w:lang w:val="en-GB"/>
        </w:rPr>
        <w:t>Pecuniary damage</w:t>
      </w:r>
    </w:p>
    <w:p w:rsidRPr="00F259A9" w:rsidR="009A391E" w:rsidP="00853153" w:rsidRDefault="00E54656">
      <w:pPr>
        <w:pStyle w:val="JuHa"/>
        <w:rPr>
          <w:lang w:val="en-GB"/>
        </w:rPr>
      </w:pPr>
      <w:r>
        <w:rPr>
          <w:lang w:val="en-GB"/>
        </w:rPr>
        <w:t>(</w:t>
      </w:r>
      <w:r w:rsidRPr="00F259A9" w:rsidR="00853153">
        <w:rPr>
          <w:lang w:val="en-GB"/>
        </w:rPr>
        <w:t>a</w:t>
      </w:r>
      <w:r>
        <w:rPr>
          <w:lang w:val="en-GB"/>
        </w:rPr>
        <w:t>)</w:t>
      </w:r>
      <w:r w:rsidR="00967E1F">
        <w:rPr>
          <w:lang w:val="en-GB"/>
        </w:rPr>
        <w:t>  </w:t>
      </w:r>
      <w:r w:rsidRPr="00F259A9" w:rsidR="009A391E">
        <w:rPr>
          <w:lang w:val="en-GB"/>
        </w:rPr>
        <w:t>The Chamber judgment</w:t>
      </w:r>
    </w:p>
    <w:p w:rsidR="00967E1F" w:rsidP="009A391E" w:rsidRDefault="009A391E">
      <w:pPr>
        <w:pStyle w:val="JuPara"/>
        <w:rPr>
          <w:lang w:val="en-GB"/>
        </w:rPr>
      </w:pPr>
      <w:r>
        <w:rPr>
          <w:lang w:val="en-GB"/>
        </w:rPr>
        <w:fldChar w:fldCharType="begin"/>
      </w:r>
      <w:r>
        <w:rPr>
          <w:lang w:val="en-GB"/>
        </w:rPr>
        <w:instrText xml:space="preserve"> SEQ level0 \*arabic </w:instrText>
      </w:r>
      <w:r>
        <w:rPr>
          <w:lang w:val="en-GB"/>
        </w:rPr>
        <w:fldChar w:fldCharType="separate"/>
      </w:r>
      <w:r w:rsidR="008B3B68">
        <w:rPr>
          <w:noProof/>
          <w:lang w:val="en-GB"/>
        </w:rPr>
        <w:t>242</w:t>
      </w:r>
      <w:r>
        <w:rPr>
          <w:lang w:val="en-GB"/>
        </w:rPr>
        <w:fldChar w:fldCharType="end"/>
      </w:r>
      <w:r>
        <w:rPr>
          <w:lang w:val="en-GB"/>
        </w:rPr>
        <w:t>.  </w:t>
      </w:r>
      <w:r w:rsidRPr="009A391E">
        <w:rPr>
          <w:lang w:val="en-GB"/>
        </w:rPr>
        <w:t xml:space="preserve">In its judgment </w:t>
      </w:r>
      <w:r w:rsidR="00F01D43">
        <w:rPr>
          <w:lang w:val="en-GB"/>
        </w:rPr>
        <w:t>(</w:t>
      </w:r>
      <w:r w:rsidR="00E00A80">
        <w:rPr>
          <w:lang w:val="en-GB"/>
        </w:rPr>
        <w:t>§§</w:t>
      </w:r>
      <w:r w:rsidR="00F01D43">
        <w:rPr>
          <w:lang w:val="en-GB"/>
        </w:rPr>
        <w:t xml:space="preserve"> </w:t>
      </w:r>
      <w:r w:rsidR="003E71B4">
        <w:rPr>
          <w:lang w:val="en-GB"/>
        </w:rPr>
        <w:t xml:space="preserve">111-12), </w:t>
      </w:r>
      <w:r>
        <w:rPr>
          <w:lang w:val="en-GB"/>
        </w:rPr>
        <w:t>the Chamber held:</w:t>
      </w:r>
    </w:p>
    <w:p w:rsidR="009A391E" w:rsidP="009A391E" w:rsidRDefault="009A391E">
      <w:pPr>
        <w:pStyle w:val="JuQuotChar1"/>
      </w:pPr>
      <w:r>
        <w:t>“</w:t>
      </w:r>
      <w:r w:rsidRPr="009A391E">
        <w:t>The Court has found that the expropriation of the applicants</w:t>
      </w:r>
      <w:r w:rsidR="00E6191D">
        <w:t>’</w:t>
      </w:r>
      <w:r w:rsidRPr="009A391E">
        <w:t xml:space="preserve"> property satisfied the condition of la</w:t>
      </w:r>
      <w:r w:rsidR="003E71B4">
        <w:t>wfulness and was not arbitrary</w:t>
      </w:r>
      <w:r w:rsidR="009D601E">
        <w:t>. The act of the Italian g</w:t>
      </w:r>
      <w:r w:rsidRPr="009A391E">
        <w:t xml:space="preserve">overnment which the Court has held to be contrary to the Convention was an expropriation that would have been legitimate but for the failure to </w:t>
      </w:r>
      <w:r w:rsidR="003E71B4">
        <w:t>pay reasonable compensation</w:t>
      </w:r>
      <w:r w:rsidRPr="009A391E">
        <w:t>. Nor has the Court concluded that the 20% tax deduction was unlawful as such, but has taken this factor into consideration in assessing the case. Lastly, the Court has foun</w:t>
      </w:r>
      <w:r w:rsidR="00152D42">
        <w:t>d a violation of the applicants</w:t>
      </w:r>
      <w:r w:rsidR="00E6191D">
        <w:t>’</w:t>
      </w:r>
      <w:r w:rsidRPr="009A391E">
        <w:t xml:space="preserve"> right to a fair trial on account of the application of section 5 </w:t>
      </w:r>
      <w:r w:rsidRPr="003E71B4">
        <w:rPr>
          <w:i/>
        </w:rPr>
        <w:t>bis</w:t>
      </w:r>
      <w:r w:rsidRPr="009A391E">
        <w:t xml:space="preserve"> to their case.</w:t>
      </w:r>
    </w:p>
    <w:p w:rsidR="009A391E" w:rsidP="009A391E" w:rsidRDefault="009A391E">
      <w:pPr>
        <w:pStyle w:val="JuQuotChar1"/>
      </w:pPr>
      <w:r w:rsidRPr="009A391E">
        <w:t>Having regard to those factors, and making its assessment on an equitable basis, the Court considers it reasonable to award the applicants EUR 410,000.</w:t>
      </w:r>
      <w:r>
        <w:t>”</w:t>
      </w:r>
    </w:p>
    <w:p w:rsidRPr="00F259A9" w:rsidR="009A391E" w:rsidP="00124007" w:rsidRDefault="00E54656">
      <w:pPr>
        <w:pStyle w:val="JuHa"/>
        <w:outlineLvl w:val="0"/>
        <w:rPr>
          <w:lang w:val="en-GB"/>
        </w:rPr>
      </w:pPr>
      <w:r>
        <w:rPr>
          <w:lang w:val="en-GB"/>
        </w:rPr>
        <w:t>(</w:t>
      </w:r>
      <w:r w:rsidRPr="00F259A9" w:rsidR="00486F5A">
        <w:rPr>
          <w:lang w:val="en-GB"/>
        </w:rPr>
        <w:t>b</w:t>
      </w:r>
      <w:r>
        <w:rPr>
          <w:lang w:val="en-GB"/>
        </w:rPr>
        <w:t>)</w:t>
      </w:r>
      <w:r w:rsidRPr="00F259A9" w:rsidR="009A391E">
        <w:rPr>
          <w:lang w:val="en-GB"/>
        </w:rPr>
        <w:t>  </w:t>
      </w:r>
      <w:r w:rsidR="009D601E">
        <w:rPr>
          <w:lang w:val="en-GB"/>
        </w:rPr>
        <w:t>S</w:t>
      </w:r>
      <w:r w:rsidRPr="00F259A9" w:rsidR="009A391E">
        <w:rPr>
          <w:lang w:val="en-GB"/>
        </w:rPr>
        <w:t>ubmissions</w:t>
      </w:r>
      <w:r w:rsidR="009D601E">
        <w:rPr>
          <w:lang w:val="en-GB"/>
        </w:rPr>
        <w:t xml:space="preserve"> of those appearing before the Court</w:t>
      </w:r>
    </w:p>
    <w:p w:rsidRPr="00285346" w:rsidR="009A391E" w:rsidP="008C0F9B" w:rsidRDefault="00E54656">
      <w:pPr>
        <w:pStyle w:val="JuHi"/>
        <w:rPr>
          <w:lang w:val="en-GB"/>
        </w:rPr>
      </w:pPr>
      <w:r>
        <w:rPr>
          <w:lang w:val="en-GB"/>
        </w:rPr>
        <w:t>(</w:t>
      </w:r>
      <w:r w:rsidRPr="00285346" w:rsidR="00486F5A">
        <w:rPr>
          <w:lang w:val="en-GB"/>
        </w:rPr>
        <w:t>i</w:t>
      </w:r>
      <w:r w:rsidRPr="00285346" w:rsidR="009A391E">
        <w:rPr>
          <w:lang w:val="en-GB"/>
        </w:rPr>
        <w:t>)  The applicants</w:t>
      </w:r>
    </w:p>
    <w:p w:rsidRPr="00266FC0" w:rsidR="009A391E" w:rsidP="009A391E" w:rsidRDefault="009A391E">
      <w:pPr>
        <w:pStyle w:val="JuParaChar1"/>
        <w:rPr>
          <w:lang w:val="en-GB"/>
        </w:rPr>
      </w:pPr>
      <w:r w:rsidRPr="00C2011C">
        <w:fldChar w:fldCharType="begin"/>
      </w:r>
      <w:r w:rsidRPr="00F87FB5">
        <w:rPr>
          <w:lang w:val="en-GB"/>
        </w:rPr>
        <w:instrText xml:space="preserve"> SEQ level0 \*arabic </w:instrText>
      </w:r>
      <w:r w:rsidRPr="00C2011C">
        <w:fldChar w:fldCharType="separate"/>
      </w:r>
      <w:r w:rsidR="008B3B68">
        <w:rPr>
          <w:noProof/>
          <w:lang w:val="en-GB"/>
        </w:rPr>
        <w:t>243</w:t>
      </w:r>
      <w:r w:rsidRPr="00C2011C">
        <w:fldChar w:fldCharType="end"/>
      </w:r>
      <w:r w:rsidRPr="00F87FB5">
        <w:rPr>
          <w:lang w:val="en-GB"/>
        </w:rPr>
        <w:t>.  </w:t>
      </w:r>
      <w:r w:rsidRPr="009A391E">
        <w:rPr>
          <w:lang w:val="en-GB"/>
        </w:rPr>
        <w:t>The applicants claimed an amount corresponding to the difference between the compensation that they would have re</w:t>
      </w:r>
      <w:r>
        <w:rPr>
          <w:lang w:val="en-GB"/>
        </w:rPr>
        <w:t>c</w:t>
      </w:r>
      <w:r w:rsidRPr="009A391E">
        <w:rPr>
          <w:lang w:val="en-GB"/>
        </w:rPr>
        <w:t xml:space="preserve">eived under </w:t>
      </w:r>
      <w:r>
        <w:rPr>
          <w:lang w:val="en-GB"/>
        </w:rPr>
        <w:t>Law no. </w:t>
      </w:r>
      <w:r w:rsidRPr="009A391E">
        <w:rPr>
          <w:lang w:val="en-GB"/>
        </w:rPr>
        <w:t>2359</w:t>
      </w:r>
      <w:r>
        <w:rPr>
          <w:lang w:val="en-GB"/>
        </w:rPr>
        <w:t>/</w:t>
      </w:r>
      <w:r w:rsidRPr="009A391E">
        <w:rPr>
          <w:lang w:val="en-GB"/>
        </w:rPr>
        <w:t xml:space="preserve">1865 </w:t>
      </w:r>
      <w:r>
        <w:rPr>
          <w:lang w:val="en-GB"/>
        </w:rPr>
        <w:t>and the amount that was awarded them in accordance with section</w:t>
      </w:r>
      <w:r w:rsidRPr="009A391E">
        <w:rPr>
          <w:lang w:val="en-GB"/>
        </w:rPr>
        <w:t xml:space="preserve"> 5 </w:t>
      </w:r>
      <w:r w:rsidRPr="009A391E">
        <w:rPr>
          <w:i/>
          <w:lang w:val="en-GB"/>
        </w:rPr>
        <w:t>bis</w:t>
      </w:r>
      <w:r w:rsidRPr="009A391E">
        <w:rPr>
          <w:lang w:val="en-GB"/>
        </w:rPr>
        <w:t xml:space="preserve"> </w:t>
      </w:r>
      <w:r>
        <w:rPr>
          <w:lang w:val="en-GB"/>
        </w:rPr>
        <w:t>of Law no.</w:t>
      </w:r>
      <w:r w:rsidR="009E14C6">
        <w:rPr>
          <w:lang w:val="en-GB"/>
        </w:rPr>
        <w:t xml:space="preserve"> </w:t>
      </w:r>
      <w:r w:rsidRPr="009A391E">
        <w:rPr>
          <w:lang w:val="en-GB"/>
        </w:rPr>
        <w:t>359</w:t>
      </w:r>
      <w:r>
        <w:rPr>
          <w:lang w:val="en-GB"/>
        </w:rPr>
        <w:t>/</w:t>
      </w:r>
      <w:r w:rsidRPr="009A391E">
        <w:rPr>
          <w:lang w:val="en-GB"/>
        </w:rPr>
        <w:t xml:space="preserve">1992. </w:t>
      </w:r>
      <w:r w:rsidRPr="00266FC0">
        <w:rPr>
          <w:lang w:val="en-GB"/>
        </w:rPr>
        <w:t>That sum amounted to EUR 123,815.56</w:t>
      </w:r>
      <w:r w:rsidR="009E14C6">
        <w:rPr>
          <w:lang w:val="en-GB"/>
        </w:rPr>
        <w:t xml:space="preserve"> </w:t>
      </w:r>
      <w:r w:rsidRPr="00266FC0">
        <w:rPr>
          <w:lang w:val="en-GB"/>
        </w:rPr>
        <w:t xml:space="preserve">in 1983, </w:t>
      </w:r>
      <w:r w:rsidR="00266FC0">
        <w:rPr>
          <w:lang w:val="en-GB"/>
        </w:rPr>
        <w:t xml:space="preserve">the year </w:t>
      </w:r>
      <w:r w:rsidR="009D601E">
        <w:rPr>
          <w:lang w:val="en-GB"/>
        </w:rPr>
        <w:t>of the expropriation</w:t>
      </w:r>
      <w:r w:rsidRPr="00266FC0">
        <w:rPr>
          <w:lang w:val="en-GB"/>
        </w:rPr>
        <w:t xml:space="preserve">. </w:t>
      </w:r>
      <w:r w:rsidRPr="00266FC0" w:rsidR="00266FC0">
        <w:rPr>
          <w:lang w:val="en-GB"/>
        </w:rPr>
        <w:t>To that amount should be added statutory</w:t>
      </w:r>
      <w:r w:rsidR="003D64AD">
        <w:rPr>
          <w:lang w:val="en-GB"/>
        </w:rPr>
        <w:t xml:space="preserve"> compound</w:t>
      </w:r>
      <w:r w:rsidRPr="00266FC0" w:rsidR="00266FC0">
        <w:rPr>
          <w:lang w:val="en-GB"/>
        </w:rPr>
        <w:t xml:space="preserve"> </w:t>
      </w:r>
      <w:r w:rsidR="00266FC0">
        <w:rPr>
          <w:lang w:val="en-GB"/>
        </w:rPr>
        <w:t>interest</w:t>
      </w:r>
      <w:r w:rsidRPr="00266FC0">
        <w:rPr>
          <w:lang w:val="en-GB"/>
        </w:rPr>
        <w:t xml:space="preserve"> </w:t>
      </w:r>
      <w:r w:rsidR="00E00A80">
        <w:rPr>
          <w:lang w:val="en-GB"/>
        </w:rPr>
        <w:t xml:space="preserve">up </w:t>
      </w:r>
      <w:r w:rsidR="00266FC0">
        <w:rPr>
          <w:lang w:val="en-GB"/>
        </w:rPr>
        <w:t>to 2005 (</w:t>
      </w:r>
      <w:r w:rsidRPr="00266FC0" w:rsidR="00266FC0">
        <w:rPr>
          <w:lang w:val="en-GB"/>
        </w:rPr>
        <w:t>EUR</w:t>
      </w:r>
      <w:r w:rsidR="00266FC0">
        <w:rPr>
          <w:lang w:val="en-GB"/>
        </w:rPr>
        <w:t xml:space="preserve"> 297,849.</w:t>
      </w:r>
      <w:r w:rsidRPr="00266FC0">
        <w:rPr>
          <w:lang w:val="en-GB"/>
        </w:rPr>
        <w:t>76) a</w:t>
      </w:r>
      <w:r w:rsidR="00266FC0">
        <w:rPr>
          <w:lang w:val="en-GB"/>
        </w:rPr>
        <w:t>nd indexation (</w:t>
      </w:r>
      <w:r w:rsidRPr="00266FC0" w:rsidR="00266FC0">
        <w:rPr>
          <w:lang w:val="en-GB"/>
        </w:rPr>
        <w:t>EUR</w:t>
      </w:r>
      <w:r w:rsidR="00266FC0">
        <w:rPr>
          <w:lang w:val="en-GB"/>
        </w:rPr>
        <w:t xml:space="preserve"> 198,</w:t>
      </w:r>
      <w:r w:rsidRPr="00266FC0">
        <w:rPr>
          <w:lang w:val="en-GB"/>
        </w:rPr>
        <w:t>737</w:t>
      </w:r>
      <w:r w:rsidR="00266FC0">
        <w:rPr>
          <w:lang w:val="en-GB"/>
        </w:rPr>
        <w:t>.</w:t>
      </w:r>
      <w:r w:rsidRPr="00266FC0">
        <w:rPr>
          <w:lang w:val="en-GB"/>
        </w:rPr>
        <w:t xml:space="preserve">84). </w:t>
      </w:r>
      <w:r w:rsidRPr="00266FC0" w:rsidR="00266FC0">
        <w:rPr>
          <w:lang w:val="en-GB"/>
        </w:rPr>
        <w:t>Thus</w:t>
      </w:r>
      <w:r w:rsidRPr="00266FC0">
        <w:rPr>
          <w:lang w:val="en-GB"/>
        </w:rPr>
        <w:t xml:space="preserve">, </w:t>
      </w:r>
      <w:r w:rsidRPr="00266FC0" w:rsidR="00266FC0">
        <w:rPr>
          <w:lang w:val="en-GB"/>
        </w:rPr>
        <w:t>the</w:t>
      </w:r>
      <w:r w:rsidRPr="00266FC0">
        <w:rPr>
          <w:lang w:val="en-GB"/>
        </w:rPr>
        <w:t xml:space="preserve"> capital index</w:t>
      </w:r>
      <w:r w:rsidRPr="00266FC0" w:rsidR="00266FC0">
        <w:rPr>
          <w:lang w:val="en-GB"/>
        </w:rPr>
        <w:t xml:space="preserve">ed </w:t>
      </w:r>
      <w:r w:rsidR="003E71B4">
        <w:rPr>
          <w:lang w:val="en-GB"/>
        </w:rPr>
        <w:t>in</w:t>
      </w:r>
      <w:r w:rsidRPr="00266FC0" w:rsidR="00266FC0">
        <w:rPr>
          <w:lang w:val="en-GB"/>
        </w:rPr>
        <w:t xml:space="preserve"> 2</w:t>
      </w:r>
      <w:r w:rsidRPr="00266FC0">
        <w:rPr>
          <w:lang w:val="en-GB"/>
        </w:rPr>
        <w:t xml:space="preserve">005 </w:t>
      </w:r>
      <w:r w:rsidRPr="00266FC0" w:rsidR="00266FC0">
        <w:rPr>
          <w:lang w:val="en-GB"/>
        </w:rPr>
        <w:t>and interest</w:t>
      </w:r>
      <w:r w:rsidRPr="003E71B4" w:rsidR="003E71B4">
        <w:rPr>
          <w:lang w:val="en-GB"/>
        </w:rPr>
        <w:t xml:space="preserve"> </w:t>
      </w:r>
      <w:r w:rsidRPr="00266FC0" w:rsidR="003E71B4">
        <w:rPr>
          <w:lang w:val="en-GB"/>
        </w:rPr>
        <w:t>accrued</w:t>
      </w:r>
      <w:r w:rsidRPr="00266FC0" w:rsidR="00266FC0">
        <w:rPr>
          <w:lang w:val="en-GB"/>
        </w:rPr>
        <w:t xml:space="preserve"> amounts to</w:t>
      </w:r>
      <w:r w:rsidRPr="00266FC0">
        <w:rPr>
          <w:lang w:val="en-GB"/>
        </w:rPr>
        <w:t xml:space="preserve"> </w:t>
      </w:r>
      <w:r w:rsidRPr="00266FC0" w:rsidR="00266FC0">
        <w:rPr>
          <w:lang w:val="en-GB"/>
        </w:rPr>
        <w:t xml:space="preserve">EUR </w:t>
      </w:r>
      <w:r w:rsidRPr="00266FC0">
        <w:rPr>
          <w:lang w:val="en-GB"/>
        </w:rPr>
        <w:t>620</w:t>
      </w:r>
      <w:r w:rsidRPr="00266FC0" w:rsidR="00266FC0">
        <w:rPr>
          <w:lang w:val="en-GB"/>
        </w:rPr>
        <w:t>,403</w:t>
      </w:r>
      <w:r w:rsidR="00266FC0">
        <w:rPr>
          <w:lang w:val="en-GB"/>
        </w:rPr>
        <w:t>.16</w:t>
      </w:r>
      <w:r w:rsidRPr="00266FC0">
        <w:rPr>
          <w:lang w:val="en-GB"/>
        </w:rPr>
        <w:t xml:space="preserve">. </w:t>
      </w:r>
      <w:r w:rsidRPr="00266FC0" w:rsidR="00266FC0">
        <w:rPr>
          <w:lang w:val="en-GB"/>
        </w:rPr>
        <w:t xml:space="preserve">The applicants criticised the Chamber judgment for failing to award them </w:t>
      </w:r>
      <w:r w:rsidR="00266FC0">
        <w:rPr>
          <w:lang w:val="en-GB"/>
        </w:rPr>
        <w:t>interest</w:t>
      </w:r>
      <w:r w:rsidRPr="00266FC0">
        <w:rPr>
          <w:lang w:val="en-GB"/>
        </w:rPr>
        <w:t>.</w:t>
      </w:r>
    </w:p>
    <w:p w:rsidRPr="003E71B4" w:rsidR="009A391E" w:rsidP="009A391E" w:rsidRDefault="009A391E">
      <w:pPr>
        <w:pStyle w:val="JuParaChar1"/>
        <w:rPr>
          <w:lang w:val="en-GB"/>
        </w:rPr>
      </w:pPr>
      <w:r w:rsidRPr="00C2011C">
        <w:fldChar w:fldCharType="begin"/>
      </w:r>
      <w:r w:rsidRPr="00F87FB5">
        <w:rPr>
          <w:lang w:val="en-GB"/>
        </w:rPr>
        <w:instrText xml:space="preserve"> SEQ level0 \*arabic </w:instrText>
      </w:r>
      <w:r w:rsidRPr="00C2011C">
        <w:fldChar w:fldCharType="separate"/>
      </w:r>
      <w:r w:rsidR="008B3B68">
        <w:rPr>
          <w:noProof/>
          <w:lang w:val="en-GB"/>
        </w:rPr>
        <w:t>244</w:t>
      </w:r>
      <w:r w:rsidRPr="00C2011C">
        <w:fldChar w:fldCharType="end"/>
      </w:r>
      <w:r w:rsidRPr="00F87FB5">
        <w:rPr>
          <w:lang w:val="en-GB"/>
        </w:rPr>
        <w:t>.  </w:t>
      </w:r>
      <w:r w:rsidRPr="00266FC0" w:rsidR="00266FC0">
        <w:rPr>
          <w:lang w:val="en-GB"/>
        </w:rPr>
        <w:t xml:space="preserve">The applicants also claimed reimbursement of the </w:t>
      </w:r>
      <w:r w:rsidRPr="00266FC0">
        <w:rPr>
          <w:lang w:val="en-GB"/>
        </w:rPr>
        <w:t xml:space="preserve">20% </w:t>
      </w:r>
      <w:r w:rsidRPr="00266FC0" w:rsidR="00266FC0">
        <w:rPr>
          <w:lang w:val="en-GB"/>
        </w:rPr>
        <w:t>tax which had bee</w:t>
      </w:r>
      <w:r w:rsidR="00266FC0">
        <w:rPr>
          <w:lang w:val="en-GB"/>
        </w:rPr>
        <w:t xml:space="preserve">n </w:t>
      </w:r>
      <w:r w:rsidR="003E71B4">
        <w:rPr>
          <w:lang w:val="en-GB"/>
        </w:rPr>
        <w:t>deducted from</w:t>
      </w:r>
      <w:r w:rsidR="00266FC0">
        <w:rPr>
          <w:lang w:val="en-GB"/>
        </w:rPr>
        <w:t xml:space="preserve"> the compensation for e</w:t>
      </w:r>
      <w:r w:rsidRPr="00266FC0">
        <w:rPr>
          <w:lang w:val="en-GB"/>
        </w:rPr>
        <w:t xml:space="preserve">xpropriation, </w:t>
      </w:r>
      <w:r w:rsidR="003E71B4">
        <w:rPr>
          <w:lang w:val="en-GB"/>
        </w:rPr>
        <w:t xml:space="preserve">which sum should be </w:t>
      </w:r>
      <w:r w:rsidRPr="00266FC0">
        <w:rPr>
          <w:lang w:val="en-GB"/>
        </w:rPr>
        <w:t>index</w:t>
      </w:r>
      <w:r w:rsidR="003E71B4">
        <w:rPr>
          <w:lang w:val="en-GB"/>
        </w:rPr>
        <w:t xml:space="preserve">-linked </w:t>
      </w:r>
      <w:r w:rsidR="00266FC0">
        <w:rPr>
          <w:lang w:val="en-GB"/>
        </w:rPr>
        <w:t xml:space="preserve">and </w:t>
      </w:r>
      <w:r w:rsidR="003E71B4">
        <w:rPr>
          <w:lang w:val="en-GB"/>
        </w:rPr>
        <w:t>bear</w:t>
      </w:r>
      <w:r w:rsidR="00266FC0">
        <w:rPr>
          <w:lang w:val="en-GB"/>
        </w:rPr>
        <w:t xml:space="preserve"> interest </w:t>
      </w:r>
      <w:r w:rsidR="003E71B4">
        <w:rPr>
          <w:lang w:val="en-GB"/>
        </w:rPr>
        <w:t xml:space="preserve">up </w:t>
      </w:r>
      <w:r w:rsidR="00266FC0">
        <w:rPr>
          <w:lang w:val="en-GB"/>
        </w:rPr>
        <w:t>to</w:t>
      </w:r>
      <w:r w:rsidRPr="00266FC0">
        <w:rPr>
          <w:lang w:val="en-GB"/>
        </w:rPr>
        <w:t xml:space="preserve"> 2005. </w:t>
      </w:r>
      <w:r w:rsidRPr="003E71B4" w:rsidR="00266FC0">
        <w:rPr>
          <w:lang w:val="en-GB"/>
        </w:rPr>
        <w:t>Th</w:t>
      </w:r>
      <w:r w:rsidR="003E71B4">
        <w:rPr>
          <w:lang w:val="en-GB"/>
        </w:rPr>
        <w:t>e</w:t>
      </w:r>
      <w:r w:rsidRPr="003E71B4" w:rsidR="00266FC0">
        <w:rPr>
          <w:lang w:val="en-GB"/>
        </w:rPr>
        <w:t xml:space="preserve"> amount came to</w:t>
      </w:r>
      <w:r w:rsidRPr="003E71B4">
        <w:rPr>
          <w:lang w:val="en-GB"/>
        </w:rPr>
        <w:t xml:space="preserve"> </w:t>
      </w:r>
      <w:r w:rsidRPr="003E71B4" w:rsidR="00266FC0">
        <w:rPr>
          <w:lang w:val="en-GB"/>
        </w:rPr>
        <w:t xml:space="preserve">EUR </w:t>
      </w:r>
      <w:r w:rsidRPr="003E71B4">
        <w:rPr>
          <w:lang w:val="en-GB"/>
        </w:rPr>
        <w:t>137</w:t>
      </w:r>
      <w:r w:rsidRPr="003E71B4" w:rsidR="00266FC0">
        <w:rPr>
          <w:lang w:val="en-GB"/>
        </w:rPr>
        <w:t>,261.34</w:t>
      </w:r>
      <w:r w:rsidRPr="003E71B4">
        <w:rPr>
          <w:lang w:val="en-GB"/>
        </w:rPr>
        <w:t>.</w:t>
      </w:r>
    </w:p>
    <w:p w:rsidRPr="00285346" w:rsidR="009A391E" w:rsidP="00124007" w:rsidRDefault="00E54656">
      <w:pPr>
        <w:pStyle w:val="JuHi"/>
        <w:outlineLvl w:val="0"/>
        <w:rPr>
          <w:lang w:val="en-GB"/>
        </w:rPr>
      </w:pPr>
      <w:r>
        <w:rPr>
          <w:lang w:val="en-GB"/>
        </w:rPr>
        <w:t>(</w:t>
      </w:r>
      <w:r w:rsidR="00967E1F">
        <w:rPr>
          <w:lang w:val="en-GB"/>
        </w:rPr>
        <w:t>ii)  </w:t>
      </w:r>
      <w:r w:rsidRPr="00285346" w:rsidR="00266FC0">
        <w:rPr>
          <w:lang w:val="en-GB"/>
        </w:rPr>
        <w:t>The Government</w:t>
      </w:r>
    </w:p>
    <w:p w:rsidR="00F87FB5" w:rsidP="00F87FB5" w:rsidRDefault="00F87FB5">
      <w:pPr>
        <w:pStyle w:val="JuParaChar1"/>
        <w:rPr>
          <w:lang w:val="en-GB"/>
        </w:rPr>
      </w:pPr>
      <w:r>
        <w:fldChar w:fldCharType="begin"/>
      </w:r>
      <w:r w:rsidRPr="0074250F">
        <w:rPr>
          <w:lang w:val="en-GB"/>
        </w:rPr>
        <w:instrText xml:space="preserve"> SEQ level0 \*arabic </w:instrText>
      </w:r>
      <w:r>
        <w:fldChar w:fldCharType="separate"/>
      </w:r>
      <w:r w:rsidR="008B3B68">
        <w:rPr>
          <w:noProof/>
          <w:lang w:val="en-GB"/>
        </w:rPr>
        <w:t>245</w:t>
      </w:r>
      <w:r>
        <w:fldChar w:fldCharType="end"/>
      </w:r>
      <w:r w:rsidRPr="0074250F">
        <w:rPr>
          <w:lang w:val="en-GB"/>
        </w:rPr>
        <w:t>.  </w:t>
      </w:r>
      <w:r w:rsidRPr="00F87FB5">
        <w:rPr>
          <w:lang w:val="en-GB"/>
        </w:rPr>
        <w:t>The Government submitted that, in the light of their submissions on the merits, no sum</w:t>
      </w:r>
      <w:r>
        <w:rPr>
          <w:lang w:val="en-GB"/>
        </w:rPr>
        <w:t xml:space="preserve"> should be awarded under A</w:t>
      </w:r>
      <w:r w:rsidRPr="00F87FB5">
        <w:rPr>
          <w:lang w:val="en-GB"/>
        </w:rPr>
        <w:t xml:space="preserve">rticle 41 </w:t>
      </w:r>
      <w:r>
        <w:rPr>
          <w:lang w:val="en-GB"/>
        </w:rPr>
        <w:t>of the</w:t>
      </w:r>
      <w:r w:rsidRPr="00F87FB5">
        <w:rPr>
          <w:lang w:val="en-GB"/>
        </w:rPr>
        <w:t xml:space="preserve"> Convention. </w:t>
      </w:r>
      <w:r w:rsidRPr="00FC03F9" w:rsidR="00FC03F9">
        <w:rPr>
          <w:lang w:val="en-GB"/>
        </w:rPr>
        <w:t xml:space="preserve">Should the Court </w:t>
      </w:r>
      <w:r w:rsidR="006450CA">
        <w:rPr>
          <w:lang w:val="en-GB"/>
        </w:rPr>
        <w:t>disagree</w:t>
      </w:r>
      <w:r w:rsidRPr="00FC03F9">
        <w:rPr>
          <w:lang w:val="en-GB"/>
        </w:rPr>
        <w:t xml:space="preserve">, </w:t>
      </w:r>
      <w:r w:rsidRPr="00FC03F9" w:rsidR="00FC03F9">
        <w:rPr>
          <w:lang w:val="en-GB"/>
        </w:rPr>
        <w:t>the Government submitted that just</w:t>
      </w:r>
      <w:r w:rsidRPr="00FC03F9">
        <w:rPr>
          <w:lang w:val="en-GB"/>
        </w:rPr>
        <w:t xml:space="preserve"> satisfaction </w:t>
      </w:r>
      <w:r w:rsidRPr="00FC03F9" w:rsidR="00FC03F9">
        <w:rPr>
          <w:lang w:val="en-GB"/>
        </w:rPr>
        <w:t>should be limited to a</w:t>
      </w:r>
      <w:r w:rsidR="00FC03F9">
        <w:rPr>
          <w:lang w:val="en-GB"/>
        </w:rPr>
        <w:t>n amount calculated with the utmost care</w:t>
      </w:r>
      <w:r w:rsidRPr="00FC03F9">
        <w:rPr>
          <w:lang w:val="en-GB"/>
        </w:rPr>
        <w:t xml:space="preserve">, </w:t>
      </w:r>
      <w:r w:rsidR="00FC03F9">
        <w:rPr>
          <w:lang w:val="en-GB"/>
        </w:rPr>
        <w:t xml:space="preserve">and should certainly be </w:t>
      </w:r>
      <w:r w:rsidR="006450CA">
        <w:rPr>
          <w:lang w:val="en-GB"/>
        </w:rPr>
        <w:t>lower</w:t>
      </w:r>
      <w:r w:rsidR="00FC03F9">
        <w:rPr>
          <w:lang w:val="en-GB"/>
        </w:rPr>
        <w:t xml:space="preserve"> than </w:t>
      </w:r>
      <w:r w:rsidR="006450CA">
        <w:rPr>
          <w:lang w:val="en-GB"/>
        </w:rPr>
        <w:t>the amount</w:t>
      </w:r>
      <w:r w:rsidR="00FC03F9">
        <w:rPr>
          <w:lang w:val="en-GB"/>
        </w:rPr>
        <w:t xml:space="preserve"> determined by the Chamber and the market value of the land</w:t>
      </w:r>
      <w:r w:rsidRPr="00FC03F9">
        <w:rPr>
          <w:lang w:val="en-GB"/>
        </w:rPr>
        <w:t>.</w:t>
      </w:r>
    </w:p>
    <w:p w:rsidRPr="00F259A9" w:rsidR="00FC03F9" w:rsidP="00124007" w:rsidRDefault="00E54656">
      <w:pPr>
        <w:pStyle w:val="JuHa"/>
        <w:outlineLvl w:val="0"/>
        <w:rPr>
          <w:lang w:val="en-GB"/>
        </w:rPr>
      </w:pPr>
      <w:r>
        <w:rPr>
          <w:lang w:val="en-GB"/>
        </w:rPr>
        <w:t>(</w:t>
      </w:r>
      <w:r w:rsidRPr="00F259A9" w:rsidR="00DA4FD9">
        <w:rPr>
          <w:lang w:val="en-GB"/>
        </w:rPr>
        <w:t>c</w:t>
      </w:r>
      <w:r>
        <w:rPr>
          <w:lang w:val="en-GB"/>
        </w:rPr>
        <w:t>)</w:t>
      </w:r>
      <w:r w:rsidRPr="00F259A9" w:rsidR="00FC03F9">
        <w:rPr>
          <w:lang w:val="en-GB"/>
        </w:rPr>
        <w:t>  The Court</w:t>
      </w:r>
      <w:r w:rsidR="00E6191D">
        <w:rPr>
          <w:lang w:val="en-GB"/>
        </w:rPr>
        <w:t>’</w:t>
      </w:r>
      <w:r w:rsidRPr="00F259A9" w:rsidR="00FC03F9">
        <w:rPr>
          <w:lang w:val="en-GB"/>
        </w:rPr>
        <w:t>s assessment</w:t>
      </w:r>
    </w:p>
    <w:p w:rsidRPr="00FC03F9" w:rsidR="00FC03F9" w:rsidP="00FC03F9" w:rsidRDefault="00FC03F9">
      <w:pPr>
        <w:pStyle w:val="JuParaChar1"/>
        <w:rPr>
          <w:lang w:val="en-GB"/>
        </w:rPr>
      </w:pPr>
      <w:r w:rsidRPr="00C2011C">
        <w:fldChar w:fldCharType="begin"/>
      </w:r>
      <w:r w:rsidRPr="0074250F">
        <w:rPr>
          <w:lang w:val="en-GB"/>
        </w:rPr>
        <w:instrText xml:space="preserve"> SEQ level0 \*arabic </w:instrText>
      </w:r>
      <w:r w:rsidRPr="00C2011C">
        <w:fldChar w:fldCharType="separate"/>
      </w:r>
      <w:r w:rsidR="008B3B68">
        <w:rPr>
          <w:noProof/>
          <w:lang w:val="en-GB"/>
        </w:rPr>
        <w:t>246</w:t>
      </w:r>
      <w:r w:rsidRPr="00C2011C">
        <w:fldChar w:fldCharType="end"/>
      </w:r>
      <w:r w:rsidRPr="0074250F">
        <w:rPr>
          <w:lang w:val="en-GB"/>
        </w:rPr>
        <w:t>.  </w:t>
      </w:r>
      <w:r w:rsidRPr="00FC03F9">
        <w:rPr>
          <w:lang w:val="en-GB"/>
        </w:rPr>
        <w:t>The Court reiterate</w:t>
      </w:r>
      <w:r>
        <w:rPr>
          <w:lang w:val="en-GB"/>
        </w:rPr>
        <w:t>s</w:t>
      </w:r>
      <w:r w:rsidRPr="00FC03F9">
        <w:rPr>
          <w:lang w:val="en-GB"/>
        </w:rPr>
        <w:t xml:space="preserve"> that a judgment in which it finds a breach imposes on the respondent State a legal obligation to put an end to the breach and make reparation for its consequences in such a way as to restore as far as possible the situation existing before the breach (</w:t>
      </w:r>
      <w:r>
        <w:rPr>
          <w:lang w:val="en-GB"/>
        </w:rPr>
        <w:t xml:space="preserve">see </w:t>
      </w:r>
      <w:r w:rsidRPr="00FC03F9">
        <w:rPr>
          <w:i/>
          <w:lang w:val="en-GB"/>
        </w:rPr>
        <w:t xml:space="preserve">Iatridis </w:t>
      </w:r>
      <w:r w:rsidR="006450CA">
        <w:rPr>
          <w:i/>
          <w:lang w:val="en-GB"/>
        </w:rPr>
        <w:t>v</w:t>
      </w:r>
      <w:r w:rsidR="005347B8">
        <w:rPr>
          <w:i/>
          <w:lang w:val="en-GB"/>
        </w:rPr>
        <w:t xml:space="preserve">. </w:t>
      </w:r>
      <w:r w:rsidRPr="00FC03F9">
        <w:rPr>
          <w:i/>
          <w:lang w:val="en-GB"/>
        </w:rPr>
        <w:t>Gr</w:t>
      </w:r>
      <w:r w:rsidR="006450CA">
        <w:rPr>
          <w:i/>
          <w:lang w:val="en-GB"/>
        </w:rPr>
        <w:t>eec</w:t>
      </w:r>
      <w:r w:rsidRPr="00FC03F9">
        <w:rPr>
          <w:i/>
          <w:lang w:val="en-GB"/>
        </w:rPr>
        <w:t>e</w:t>
      </w:r>
      <w:r w:rsidRPr="00FC03F9">
        <w:rPr>
          <w:lang w:val="en-GB"/>
        </w:rPr>
        <w:t xml:space="preserve"> (</w:t>
      </w:r>
      <w:r>
        <w:rPr>
          <w:lang w:val="en-GB"/>
        </w:rPr>
        <w:t xml:space="preserve">just </w:t>
      </w:r>
      <w:r w:rsidRPr="00FC03F9">
        <w:rPr>
          <w:lang w:val="en-GB"/>
        </w:rPr>
        <w:t xml:space="preserve">satisfaction) [GC], </w:t>
      </w:r>
      <w:r w:rsidR="006450CA">
        <w:rPr>
          <w:lang w:val="en-GB"/>
        </w:rPr>
        <w:t>no.</w:t>
      </w:r>
      <w:r w:rsidRPr="00FC03F9">
        <w:rPr>
          <w:lang w:val="en-GB"/>
        </w:rPr>
        <w:t xml:space="preserve"> 31107/96, § 32, </w:t>
      </w:r>
      <w:r w:rsidR="00E53175">
        <w:rPr>
          <w:lang w:val="en-GB"/>
        </w:rPr>
        <w:t>ECHR</w:t>
      </w:r>
      <w:r w:rsidRPr="00FC03F9">
        <w:rPr>
          <w:lang w:val="en-GB"/>
        </w:rPr>
        <w:t xml:space="preserve"> 2000-XI).</w:t>
      </w:r>
    </w:p>
    <w:p w:rsidRPr="00A3598C" w:rsidR="00FC03F9" w:rsidP="00A3598C" w:rsidRDefault="00FC03F9">
      <w:pPr>
        <w:pStyle w:val="JuPara"/>
        <w:rPr>
          <w:lang w:val="en-GB"/>
        </w:rPr>
      </w:pPr>
      <w:r w:rsidRPr="00C2011C">
        <w:fldChar w:fldCharType="begin"/>
      </w:r>
      <w:r w:rsidRPr="00F7226C">
        <w:rPr>
          <w:lang w:val="en-GB"/>
        </w:rPr>
        <w:instrText xml:space="preserve"> SEQ level0 \*arabic </w:instrText>
      </w:r>
      <w:r w:rsidRPr="00C2011C">
        <w:fldChar w:fldCharType="separate"/>
      </w:r>
      <w:r w:rsidR="008B3B68">
        <w:rPr>
          <w:noProof/>
          <w:lang w:val="en-GB"/>
        </w:rPr>
        <w:t>247</w:t>
      </w:r>
      <w:r w:rsidRPr="00C2011C">
        <w:fldChar w:fldCharType="end"/>
      </w:r>
      <w:r w:rsidRPr="00F7226C">
        <w:rPr>
          <w:lang w:val="en-GB"/>
        </w:rPr>
        <w:t>.  The Contracting States that are parties to a case are in principle free to choose the means wher</w:t>
      </w:r>
      <w:r w:rsidRPr="00DA15E2">
        <w:rPr>
          <w:lang w:val="en-GB"/>
        </w:rPr>
        <w:t>eby they will comply with a judgment in which the Court has found a breach. This discretion as to the manner of execution of a judgment reflects the freedom of choice attach</w:t>
      </w:r>
      <w:r w:rsidR="00B42E81">
        <w:rPr>
          <w:lang w:val="en-GB"/>
        </w:rPr>
        <w:t>ed</w:t>
      </w:r>
      <w:r w:rsidRPr="00DA15E2">
        <w:rPr>
          <w:lang w:val="en-GB"/>
        </w:rPr>
        <w:t xml:space="preserve"> to the primary obligation of the Contracting States under the Convention to secure the rights and fr</w:t>
      </w:r>
      <w:r w:rsidR="00B42E81">
        <w:rPr>
          <w:lang w:val="en-GB"/>
        </w:rPr>
        <w:t xml:space="preserve">eedoms guaranteed (Article 1). </w:t>
      </w:r>
      <w:r w:rsidRPr="00DA15E2">
        <w:rPr>
          <w:lang w:val="en-GB"/>
        </w:rPr>
        <w:t xml:space="preserve">If the nature of the breach allows of </w:t>
      </w:r>
      <w:r w:rsidRPr="00DA15E2">
        <w:rPr>
          <w:i/>
          <w:lang w:val="en-GB"/>
        </w:rPr>
        <w:t>restitutio in integrum</w:t>
      </w:r>
      <w:r w:rsidRPr="00DA15E2">
        <w:rPr>
          <w:lang w:val="en-GB"/>
        </w:rPr>
        <w:t xml:space="preserve">, it is for the respondent State to effect it, the Court having neither the power nor the practical possibility </w:t>
      </w:r>
      <w:r w:rsidR="00B42E81">
        <w:rPr>
          <w:lang w:val="en-GB"/>
        </w:rPr>
        <w:t>to do</w:t>
      </w:r>
      <w:r w:rsidRPr="00DA15E2">
        <w:rPr>
          <w:lang w:val="en-GB"/>
        </w:rPr>
        <w:t xml:space="preserve"> so itself. </w:t>
      </w:r>
      <w:r w:rsidRPr="00A3598C">
        <w:rPr>
          <w:lang w:val="en-GB"/>
        </w:rPr>
        <w:t xml:space="preserve">If, on the other hand, national law does not allow – or allows only partial – reparation to be made for the consequences of the breach, Article 41 empowers the Court to afford the injured party such satisfaction as appears to it to be appropriate (see </w:t>
      </w:r>
      <w:r w:rsidRPr="00A3598C" w:rsidR="00A3598C">
        <w:rPr>
          <w:i/>
          <w:lang w:val="en-GB"/>
        </w:rPr>
        <w:t>Brumărescu v. Romania</w:t>
      </w:r>
      <w:r w:rsidRPr="00A3598C" w:rsidR="00A3598C">
        <w:rPr>
          <w:lang w:val="en-GB"/>
        </w:rPr>
        <w:t xml:space="preserve"> (just satisfaction) [GC], no. 28342/95, § </w:t>
      </w:r>
      <w:r w:rsidR="00A3598C">
        <w:rPr>
          <w:lang w:val="en-GB"/>
        </w:rPr>
        <w:t>20,</w:t>
      </w:r>
      <w:r w:rsidR="00C5575E">
        <w:rPr>
          <w:lang w:val="en-GB"/>
        </w:rPr>
        <w:t xml:space="preserve"> ECHR 2001-</w:t>
      </w:r>
      <w:r w:rsidRPr="00A3598C" w:rsidR="00A3598C">
        <w:rPr>
          <w:lang w:val="en-GB"/>
        </w:rPr>
        <w:t>I</w:t>
      </w:r>
      <w:r w:rsidRPr="00A3598C">
        <w:rPr>
          <w:lang w:val="en-GB"/>
        </w:rPr>
        <w:t>).</w:t>
      </w:r>
    </w:p>
    <w:p w:rsidRPr="0074250F" w:rsidR="00FC03F9" w:rsidP="00FC03F9" w:rsidRDefault="00FC03F9">
      <w:pPr>
        <w:pStyle w:val="JuParaChar1"/>
        <w:rPr>
          <w:lang w:val="en-GB"/>
        </w:rPr>
      </w:pPr>
      <w:r w:rsidRPr="00C2011C">
        <w:fldChar w:fldCharType="begin"/>
      </w:r>
      <w:r w:rsidRPr="00087AB0">
        <w:rPr>
          <w:lang w:val="en-GB"/>
        </w:rPr>
        <w:instrText xml:space="preserve"> SEQ level0 \*arabic </w:instrText>
      </w:r>
      <w:r w:rsidRPr="00C2011C">
        <w:fldChar w:fldCharType="separate"/>
      </w:r>
      <w:r w:rsidR="008B3B68">
        <w:rPr>
          <w:noProof/>
          <w:lang w:val="en-GB"/>
        </w:rPr>
        <w:t>248</w:t>
      </w:r>
      <w:r w:rsidRPr="00C2011C">
        <w:fldChar w:fldCharType="end"/>
      </w:r>
      <w:r w:rsidRPr="00087AB0">
        <w:rPr>
          <w:lang w:val="en-GB"/>
        </w:rPr>
        <w:t>.  </w:t>
      </w:r>
      <w:r w:rsidRPr="0074250F" w:rsidR="0074250F">
        <w:rPr>
          <w:lang w:val="en-GB"/>
        </w:rPr>
        <w:t xml:space="preserve">The Court has held that the interference in question satisfied the condition of lawfulness and was not arbitrary </w:t>
      </w:r>
      <w:r w:rsidRPr="0074250F">
        <w:rPr>
          <w:lang w:val="en-GB"/>
        </w:rPr>
        <w:t>(</w:t>
      </w:r>
      <w:r w:rsidRPr="0074250F" w:rsidR="0074250F">
        <w:rPr>
          <w:lang w:val="en-GB"/>
        </w:rPr>
        <w:t>see paragraph</w:t>
      </w:r>
      <w:r w:rsidR="00525A5F">
        <w:rPr>
          <w:lang w:val="en-GB"/>
        </w:rPr>
        <w:t xml:space="preserve"> </w:t>
      </w:r>
      <w:r w:rsidR="00C820CE">
        <w:rPr>
          <w:lang w:val="en-GB"/>
        </w:rPr>
        <w:t>8</w:t>
      </w:r>
      <w:r w:rsidR="00525A5F">
        <w:rPr>
          <w:lang w:val="en-GB"/>
        </w:rPr>
        <w:t>1</w:t>
      </w:r>
      <w:r w:rsidR="0081411F">
        <w:rPr>
          <w:lang w:val="en-GB"/>
        </w:rPr>
        <w:t xml:space="preserve"> above</w:t>
      </w:r>
      <w:r w:rsidRPr="0074250F">
        <w:rPr>
          <w:lang w:val="en-GB"/>
        </w:rPr>
        <w:t xml:space="preserve">). </w:t>
      </w:r>
      <w:r w:rsidR="00DC0141">
        <w:rPr>
          <w:lang w:val="en-GB"/>
        </w:rPr>
        <w:t>The act of the Italian g</w:t>
      </w:r>
      <w:r w:rsidRPr="0074250F" w:rsidR="0074250F">
        <w:rPr>
          <w:lang w:val="en-GB"/>
        </w:rPr>
        <w:t>overnment which the Court held to be contrary to the Convention was an expropriation that would have been legitimate but for the failure to pay fair compensation</w:t>
      </w:r>
      <w:r w:rsidR="00AE454D">
        <w:rPr>
          <w:lang w:val="en-GB"/>
        </w:rPr>
        <w:t xml:space="preserve"> (see paragraphs 99</w:t>
      </w:r>
      <w:r w:rsidR="00A3598C">
        <w:rPr>
          <w:lang w:val="en-GB"/>
        </w:rPr>
        <w:t>-10</w:t>
      </w:r>
      <w:r w:rsidR="00AE454D">
        <w:rPr>
          <w:lang w:val="en-GB"/>
        </w:rPr>
        <w:t>4</w:t>
      </w:r>
      <w:r w:rsidR="00DC0141">
        <w:rPr>
          <w:lang w:val="en-GB"/>
        </w:rPr>
        <w:t xml:space="preserve"> above</w:t>
      </w:r>
      <w:r w:rsidR="00A3598C">
        <w:rPr>
          <w:lang w:val="en-GB"/>
        </w:rPr>
        <w:t xml:space="preserve">). </w:t>
      </w:r>
      <w:r w:rsidRPr="0074250F" w:rsidR="0074250F">
        <w:rPr>
          <w:lang w:val="en-GB"/>
        </w:rPr>
        <w:t>Furthermore</w:t>
      </w:r>
      <w:r w:rsidRPr="0074250F">
        <w:rPr>
          <w:lang w:val="en-GB"/>
        </w:rPr>
        <w:t xml:space="preserve">, </w:t>
      </w:r>
      <w:r w:rsidRPr="0074250F" w:rsidR="0074250F">
        <w:rPr>
          <w:lang w:val="en-GB"/>
        </w:rPr>
        <w:t>the Court</w:t>
      </w:r>
      <w:r w:rsidR="00A3598C">
        <w:rPr>
          <w:lang w:val="en-GB"/>
        </w:rPr>
        <w:t xml:space="preserve"> has</w:t>
      </w:r>
      <w:r w:rsidRPr="0074250F" w:rsidR="0074250F">
        <w:rPr>
          <w:lang w:val="en-GB"/>
        </w:rPr>
        <w:t xml:space="preserve"> found that the retrospective </w:t>
      </w:r>
      <w:r w:rsidRPr="0074250F">
        <w:rPr>
          <w:lang w:val="en-GB"/>
        </w:rPr>
        <w:t xml:space="preserve">application </w:t>
      </w:r>
      <w:r w:rsidRPr="0074250F" w:rsidR="0074250F">
        <w:rPr>
          <w:lang w:val="en-GB"/>
        </w:rPr>
        <w:t>of</w:t>
      </w:r>
      <w:r w:rsidRPr="0074250F">
        <w:rPr>
          <w:lang w:val="en-GB"/>
        </w:rPr>
        <w:t xml:space="preserve"> </w:t>
      </w:r>
      <w:r w:rsidRPr="0074250F" w:rsidR="0074250F">
        <w:rPr>
          <w:lang w:val="en-GB"/>
        </w:rPr>
        <w:t>section</w:t>
      </w:r>
      <w:r w:rsidRPr="0074250F">
        <w:rPr>
          <w:lang w:val="en-GB"/>
        </w:rPr>
        <w:t xml:space="preserve"> 5</w:t>
      </w:r>
      <w:r w:rsidR="00B40D2B">
        <w:rPr>
          <w:lang w:val="en-GB"/>
        </w:rPr>
        <w:t xml:space="preserve"> </w:t>
      </w:r>
      <w:r w:rsidRPr="0074250F">
        <w:rPr>
          <w:i/>
          <w:lang w:val="en-GB"/>
        </w:rPr>
        <w:t>bis</w:t>
      </w:r>
      <w:r w:rsidRPr="0074250F">
        <w:rPr>
          <w:lang w:val="en-GB"/>
        </w:rPr>
        <w:t xml:space="preserve"> </w:t>
      </w:r>
      <w:r w:rsidRPr="0074250F" w:rsidR="0074250F">
        <w:rPr>
          <w:lang w:val="en-GB"/>
        </w:rPr>
        <w:t>of Law no.</w:t>
      </w:r>
      <w:r w:rsidRPr="0074250F">
        <w:rPr>
          <w:lang w:val="en-GB"/>
        </w:rPr>
        <w:t xml:space="preserve"> 359</w:t>
      </w:r>
      <w:r w:rsidRPr="0074250F" w:rsidR="0074250F">
        <w:rPr>
          <w:lang w:val="en-GB"/>
        </w:rPr>
        <w:t>/</w:t>
      </w:r>
      <w:r w:rsidRPr="0074250F">
        <w:rPr>
          <w:lang w:val="en-GB"/>
        </w:rPr>
        <w:t xml:space="preserve">1992 </w:t>
      </w:r>
      <w:r w:rsidRPr="0074250F" w:rsidR="0074250F">
        <w:rPr>
          <w:lang w:val="en-GB"/>
        </w:rPr>
        <w:t xml:space="preserve">deprived the applicants of the possibility afforded </w:t>
      </w:r>
      <w:r w:rsidR="0074250F">
        <w:rPr>
          <w:lang w:val="en-GB"/>
        </w:rPr>
        <w:t xml:space="preserve">by section </w:t>
      </w:r>
      <w:r w:rsidRPr="0074250F">
        <w:rPr>
          <w:lang w:val="en-GB"/>
        </w:rPr>
        <w:t xml:space="preserve">39 </w:t>
      </w:r>
      <w:r w:rsidR="0074250F">
        <w:rPr>
          <w:lang w:val="en-GB"/>
        </w:rPr>
        <w:t>of Law no.</w:t>
      </w:r>
      <w:r w:rsidRPr="0074250F">
        <w:rPr>
          <w:lang w:val="en-GB"/>
        </w:rPr>
        <w:t xml:space="preserve"> 2359</w:t>
      </w:r>
      <w:r w:rsidR="0074250F">
        <w:rPr>
          <w:lang w:val="en-GB"/>
        </w:rPr>
        <w:t>/</w:t>
      </w:r>
      <w:r w:rsidRPr="0074250F">
        <w:rPr>
          <w:lang w:val="en-GB"/>
        </w:rPr>
        <w:t xml:space="preserve">1865, applicable </w:t>
      </w:r>
      <w:r w:rsidR="0074250F">
        <w:rPr>
          <w:lang w:val="en-GB"/>
        </w:rPr>
        <w:t>to the present case</w:t>
      </w:r>
      <w:r w:rsidRPr="0074250F">
        <w:rPr>
          <w:lang w:val="en-GB"/>
        </w:rPr>
        <w:t xml:space="preserve">, </w:t>
      </w:r>
      <w:r w:rsidR="0074250F">
        <w:rPr>
          <w:lang w:val="en-GB"/>
        </w:rPr>
        <w:t xml:space="preserve">of obtaining compensation </w:t>
      </w:r>
      <w:r w:rsidR="00DC0141">
        <w:rPr>
          <w:lang w:val="en-GB"/>
        </w:rPr>
        <w:t>at</w:t>
      </w:r>
      <w:r w:rsidR="0074250F">
        <w:rPr>
          <w:lang w:val="en-GB"/>
        </w:rPr>
        <w:t xml:space="preserve"> the </w:t>
      </w:r>
      <w:r w:rsidR="00A3598C">
        <w:rPr>
          <w:lang w:val="en-GB"/>
        </w:rPr>
        <w:t xml:space="preserve">market </w:t>
      </w:r>
      <w:r w:rsidR="0074250F">
        <w:rPr>
          <w:lang w:val="en-GB"/>
        </w:rPr>
        <w:t>value of</w:t>
      </w:r>
      <w:r w:rsidRPr="0074250F">
        <w:rPr>
          <w:lang w:val="en-GB"/>
        </w:rPr>
        <w:t xml:space="preserve"> </w:t>
      </w:r>
      <w:r w:rsidR="00E336AA">
        <w:rPr>
          <w:lang w:val="en-GB"/>
        </w:rPr>
        <w:t>the property</w:t>
      </w:r>
      <w:r w:rsidR="0074250F">
        <w:rPr>
          <w:lang w:val="en-GB"/>
        </w:rPr>
        <w:t xml:space="preserve"> (</w:t>
      </w:r>
      <w:r w:rsidR="00E336AA">
        <w:rPr>
          <w:lang w:val="en-GB"/>
        </w:rPr>
        <w:t xml:space="preserve">see </w:t>
      </w:r>
      <w:r w:rsidR="0074250F">
        <w:rPr>
          <w:lang w:val="en-GB"/>
        </w:rPr>
        <w:t>paragraph</w:t>
      </w:r>
      <w:r w:rsidRPr="0074250F">
        <w:rPr>
          <w:lang w:val="en-GB"/>
        </w:rPr>
        <w:t xml:space="preserve">s </w:t>
      </w:r>
      <w:r w:rsidR="00A3598C">
        <w:rPr>
          <w:lang w:val="en-GB"/>
        </w:rPr>
        <w:t>12</w:t>
      </w:r>
      <w:r w:rsidR="00AE454D">
        <w:rPr>
          <w:lang w:val="en-GB"/>
        </w:rPr>
        <w:t>7</w:t>
      </w:r>
      <w:r w:rsidR="00AE3A2D">
        <w:rPr>
          <w:lang w:val="en-GB"/>
        </w:rPr>
        <w:t>-</w:t>
      </w:r>
      <w:r w:rsidR="00A3598C">
        <w:rPr>
          <w:lang w:val="en-GB"/>
        </w:rPr>
        <w:t>3</w:t>
      </w:r>
      <w:r w:rsidR="00AE454D">
        <w:rPr>
          <w:lang w:val="en-GB"/>
        </w:rPr>
        <w:t>3</w:t>
      </w:r>
      <w:r w:rsidR="0074250F">
        <w:rPr>
          <w:lang w:val="en-GB"/>
        </w:rPr>
        <w:t xml:space="preserve"> above</w:t>
      </w:r>
      <w:r w:rsidRPr="0074250F">
        <w:rPr>
          <w:lang w:val="en-GB"/>
        </w:rPr>
        <w:t>).</w:t>
      </w:r>
    </w:p>
    <w:p w:rsidRPr="00DA15E2" w:rsidR="00FC03F9" w:rsidP="00A3598C" w:rsidRDefault="00FC03F9">
      <w:pPr>
        <w:pStyle w:val="JuPara"/>
        <w:rPr>
          <w:lang w:val="en-GB"/>
        </w:rPr>
      </w:pPr>
      <w:r w:rsidRPr="00C2011C">
        <w:fldChar w:fldCharType="begin"/>
      </w:r>
      <w:r w:rsidRPr="00152D42">
        <w:rPr>
          <w:lang w:val="en-GB"/>
        </w:rPr>
        <w:instrText xml:space="preserve"> SEQ level0 \*arabic </w:instrText>
      </w:r>
      <w:r w:rsidRPr="00C2011C">
        <w:fldChar w:fldCharType="separate"/>
      </w:r>
      <w:r w:rsidR="008B3B68">
        <w:rPr>
          <w:noProof/>
          <w:lang w:val="en-GB"/>
        </w:rPr>
        <w:t>249</w:t>
      </w:r>
      <w:r w:rsidRPr="00C2011C">
        <w:fldChar w:fldCharType="end"/>
      </w:r>
      <w:r w:rsidRPr="00152D42">
        <w:rPr>
          <w:lang w:val="en-GB"/>
        </w:rPr>
        <w:t>.  </w:t>
      </w:r>
      <w:r w:rsidRPr="00A3598C" w:rsidR="00E336AA">
        <w:rPr>
          <w:lang w:val="en-GB"/>
        </w:rPr>
        <w:t xml:space="preserve">In the present case the Court </w:t>
      </w:r>
      <w:r w:rsidR="00152D42">
        <w:rPr>
          <w:lang w:val="en-GB"/>
        </w:rPr>
        <w:t>considers</w:t>
      </w:r>
      <w:r w:rsidRPr="00A3598C" w:rsidR="00E336AA">
        <w:rPr>
          <w:lang w:val="en-GB"/>
        </w:rPr>
        <w:t xml:space="preserve"> that the</w:t>
      </w:r>
      <w:r w:rsidRPr="00A3598C">
        <w:rPr>
          <w:lang w:val="en-GB"/>
        </w:rPr>
        <w:t xml:space="preserve"> nature </w:t>
      </w:r>
      <w:r w:rsidRPr="00A3598C" w:rsidR="00E336AA">
        <w:rPr>
          <w:lang w:val="en-GB"/>
        </w:rPr>
        <w:t>of the</w:t>
      </w:r>
      <w:r w:rsidRPr="00A3598C">
        <w:rPr>
          <w:lang w:val="en-GB"/>
        </w:rPr>
        <w:t xml:space="preserve"> violations </w:t>
      </w:r>
      <w:r w:rsidRPr="00A3598C" w:rsidR="00E336AA">
        <w:rPr>
          <w:lang w:val="en-GB"/>
        </w:rPr>
        <w:t>found</w:t>
      </w:r>
      <w:r w:rsidRPr="00A3598C">
        <w:rPr>
          <w:lang w:val="en-GB"/>
        </w:rPr>
        <w:t xml:space="preserve"> </w:t>
      </w:r>
      <w:r w:rsidRPr="00A3598C" w:rsidR="00E336AA">
        <w:rPr>
          <w:lang w:val="en-GB"/>
        </w:rPr>
        <w:t>does not allow it to assume</w:t>
      </w:r>
      <w:r w:rsidRPr="00A3598C">
        <w:rPr>
          <w:lang w:val="en-GB"/>
        </w:rPr>
        <w:t xml:space="preserve"> </w:t>
      </w:r>
      <w:r w:rsidRPr="00A3598C" w:rsidR="00E336AA">
        <w:rPr>
          <w:lang w:val="en-GB"/>
        </w:rPr>
        <w:t xml:space="preserve">that </w:t>
      </w:r>
      <w:r w:rsidRPr="00A3598C">
        <w:rPr>
          <w:i/>
          <w:lang w:val="en-GB"/>
        </w:rPr>
        <w:t>restitutio in integrum</w:t>
      </w:r>
      <w:r w:rsidRPr="00A3598C">
        <w:rPr>
          <w:lang w:val="en-GB"/>
        </w:rPr>
        <w:t xml:space="preserve"> </w:t>
      </w:r>
      <w:r w:rsidRPr="00A3598C" w:rsidR="00A3598C">
        <w:rPr>
          <w:lang w:val="en-GB"/>
        </w:rPr>
        <w:t xml:space="preserve">can be made </w:t>
      </w:r>
      <w:r w:rsidRPr="00A3598C">
        <w:rPr>
          <w:lang w:val="en-GB"/>
        </w:rPr>
        <w:t>(</w:t>
      </w:r>
      <w:r w:rsidR="00BE0920">
        <w:rPr>
          <w:lang w:val="en-GB"/>
        </w:rPr>
        <w:t>contrast</w:t>
      </w:r>
      <w:r w:rsidRPr="00A3598C">
        <w:rPr>
          <w:lang w:val="en-GB"/>
        </w:rPr>
        <w:t xml:space="preserve"> </w:t>
      </w:r>
      <w:r w:rsidRPr="00A3598C" w:rsidR="00A3598C">
        <w:rPr>
          <w:i/>
          <w:lang w:val="en-GB"/>
        </w:rPr>
        <w:t>Papamichalopoulos and Others</w:t>
      </w:r>
      <w:r w:rsidR="00B42E81">
        <w:rPr>
          <w:i/>
          <w:lang w:val="en-GB"/>
        </w:rPr>
        <w:t xml:space="preserve"> v. Greece</w:t>
      </w:r>
      <w:r w:rsidRPr="00A3598C" w:rsidR="00A3598C">
        <w:rPr>
          <w:i/>
          <w:lang w:val="en-GB"/>
        </w:rPr>
        <w:t xml:space="preserve"> </w:t>
      </w:r>
      <w:r w:rsidR="00B42E81">
        <w:rPr>
          <w:lang w:val="en-GB"/>
        </w:rPr>
        <w:t>(Article 50</w:t>
      </w:r>
      <w:r w:rsidRPr="00A3598C">
        <w:rPr>
          <w:lang w:val="en-GB"/>
        </w:rPr>
        <w:t>)</w:t>
      </w:r>
      <w:r w:rsidR="00B42E81">
        <w:rPr>
          <w:lang w:val="en-GB"/>
        </w:rPr>
        <w:t xml:space="preserve">, </w:t>
      </w:r>
      <w:r w:rsidR="00DC0141">
        <w:rPr>
          <w:lang w:val="en-GB"/>
        </w:rPr>
        <w:t>31 </w:t>
      </w:r>
      <w:r w:rsidR="00B42E81">
        <w:rPr>
          <w:lang w:val="en-GB"/>
        </w:rPr>
        <w:t xml:space="preserve">October 1995, Series A </w:t>
      </w:r>
      <w:r w:rsidR="00DC0141">
        <w:rPr>
          <w:lang w:val="en-GB"/>
        </w:rPr>
        <w:t xml:space="preserve">no. </w:t>
      </w:r>
      <w:r w:rsidR="00B42E81">
        <w:rPr>
          <w:lang w:val="en-GB"/>
        </w:rPr>
        <w:t>330-B)</w:t>
      </w:r>
      <w:r w:rsidRPr="00A3598C">
        <w:rPr>
          <w:lang w:val="en-GB"/>
        </w:rPr>
        <w:t xml:space="preserve">. </w:t>
      </w:r>
      <w:r w:rsidRPr="00DA15E2" w:rsidR="00E336AA">
        <w:rPr>
          <w:lang w:val="en-GB"/>
        </w:rPr>
        <w:t>An award of equivalent compensation must therefore be made</w:t>
      </w:r>
      <w:r w:rsidRPr="00DA15E2">
        <w:rPr>
          <w:lang w:val="en-GB"/>
        </w:rPr>
        <w:t>.</w:t>
      </w:r>
    </w:p>
    <w:p w:rsidRPr="00A3598C" w:rsidR="00FC03F9" w:rsidP="00A3598C" w:rsidRDefault="00FC03F9">
      <w:pPr>
        <w:pStyle w:val="JuPara"/>
        <w:rPr>
          <w:lang w:val="en-GB"/>
        </w:rPr>
      </w:pPr>
      <w:r w:rsidRPr="00C2011C">
        <w:fldChar w:fldCharType="begin"/>
      </w:r>
      <w:r w:rsidRPr="00DA15E2">
        <w:rPr>
          <w:lang w:val="en-GB"/>
        </w:rPr>
        <w:instrText xml:space="preserve"> SEQ level0 \*arabic </w:instrText>
      </w:r>
      <w:r w:rsidRPr="00C2011C">
        <w:fldChar w:fldCharType="separate"/>
      </w:r>
      <w:r w:rsidR="008B3B68">
        <w:rPr>
          <w:noProof/>
          <w:lang w:val="en-GB"/>
        </w:rPr>
        <w:t>250</w:t>
      </w:r>
      <w:r w:rsidRPr="00C2011C">
        <w:fldChar w:fldCharType="end"/>
      </w:r>
      <w:r w:rsidRPr="00DA15E2">
        <w:rPr>
          <w:lang w:val="en-GB"/>
        </w:rPr>
        <w:t>.  </w:t>
      </w:r>
      <w:r w:rsidRPr="00A3598C" w:rsidR="00A3598C">
        <w:rPr>
          <w:lang w:val="en-GB"/>
        </w:rPr>
        <w:t xml:space="preserve">The </w:t>
      </w:r>
      <w:r w:rsidRPr="00A3598C" w:rsidR="00E336AA">
        <w:rPr>
          <w:lang w:val="en-GB"/>
        </w:rPr>
        <w:t xml:space="preserve">lawfulness of such a dispossession inevitably affects the criteria to be used for determining the reparation owed by the respondent State, since the pecuniary consequences of a lawful expropriation cannot be assimilated to those of an unlawful dispossession </w:t>
      </w:r>
      <w:r w:rsidRPr="00A3598C">
        <w:rPr>
          <w:lang w:val="en-GB"/>
        </w:rPr>
        <w:t>(</w:t>
      </w:r>
      <w:r w:rsidRPr="00A3598C" w:rsidR="00E336AA">
        <w:rPr>
          <w:lang w:val="en-GB"/>
        </w:rPr>
        <w:t xml:space="preserve">see </w:t>
      </w:r>
      <w:r w:rsidRPr="00C5575E" w:rsidR="00C5575E">
        <w:rPr>
          <w:i/>
          <w:lang w:val="en-GB"/>
        </w:rPr>
        <w:t>The</w:t>
      </w:r>
      <w:r w:rsidR="00C5575E">
        <w:rPr>
          <w:lang w:val="en-GB"/>
        </w:rPr>
        <w:t xml:space="preserve"> </w:t>
      </w:r>
      <w:r w:rsidR="00C5575E">
        <w:rPr>
          <w:i/>
          <w:lang w:val="en-GB"/>
        </w:rPr>
        <w:t>f</w:t>
      </w:r>
      <w:r w:rsidRPr="00A3598C" w:rsidR="00A3598C">
        <w:rPr>
          <w:i/>
          <w:lang w:val="en-GB"/>
        </w:rPr>
        <w:t xml:space="preserve">ormer King of Greece and Others </w:t>
      </w:r>
      <w:r w:rsidRPr="00A3598C" w:rsidR="00A3598C">
        <w:rPr>
          <w:lang w:val="en-GB"/>
        </w:rPr>
        <w:t>(just satisfaction),</w:t>
      </w:r>
      <w:r w:rsidR="00C86FC6">
        <w:rPr>
          <w:lang w:val="en-GB"/>
        </w:rPr>
        <w:t xml:space="preserve"> cited above</w:t>
      </w:r>
      <w:r w:rsidRPr="00A3598C" w:rsidR="00A3598C">
        <w:rPr>
          <w:lang w:val="en-GB"/>
        </w:rPr>
        <w:t>, § 75</w:t>
      </w:r>
      <w:r w:rsidRPr="00A3598C">
        <w:rPr>
          <w:lang w:val="en-GB"/>
        </w:rPr>
        <w:t>).</w:t>
      </w:r>
    </w:p>
    <w:p w:rsidRPr="005C715F" w:rsidR="00FC03F9" w:rsidP="005C715F" w:rsidRDefault="00FC03F9">
      <w:pPr>
        <w:pStyle w:val="JuPara"/>
        <w:rPr>
          <w:lang w:val="en-GB"/>
        </w:rPr>
      </w:pPr>
      <w:r w:rsidRPr="00647CE6">
        <w:rPr>
          <w:lang w:val="en-GB"/>
        </w:rPr>
        <w:fldChar w:fldCharType="begin"/>
      </w:r>
      <w:r w:rsidRPr="00087AB0">
        <w:rPr>
          <w:lang w:val="en-GB"/>
        </w:rPr>
        <w:instrText xml:space="preserve"> SEQ level0 \*arabic </w:instrText>
      </w:r>
      <w:r w:rsidRPr="00647CE6">
        <w:rPr>
          <w:lang w:val="en-GB"/>
        </w:rPr>
        <w:fldChar w:fldCharType="separate"/>
      </w:r>
      <w:r w:rsidR="008B3B68">
        <w:rPr>
          <w:noProof/>
          <w:lang w:val="en-GB"/>
        </w:rPr>
        <w:t>251</w:t>
      </w:r>
      <w:r w:rsidRPr="00647CE6">
        <w:rPr>
          <w:lang w:val="en-GB"/>
        </w:rPr>
        <w:fldChar w:fldCharType="end"/>
      </w:r>
      <w:r w:rsidRPr="00087AB0">
        <w:rPr>
          <w:lang w:val="en-GB"/>
        </w:rPr>
        <w:t>.  </w:t>
      </w:r>
      <w:r w:rsidRPr="00E336AA" w:rsidR="00E336AA">
        <w:rPr>
          <w:lang w:val="en-GB"/>
        </w:rPr>
        <w:t>The</w:t>
      </w:r>
      <w:r w:rsidRPr="00E336AA">
        <w:rPr>
          <w:lang w:val="en-GB"/>
        </w:rPr>
        <w:t xml:space="preserve"> Cour</w:t>
      </w:r>
      <w:r w:rsidRPr="00E336AA" w:rsidR="00E336AA">
        <w:rPr>
          <w:lang w:val="en-GB"/>
        </w:rPr>
        <w:t>t</w:t>
      </w:r>
      <w:r w:rsidRPr="00E336AA">
        <w:rPr>
          <w:lang w:val="en-GB"/>
        </w:rPr>
        <w:t xml:space="preserve"> adopt</w:t>
      </w:r>
      <w:r w:rsidRPr="00E336AA" w:rsidR="00E336AA">
        <w:rPr>
          <w:lang w:val="en-GB"/>
        </w:rPr>
        <w:t xml:space="preserve">ed a very similar position in </w:t>
      </w:r>
      <w:r w:rsidRPr="002F646A">
        <w:rPr>
          <w:i/>
          <w:lang w:val="en-GB"/>
        </w:rPr>
        <w:t xml:space="preserve">Papamichalopoulos </w:t>
      </w:r>
      <w:r w:rsidRPr="002F646A" w:rsidR="00E336AA">
        <w:rPr>
          <w:i/>
          <w:lang w:val="en-GB"/>
        </w:rPr>
        <w:t>and Others</w:t>
      </w:r>
      <w:r w:rsidR="00B40D2B">
        <w:rPr>
          <w:i/>
          <w:lang w:val="en-GB"/>
        </w:rPr>
        <w:t xml:space="preserve"> </w:t>
      </w:r>
      <w:r w:rsidRPr="00E336AA">
        <w:rPr>
          <w:lang w:val="en-GB"/>
        </w:rPr>
        <w:t>(</w:t>
      </w:r>
      <w:r w:rsidR="00E336AA">
        <w:rPr>
          <w:lang w:val="en-GB"/>
        </w:rPr>
        <w:t>A</w:t>
      </w:r>
      <w:r w:rsidR="00C5575E">
        <w:rPr>
          <w:lang w:val="en-GB"/>
        </w:rPr>
        <w:t xml:space="preserve">rticle </w:t>
      </w:r>
      <w:r w:rsidRPr="00E336AA">
        <w:rPr>
          <w:lang w:val="en-GB"/>
        </w:rPr>
        <w:t xml:space="preserve">50) </w:t>
      </w:r>
      <w:r w:rsidR="00E00A80">
        <w:rPr>
          <w:lang w:val="en-GB"/>
        </w:rPr>
        <w:t>(</w:t>
      </w:r>
      <w:r w:rsidR="00D92067">
        <w:rPr>
          <w:lang w:val="en-GB"/>
        </w:rPr>
        <w:t>cited above</w:t>
      </w:r>
      <w:r w:rsidRPr="00E336AA">
        <w:rPr>
          <w:lang w:val="en-GB"/>
        </w:rPr>
        <w:t xml:space="preserve">, §§ 36 </w:t>
      </w:r>
      <w:r w:rsidR="00E336AA">
        <w:rPr>
          <w:lang w:val="en-GB"/>
        </w:rPr>
        <w:t>and</w:t>
      </w:r>
      <w:r w:rsidRPr="00E336AA">
        <w:rPr>
          <w:lang w:val="en-GB"/>
        </w:rPr>
        <w:t xml:space="preserve"> 39). </w:t>
      </w:r>
      <w:r w:rsidRPr="003647D0" w:rsidR="00E336AA">
        <w:rPr>
          <w:lang w:val="en-GB"/>
        </w:rPr>
        <w:t xml:space="preserve">It found a </w:t>
      </w:r>
      <w:r w:rsidRPr="003647D0">
        <w:rPr>
          <w:lang w:val="en-GB"/>
        </w:rPr>
        <w:t>violation</w:t>
      </w:r>
      <w:r w:rsidRPr="003647D0" w:rsidR="00E336AA">
        <w:rPr>
          <w:lang w:val="en-GB"/>
        </w:rPr>
        <w:t xml:space="preserve"> in that case on account of a</w:t>
      </w:r>
      <w:r w:rsidRPr="003647D0" w:rsidR="003647D0">
        <w:rPr>
          <w:lang w:val="en-GB"/>
        </w:rPr>
        <w:t xml:space="preserve"> </w:t>
      </w:r>
      <w:r w:rsidRPr="00FE31F5" w:rsidR="00E336AA">
        <w:rPr>
          <w:i/>
          <w:lang w:val="en-GB"/>
        </w:rPr>
        <w:t>de facto</w:t>
      </w:r>
      <w:r w:rsidRPr="003647D0" w:rsidR="00E336AA">
        <w:rPr>
          <w:lang w:val="en-GB"/>
        </w:rPr>
        <w:t xml:space="preserve"> </w:t>
      </w:r>
      <w:r w:rsidRPr="003647D0" w:rsidR="003647D0">
        <w:rPr>
          <w:lang w:val="en-GB"/>
        </w:rPr>
        <w:t xml:space="preserve">unlawful </w:t>
      </w:r>
      <w:r w:rsidRPr="003647D0" w:rsidR="00E336AA">
        <w:rPr>
          <w:lang w:val="en-GB"/>
        </w:rPr>
        <w:t>e</w:t>
      </w:r>
      <w:r w:rsidRPr="003647D0">
        <w:rPr>
          <w:lang w:val="en-GB"/>
        </w:rPr>
        <w:t xml:space="preserve">xpropriation (occupation </w:t>
      </w:r>
      <w:r w:rsidRPr="003647D0" w:rsidR="003647D0">
        <w:rPr>
          <w:lang w:val="en-GB"/>
        </w:rPr>
        <w:t>of land by the Greek Navy since</w:t>
      </w:r>
      <w:r w:rsidRPr="003647D0">
        <w:rPr>
          <w:lang w:val="en-GB"/>
        </w:rPr>
        <w:t xml:space="preserve"> 1967) </w:t>
      </w:r>
      <w:r w:rsidR="003647D0">
        <w:rPr>
          <w:lang w:val="en-GB"/>
        </w:rPr>
        <w:t>which ha</w:t>
      </w:r>
      <w:r w:rsidR="00A3598C">
        <w:rPr>
          <w:lang w:val="en-GB"/>
        </w:rPr>
        <w:t>d</w:t>
      </w:r>
      <w:r w:rsidR="003647D0">
        <w:rPr>
          <w:lang w:val="en-GB"/>
        </w:rPr>
        <w:t xml:space="preserve"> lasted for more than twenty-five years on the date of the </w:t>
      </w:r>
      <w:r w:rsidRPr="003647D0">
        <w:rPr>
          <w:lang w:val="en-GB"/>
        </w:rPr>
        <w:t>principal</w:t>
      </w:r>
      <w:r w:rsidR="003647D0">
        <w:rPr>
          <w:lang w:val="en-GB"/>
        </w:rPr>
        <w:t xml:space="preserve"> judgment delivered on</w:t>
      </w:r>
      <w:r w:rsidRPr="003647D0">
        <w:rPr>
          <w:lang w:val="en-GB"/>
        </w:rPr>
        <w:t xml:space="preserve"> </w:t>
      </w:r>
      <w:smartTag w:uri="urn:schemas-microsoft-com:office:smarttags" w:element="date">
        <w:smartTagPr>
          <w:attr w:name="Month" w:val="6"/>
          <w:attr w:name="Day" w:val="24"/>
          <w:attr w:name="Year" w:val="1993"/>
        </w:smartTagPr>
        <w:r w:rsidRPr="003647D0">
          <w:rPr>
            <w:lang w:val="en-GB"/>
          </w:rPr>
          <w:t xml:space="preserve">24 </w:t>
        </w:r>
        <w:r w:rsidR="003647D0">
          <w:rPr>
            <w:lang w:val="en-GB"/>
          </w:rPr>
          <w:t>June</w:t>
        </w:r>
        <w:r w:rsidRPr="003647D0">
          <w:rPr>
            <w:lang w:val="en-GB"/>
          </w:rPr>
          <w:t xml:space="preserve"> 1993</w:t>
        </w:r>
      </w:smartTag>
      <w:r w:rsidRPr="003647D0">
        <w:rPr>
          <w:lang w:val="en-GB"/>
        </w:rPr>
        <w:t xml:space="preserve">. </w:t>
      </w:r>
      <w:r w:rsidRPr="005C715F" w:rsidR="00087AB0">
        <w:rPr>
          <w:lang w:val="en-GB"/>
        </w:rPr>
        <w:t xml:space="preserve">The Court accordingly ordered the </w:t>
      </w:r>
      <w:smartTag w:uri="urn:schemas-microsoft-com:office:smarttags" w:element="place">
        <w:smartTag w:uri="urn:schemas-microsoft-com:office:smarttags" w:element="PlaceName">
          <w:r w:rsidR="00087AB0" w:rsidRPr="005C715F">
            <w:rPr>
              <w:lang w:val="en-GB"/>
            </w:rPr>
            <w:t>Greek</w:t>
          </w:r>
        </w:smartTag>
        <w:r w:rsidR="00087AB0" w:rsidRPr="005C715F">
          <w:rPr>
            <w:lang w:val="en-GB"/>
          </w:rPr>
          <w:t xml:space="preserve"> </w:t>
        </w:r>
        <w:smartTag w:uri="urn:schemas-microsoft-com:office:smarttags" w:element="PlaceType">
          <w:r w:rsidR="00087AB0" w:rsidRPr="005C715F">
            <w:rPr>
              <w:lang w:val="en-GB"/>
            </w:rPr>
            <w:t>State</w:t>
          </w:r>
        </w:smartTag>
      </w:smartTag>
      <w:r w:rsidRPr="005C715F" w:rsidR="00087AB0">
        <w:rPr>
          <w:lang w:val="en-GB"/>
        </w:rPr>
        <w:t xml:space="preserve"> to pay the applicants, for damage and loss of enjoyment since the authorities </w:t>
      </w:r>
      <w:r w:rsidRPr="005C715F" w:rsidR="00A3598C">
        <w:rPr>
          <w:lang w:val="en-GB"/>
        </w:rPr>
        <w:t>had taken</w:t>
      </w:r>
      <w:r w:rsidRPr="005C715F" w:rsidR="00087AB0">
        <w:rPr>
          <w:lang w:val="en-GB"/>
        </w:rPr>
        <w:t xml:space="preserve"> possession of the land</w:t>
      </w:r>
      <w:r w:rsidR="00AE454D">
        <w:rPr>
          <w:lang w:val="en-GB"/>
        </w:rPr>
        <w:t>,</w:t>
      </w:r>
      <w:r w:rsidRPr="005C715F" w:rsidR="00087AB0">
        <w:rPr>
          <w:lang w:val="en-GB"/>
        </w:rPr>
        <w:t xml:space="preserve"> </w:t>
      </w:r>
      <w:r w:rsidRPr="005C715F" w:rsidR="00A3598C">
        <w:rPr>
          <w:lang w:val="en-GB"/>
        </w:rPr>
        <w:t xml:space="preserve">an amount corresponding to </w:t>
      </w:r>
      <w:r w:rsidRPr="005C715F" w:rsidR="00087AB0">
        <w:rPr>
          <w:lang w:val="en-GB"/>
        </w:rPr>
        <w:t xml:space="preserve">the current value of the land, increased by the appreciation brought about by the existence of </w:t>
      </w:r>
      <w:r w:rsidRPr="005C715F" w:rsidR="00A3598C">
        <w:rPr>
          <w:lang w:val="en-GB"/>
        </w:rPr>
        <w:t>buildings</w:t>
      </w:r>
      <w:r w:rsidRPr="005C715F" w:rsidR="00087AB0">
        <w:rPr>
          <w:lang w:val="en-GB"/>
        </w:rPr>
        <w:t xml:space="preserve"> which had been </w:t>
      </w:r>
      <w:r w:rsidRPr="005C715F" w:rsidR="00A3598C">
        <w:rPr>
          <w:lang w:val="en-GB"/>
        </w:rPr>
        <w:t>erected</w:t>
      </w:r>
      <w:r w:rsidRPr="005C715F" w:rsidR="00087AB0">
        <w:rPr>
          <w:lang w:val="en-GB"/>
        </w:rPr>
        <w:t xml:space="preserve"> since the </w:t>
      </w:r>
      <w:r w:rsidRPr="005C715F" w:rsidR="00A3598C">
        <w:rPr>
          <w:lang w:val="en-GB"/>
        </w:rPr>
        <w:t>land had been occupied</w:t>
      </w:r>
      <w:r w:rsidRPr="005C715F">
        <w:rPr>
          <w:lang w:val="en-GB"/>
        </w:rPr>
        <w:t>.</w:t>
      </w:r>
    </w:p>
    <w:p w:rsidR="00FC03F9" w:rsidP="00FC03F9" w:rsidRDefault="00FC03F9">
      <w:pPr>
        <w:pStyle w:val="JuParaChar1"/>
        <w:rPr>
          <w:lang w:val="en-GB" w:eastAsia="en-US"/>
        </w:rPr>
      </w:pPr>
      <w:r w:rsidRPr="00C2011C">
        <w:fldChar w:fldCharType="begin"/>
      </w:r>
      <w:r w:rsidRPr="00087AB0">
        <w:rPr>
          <w:lang w:val="en-GB"/>
        </w:rPr>
        <w:instrText xml:space="preserve"> SEQ level0 \*arabic </w:instrText>
      </w:r>
      <w:r w:rsidRPr="00C2011C">
        <w:fldChar w:fldCharType="separate"/>
      </w:r>
      <w:r w:rsidR="008B3B68">
        <w:rPr>
          <w:noProof/>
          <w:lang w:val="en-GB"/>
        </w:rPr>
        <w:t>252</w:t>
      </w:r>
      <w:r w:rsidRPr="00C2011C">
        <w:fldChar w:fldCharType="end"/>
      </w:r>
      <w:r w:rsidRPr="00087AB0">
        <w:rPr>
          <w:lang w:val="en-GB"/>
        </w:rPr>
        <w:t>.  </w:t>
      </w:r>
      <w:r w:rsidRPr="00087AB0" w:rsidR="00087AB0">
        <w:rPr>
          <w:lang w:val="en-GB"/>
        </w:rPr>
        <w:t>The</w:t>
      </w:r>
      <w:r w:rsidRPr="00087AB0">
        <w:rPr>
          <w:lang w:val="en-GB"/>
        </w:rPr>
        <w:t xml:space="preserve"> Cour</w:t>
      </w:r>
      <w:r w:rsidRPr="00087AB0" w:rsidR="00087AB0">
        <w:rPr>
          <w:lang w:val="en-GB"/>
        </w:rPr>
        <w:t>t followed that approach in two Italian cases concerning</w:t>
      </w:r>
      <w:r w:rsidRPr="00087AB0">
        <w:rPr>
          <w:lang w:val="en-GB"/>
        </w:rPr>
        <w:t xml:space="preserve"> expropriations </w:t>
      </w:r>
      <w:r w:rsidR="00087AB0">
        <w:rPr>
          <w:lang w:val="en-GB"/>
        </w:rPr>
        <w:t xml:space="preserve">that </w:t>
      </w:r>
      <w:r w:rsidR="005F3D63">
        <w:rPr>
          <w:lang w:val="en-GB"/>
        </w:rPr>
        <w:t>did not comply w</w:t>
      </w:r>
      <w:r w:rsidR="00087AB0">
        <w:rPr>
          <w:lang w:val="en-GB"/>
        </w:rPr>
        <w:t>ith the</w:t>
      </w:r>
      <w:r w:rsidRPr="00087AB0">
        <w:rPr>
          <w:lang w:val="en-GB"/>
        </w:rPr>
        <w:t xml:space="preserve"> princip</w:t>
      </w:r>
      <w:r w:rsidRPr="00087AB0" w:rsidR="00087AB0">
        <w:rPr>
          <w:lang w:val="en-GB"/>
        </w:rPr>
        <w:t>l</w:t>
      </w:r>
      <w:r w:rsidRPr="00087AB0">
        <w:rPr>
          <w:lang w:val="en-GB"/>
        </w:rPr>
        <w:t xml:space="preserve">e </w:t>
      </w:r>
      <w:r w:rsidR="005F3D63">
        <w:rPr>
          <w:lang w:val="en-GB"/>
        </w:rPr>
        <w:t>of</w:t>
      </w:r>
      <w:r w:rsidRPr="00087AB0" w:rsidR="00087AB0">
        <w:rPr>
          <w:lang w:val="en-GB"/>
        </w:rPr>
        <w:t xml:space="preserve"> law</w:t>
      </w:r>
      <w:r w:rsidR="005F3D63">
        <w:rPr>
          <w:lang w:val="en-GB"/>
        </w:rPr>
        <w:t>fulness</w:t>
      </w:r>
      <w:r w:rsidRPr="00087AB0">
        <w:rPr>
          <w:lang w:val="en-GB"/>
        </w:rPr>
        <w:t xml:space="preserve">. </w:t>
      </w:r>
      <w:r w:rsidRPr="00087AB0" w:rsidR="00087AB0">
        <w:rPr>
          <w:lang w:val="en-GB"/>
        </w:rPr>
        <w:t>In the first of those cases</w:t>
      </w:r>
      <w:r w:rsidRPr="00087AB0">
        <w:rPr>
          <w:lang w:val="en-GB"/>
        </w:rPr>
        <w:t xml:space="preserve"> </w:t>
      </w:r>
      <w:r w:rsidR="000B07B9">
        <w:rPr>
          <w:lang w:val="en-GB"/>
        </w:rPr>
        <w:t>(</w:t>
      </w:r>
      <w:r w:rsidRPr="00087AB0">
        <w:rPr>
          <w:i/>
          <w:lang w:val="en-GB" w:eastAsia="en-US"/>
        </w:rPr>
        <w:t xml:space="preserve">Belvedere Alberghiera S.r.l. </w:t>
      </w:r>
      <w:r w:rsidR="005F3D63">
        <w:rPr>
          <w:i/>
          <w:lang w:val="en-GB" w:eastAsia="en-US"/>
        </w:rPr>
        <w:t>v</w:t>
      </w:r>
      <w:r w:rsidRPr="00087AB0">
        <w:rPr>
          <w:i/>
          <w:lang w:val="en-GB" w:eastAsia="en-US"/>
        </w:rPr>
        <w:t>.</w:t>
      </w:r>
      <w:r w:rsidR="009E14C6">
        <w:rPr>
          <w:i/>
          <w:lang w:val="en-GB" w:eastAsia="en-US"/>
        </w:rPr>
        <w:t xml:space="preserve"> </w:t>
      </w:r>
      <w:r w:rsidRPr="00087AB0">
        <w:rPr>
          <w:i/>
          <w:lang w:val="en-GB" w:eastAsia="en-US"/>
        </w:rPr>
        <w:t>Ital</w:t>
      </w:r>
      <w:r w:rsidR="005F3D63">
        <w:rPr>
          <w:i/>
          <w:lang w:val="en-GB" w:eastAsia="en-US"/>
        </w:rPr>
        <w:t>y</w:t>
      </w:r>
      <w:r w:rsidRPr="00087AB0">
        <w:rPr>
          <w:i/>
          <w:lang w:val="en-GB" w:eastAsia="en-US"/>
        </w:rPr>
        <w:t xml:space="preserve"> </w:t>
      </w:r>
      <w:r w:rsidRPr="00087AB0">
        <w:rPr>
          <w:lang w:val="en-GB" w:eastAsia="en-US"/>
        </w:rPr>
        <w:t>(</w:t>
      </w:r>
      <w:r w:rsidR="00087AB0">
        <w:rPr>
          <w:lang w:val="en-GB" w:eastAsia="en-US"/>
        </w:rPr>
        <w:t xml:space="preserve">just </w:t>
      </w:r>
      <w:r w:rsidRPr="00087AB0">
        <w:rPr>
          <w:lang w:val="en-GB" w:eastAsia="en-US"/>
        </w:rPr>
        <w:t xml:space="preserve">satisfaction), </w:t>
      </w:r>
      <w:r w:rsidR="00087AB0">
        <w:rPr>
          <w:lang w:val="en-GB" w:eastAsia="en-US"/>
        </w:rPr>
        <w:t>no.</w:t>
      </w:r>
      <w:r w:rsidRPr="00087AB0">
        <w:rPr>
          <w:lang w:val="en-GB" w:eastAsia="en-US"/>
        </w:rPr>
        <w:t xml:space="preserve"> 31524/96, §§ 34-36, 30 </w:t>
      </w:r>
      <w:r w:rsidR="00087AB0">
        <w:rPr>
          <w:lang w:val="en-GB" w:eastAsia="en-US"/>
        </w:rPr>
        <w:t>October</w:t>
      </w:r>
      <w:r w:rsidRPr="00087AB0">
        <w:rPr>
          <w:lang w:val="en-GB" w:eastAsia="en-US"/>
        </w:rPr>
        <w:t xml:space="preserve"> 2003</w:t>
      </w:r>
      <w:r w:rsidR="000B07B9">
        <w:rPr>
          <w:lang w:val="en-GB" w:eastAsia="en-US"/>
        </w:rPr>
        <w:t>)</w:t>
      </w:r>
      <w:r w:rsidRPr="00087AB0">
        <w:rPr>
          <w:lang w:val="en-GB" w:eastAsia="en-US"/>
        </w:rPr>
        <w:t xml:space="preserve">, </w:t>
      </w:r>
      <w:r w:rsidR="00087AB0">
        <w:rPr>
          <w:lang w:val="en-GB" w:eastAsia="en-US"/>
        </w:rPr>
        <w:t>it held</w:t>
      </w:r>
      <w:r w:rsidRPr="00087AB0">
        <w:rPr>
          <w:lang w:val="en-GB" w:eastAsia="en-US"/>
        </w:rPr>
        <w:t>:</w:t>
      </w:r>
    </w:p>
    <w:p w:rsidR="00FC03F9" w:rsidP="00087AB0" w:rsidRDefault="00087AB0">
      <w:pPr>
        <w:pStyle w:val="JuQuotChar1"/>
        <w:rPr>
          <w:lang w:eastAsia="en-US"/>
        </w:rPr>
      </w:pPr>
      <w:r>
        <w:rPr>
          <w:lang w:eastAsia="en-US"/>
        </w:rPr>
        <w:t>“As it is the inherent unlawfulness of the expropriation which was at the origin of the breach found, the compensation must necessarily reflect the full value of the property.</w:t>
      </w:r>
    </w:p>
    <w:p w:rsidR="00087AB0" w:rsidP="00087AB0" w:rsidRDefault="00087AB0">
      <w:pPr>
        <w:pStyle w:val="JuQuotChar1"/>
        <w:rPr>
          <w:lang w:eastAsia="en-US"/>
        </w:rPr>
      </w:pPr>
      <w:r>
        <w:rPr>
          <w:lang w:eastAsia="en-US"/>
        </w:rPr>
        <w:t xml:space="preserve">With regard to pecuniary damage, the Court </w:t>
      </w:r>
      <w:r w:rsidR="005F3D63">
        <w:rPr>
          <w:lang w:eastAsia="en-US"/>
        </w:rPr>
        <w:t xml:space="preserve">therefore </w:t>
      </w:r>
      <w:r>
        <w:rPr>
          <w:lang w:eastAsia="en-US"/>
        </w:rPr>
        <w:t xml:space="preserve">holds that the compensation to be awarded to the applicant is not limited to the value of </w:t>
      </w:r>
      <w:r w:rsidR="005F3D63">
        <w:rPr>
          <w:lang w:eastAsia="en-US"/>
        </w:rPr>
        <w:t>the</w:t>
      </w:r>
      <w:r>
        <w:rPr>
          <w:lang w:eastAsia="en-US"/>
        </w:rPr>
        <w:t xml:space="preserve"> property </w:t>
      </w:r>
      <w:r w:rsidR="00A34CE9">
        <w:rPr>
          <w:lang w:eastAsia="en-US"/>
        </w:rPr>
        <w:t>when</w:t>
      </w:r>
      <w:r w:rsidR="005F3D63">
        <w:rPr>
          <w:lang w:eastAsia="en-US"/>
        </w:rPr>
        <w:t xml:space="preserve"> it was</w:t>
      </w:r>
      <w:r>
        <w:rPr>
          <w:lang w:eastAsia="en-US"/>
        </w:rPr>
        <w:t xml:space="preserve"> occup</w:t>
      </w:r>
      <w:r w:rsidR="005F3D63">
        <w:rPr>
          <w:lang w:eastAsia="en-US"/>
        </w:rPr>
        <w:t>ied. For that reason, it requested the expert</w:t>
      </w:r>
      <w:r w:rsidRPr="005F3D63" w:rsidR="005F3D63">
        <w:rPr>
          <w:lang w:eastAsia="en-US"/>
        </w:rPr>
        <w:t xml:space="preserve"> to estimate also the current value of the land in issue </w:t>
      </w:r>
      <w:r>
        <w:rPr>
          <w:lang w:eastAsia="en-US"/>
        </w:rPr>
        <w:t>and the other heads of damage.</w:t>
      </w:r>
    </w:p>
    <w:p w:rsidRPr="005F3D63" w:rsidR="005F3D63" w:rsidP="005F3D63" w:rsidRDefault="005F3D63">
      <w:pPr>
        <w:pStyle w:val="JuQuotChar1"/>
        <w:rPr>
          <w:lang w:eastAsia="en-US"/>
        </w:rPr>
      </w:pPr>
      <w:r w:rsidRPr="005F3D63">
        <w:t xml:space="preserve">The Court </w:t>
      </w:r>
      <w:r>
        <w:t>decides</w:t>
      </w:r>
      <w:r w:rsidRPr="005F3D63">
        <w:t xml:space="preserve"> that the State shall pay th</w:t>
      </w:r>
      <w:r>
        <w:t>e applicant the current value of the land</w:t>
      </w:r>
      <w:r w:rsidRPr="005F3D63">
        <w:t xml:space="preserve">. To that amount shall be added a sum for loss of enjoyment of the land </w:t>
      </w:r>
      <w:r>
        <w:t>since the authorities took p</w:t>
      </w:r>
      <w:r w:rsidRPr="005F3D63">
        <w:t>ossession</w:t>
      </w:r>
      <w:r>
        <w:t xml:space="preserve"> of it in 1987 and for the</w:t>
      </w:r>
      <w:r w:rsidRPr="005F3D63">
        <w:t xml:space="preserve"> d</w:t>
      </w:r>
      <w:r>
        <w:t>e</w:t>
      </w:r>
      <w:r w:rsidRPr="005F3D63">
        <w:t>pr</w:t>
      </w:r>
      <w:r>
        <w:t>e</w:t>
      </w:r>
      <w:r w:rsidRPr="005F3D63">
        <w:t>ciation</w:t>
      </w:r>
      <w:r>
        <w:t xml:space="preserve"> of the property</w:t>
      </w:r>
      <w:r w:rsidRPr="005F3D63">
        <w:t xml:space="preserve">. Furthermore, in the absence of comments from the Government on the expert report, </w:t>
      </w:r>
      <w:r>
        <w:t>an amount shall be awarded for loss of income from the hotel activity</w:t>
      </w:r>
      <w:r w:rsidRPr="005F3D63">
        <w:t>.</w:t>
      </w:r>
      <w:r>
        <w:t>”</w:t>
      </w:r>
    </w:p>
    <w:p w:rsidR="00087AB0" w:rsidP="00087AB0" w:rsidRDefault="00087AB0">
      <w:pPr>
        <w:pStyle w:val="JuPara"/>
        <w:rPr>
          <w:lang w:val="en-GB" w:eastAsia="en-US"/>
        </w:rPr>
      </w:pPr>
      <w:r>
        <w:rPr>
          <w:lang w:eastAsia="en-US"/>
        </w:rPr>
        <w:fldChar w:fldCharType="begin"/>
      </w:r>
      <w:r w:rsidRPr="00087AB0">
        <w:rPr>
          <w:lang w:val="en-GB" w:eastAsia="en-US"/>
        </w:rPr>
        <w:instrText xml:space="preserve"> SEQ level0 \*arabic </w:instrText>
      </w:r>
      <w:r>
        <w:rPr>
          <w:lang w:eastAsia="en-US"/>
        </w:rPr>
        <w:fldChar w:fldCharType="separate"/>
      </w:r>
      <w:r w:rsidR="008B3B68">
        <w:rPr>
          <w:noProof/>
          <w:lang w:val="en-GB" w:eastAsia="en-US"/>
        </w:rPr>
        <w:t>253</w:t>
      </w:r>
      <w:r>
        <w:rPr>
          <w:lang w:eastAsia="en-US"/>
        </w:rPr>
        <w:fldChar w:fldCharType="end"/>
      </w:r>
      <w:r w:rsidRPr="00087AB0">
        <w:rPr>
          <w:lang w:val="en-GB" w:eastAsia="en-US"/>
        </w:rPr>
        <w:t>.  In the second of those cases (</w:t>
      </w:r>
      <w:r w:rsidRPr="00D124D2">
        <w:rPr>
          <w:i/>
          <w:lang w:val="en-GB"/>
        </w:rPr>
        <w:t>C</w:t>
      </w:r>
      <w:r w:rsidRPr="00087AB0">
        <w:rPr>
          <w:i/>
          <w:lang w:val="en-GB" w:eastAsia="en-US"/>
        </w:rPr>
        <w:t>arbonara and Ventura v. Ital</w:t>
      </w:r>
      <w:r w:rsidR="005F3D63">
        <w:rPr>
          <w:i/>
          <w:lang w:val="en-GB" w:eastAsia="en-US"/>
        </w:rPr>
        <w:t>y</w:t>
      </w:r>
      <w:r w:rsidRPr="00087AB0">
        <w:rPr>
          <w:i/>
          <w:lang w:val="en-GB" w:eastAsia="en-US"/>
        </w:rPr>
        <w:t xml:space="preserve"> </w:t>
      </w:r>
      <w:r w:rsidRPr="00087AB0">
        <w:rPr>
          <w:lang w:val="en-GB" w:eastAsia="en-US"/>
        </w:rPr>
        <w:t xml:space="preserve">(just satisfaction), </w:t>
      </w:r>
      <w:r w:rsidR="005F3D63">
        <w:rPr>
          <w:lang w:val="en-GB" w:eastAsia="en-US"/>
        </w:rPr>
        <w:t>no.</w:t>
      </w:r>
      <w:r w:rsidRPr="00087AB0">
        <w:rPr>
          <w:lang w:val="en-GB" w:eastAsia="en-US"/>
        </w:rPr>
        <w:t xml:space="preserve"> 24638/94, §§ 4</w:t>
      </w:r>
      <w:r w:rsidR="00D124D2">
        <w:rPr>
          <w:lang w:val="en-GB" w:eastAsia="en-US"/>
        </w:rPr>
        <w:t>0-41</w:t>
      </w:r>
      <w:r w:rsidRPr="00087AB0">
        <w:rPr>
          <w:lang w:val="en-GB" w:eastAsia="en-US"/>
        </w:rPr>
        <w:t xml:space="preserve">, </w:t>
      </w:r>
      <w:smartTag w:uri="urn:schemas-microsoft-com:office:smarttags" w:element="date">
        <w:smartTagPr>
          <w:attr w:name="Month" w:val="12"/>
          <w:attr w:name="Day" w:val="11"/>
          <w:attr w:name="Year" w:val="2003"/>
        </w:smartTagPr>
        <w:r w:rsidRPr="00087AB0">
          <w:rPr>
            <w:lang w:val="en-GB" w:eastAsia="en-US"/>
          </w:rPr>
          <w:t xml:space="preserve">11 </w:t>
        </w:r>
        <w:r>
          <w:rPr>
            <w:lang w:val="en-GB" w:eastAsia="en-US"/>
          </w:rPr>
          <w:t>December</w:t>
        </w:r>
        <w:r w:rsidRPr="00087AB0">
          <w:rPr>
            <w:lang w:val="en-GB" w:eastAsia="en-US"/>
          </w:rPr>
          <w:t xml:space="preserve"> 2003</w:t>
        </w:r>
      </w:smartTag>
      <w:r w:rsidRPr="00087AB0">
        <w:rPr>
          <w:lang w:val="en-GB" w:eastAsia="en-US"/>
        </w:rPr>
        <w:t xml:space="preserve">), </w:t>
      </w:r>
      <w:r>
        <w:rPr>
          <w:lang w:val="en-GB" w:eastAsia="en-US"/>
        </w:rPr>
        <w:t>the Court declared:</w:t>
      </w:r>
    </w:p>
    <w:p w:rsidRPr="00152D42" w:rsidR="0018382F" w:rsidP="0018382F" w:rsidRDefault="0018382F">
      <w:pPr>
        <w:pStyle w:val="JuQuotChar1"/>
      </w:pPr>
      <w:r w:rsidRPr="0018382F">
        <w:rPr>
          <w:lang w:eastAsia="en-US"/>
        </w:rPr>
        <w:t>“</w:t>
      </w:r>
      <w:r w:rsidR="00A34CE9">
        <w:rPr>
          <w:lang w:eastAsia="en-US"/>
        </w:rPr>
        <w:t>With regard to</w:t>
      </w:r>
      <w:r w:rsidRPr="0018382F">
        <w:rPr>
          <w:lang w:eastAsia="en-US"/>
        </w:rPr>
        <w:t xml:space="preserve"> pecuniary damage</w:t>
      </w:r>
      <w:r w:rsidRPr="0018382F">
        <w:t xml:space="preserve">, the Court </w:t>
      </w:r>
      <w:r w:rsidR="00A34CE9">
        <w:t>therefore</w:t>
      </w:r>
      <w:r w:rsidRPr="0018382F">
        <w:t xml:space="preserve"> </w:t>
      </w:r>
      <w:r w:rsidR="00A34CE9">
        <w:t>holds</w:t>
      </w:r>
      <w:r w:rsidRPr="0018382F">
        <w:t xml:space="preserve"> that the compensation to be awarded to</w:t>
      </w:r>
      <w:r>
        <w:t xml:space="preserve"> </w:t>
      </w:r>
      <w:r w:rsidRPr="0018382F">
        <w:t>the applicants is no</w:t>
      </w:r>
      <w:r>
        <w:t>t limited to the value of their property</w:t>
      </w:r>
      <w:r w:rsidRPr="0018382F">
        <w:t xml:space="preserve"> </w:t>
      </w:r>
      <w:r>
        <w:t>when it was occupied</w:t>
      </w:r>
      <w:r w:rsidRPr="0018382F">
        <w:t xml:space="preserve">. </w:t>
      </w:r>
      <w:r w:rsidRPr="00152D42">
        <w:t xml:space="preserve">For that reason, </w:t>
      </w:r>
      <w:r w:rsidR="00152D42">
        <w:rPr>
          <w:lang w:eastAsia="en-US"/>
        </w:rPr>
        <w:t>it requested the expert</w:t>
      </w:r>
      <w:r w:rsidRPr="005F3D63" w:rsidR="00152D42">
        <w:rPr>
          <w:lang w:eastAsia="en-US"/>
        </w:rPr>
        <w:t xml:space="preserve"> to estimate also the current value of the land in issue</w:t>
      </w:r>
      <w:r w:rsidRPr="00152D42">
        <w:t xml:space="preserve">. </w:t>
      </w:r>
      <w:r w:rsidRPr="00152D42" w:rsidR="00152D42">
        <w:t>That value does not depend on hypothetical</w:t>
      </w:r>
      <w:r w:rsidRPr="00152D42">
        <w:t xml:space="preserve"> conditions,</w:t>
      </w:r>
      <w:r w:rsidRPr="00152D42" w:rsidR="00152D42">
        <w:t xml:space="preserve"> which would be the</w:t>
      </w:r>
      <w:r w:rsidR="00152D42">
        <w:t xml:space="preserve"> case if it was now in the same condition as in</w:t>
      </w:r>
      <w:r w:rsidRPr="00152D42">
        <w:t xml:space="preserve"> 1970. I</w:t>
      </w:r>
      <w:r w:rsidRPr="00152D42" w:rsidR="00152D42">
        <w:t>t is clear from the expert report that, since then, the land and its immediate surroundings</w:t>
      </w:r>
      <w:r w:rsidRPr="00152D42">
        <w:t xml:space="preserve"> – </w:t>
      </w:r>
      <w:r w:rsidRPr="00152D42" w:rsidR="00152D42">
        <w:t>whose</w:t>
      </w:r>
      <w:r w:rsidRPr="00152D42">
        <w:t xml:space="preserve"> situation </w:t>
      </w:r>
      <w:r w:rsidR="00152D42">
        <w:t>gave them potential in terms of urba</w:t>
      </w:r>
      <w:r w:rsidRPr="00152D42">
        <w:t>n</w:t>
      </w:r>
      <w:r w:rsidR="00152D42">
        <w:t xml:space="preserve"> development</w:t>
      </w:r>
      <w:r w:rsidRPr="00152D42">
        <w:t xml:space="preserve"> – </w:t>
      </w:r>
      <w:r w:rsidR="00152D42">
        <w:t>have increased in value as a result of the c</w:t>
      </w:r>
      <w:r w:rsidRPr="00152D42">
        <w:t xml:space="preserve">onstruction </w:t>
      </w:r>
      <w:r w:rsidR="00152D42">
        <w:t>of</w:t>
      </w:r>
      <w:r w:rsidRPr="00152D42">
        <w:t xml:space="preserve"> </w:t>
      </w:r>
      <w:r w:rsidR="00152D42">
        <w:t>buildings</w:t>
      </w:r>
      <w:r w:rsidRPr="00152D42">
        <w:t xml:space="preserve">, </w:t>
      </w:r>
      <w:r w:rsidR="00152D42">
        <w:t>including a school</w:t>
      </w:r>
      <w:r w:rsidRPr="00152D42">
        <w:t>.</w:t>
      </w:r>
    </w:p>
    <w:p w:rsidRPr="00152D42" w:rsidR="0018382F" w:rsidP="0018382F" w:rsidRDefault="00152D42">
      <w:pPr>
        <w:pStyle w:val="JuQuotChar1"/>
      </w:pPr>
      <w:r w:rsidRPr="00152D42">
        <w:t>The Court decides that the State shall pay the applicants</w:t>
      </w:r>
      <w:r w:rsidRPr="00152D42" w:rsidR="0018382F">
        <w:t xml:space="preserve">, </w:t>
      </w:r>
      <w:r>
        <w:t>for damage and</w:t>
      </w:r>
      <w:r w:rsidRPr="00152D42" w:rsidR="0018382F">
        <w:t xml:space="preserve"> </w:t>
      </w:r>
      <w:r w:rsidRPr="00152D42">
        <w:t>loss of enjoyment since the authorities took</w:t>
      </w:r>
      <w:r w:rsidRPr="00152D42" w:rsidR="0018382F">
        <w:t xml:space="preserve"> possession</w:t>
      </w:r>
      <w:r w:rsidRPr="00152D42">
        <w:t xml:space="preserve"> of the land</w:t>
      </w:r>
      <w:r>
        <w:t xml:space="preserve"> in</w:t>
      </w:r>
      <w:r w:rsidRPr="00152D42" w:rsidR="0018382F">
        <w:t xml:space="preserve"> 1970, </w:t>
      </w:r>
      <w:r>
        <w:t xml:space="preserve">the current value of the land plus the appreciation gained by the </w:t>
      </w:r>
      <w:r w:rsidRPr="00152D42" w:rsidR="0018382F">
        <w:t>existence</w:t>
      </w:r>
      <w:r>
        <w:t xml:space="preserve"> of the building.</w:t>
      </w:r>
    </w:p>
    <w:p w:rsidRPr="00C2011C" w:rsidR="0018382F" w:rsidP="0018382F" w:rsidRDefault="00152D42">
      <w:pPr>
        <w:pStyle w:val="JuQuotChar1"/>
      </w:pPr>
      <w:r w:rsidRPr="00152D42">
        <w:t>As to the determination of the amount of that compensation, th</w:t>
      </w:r>
      <w:r>
        <w:t>e Court</w:t>
      </w:r>
      <w:r w:rsidRPr="00152D42" w:rsidR="0018382F">
        <w:t xml:space="preserve"> </w:t>
      </w:r>
      <w:r>
        <w:t>a</w:t>
      </w:r>
      <w:r w:rsidRPr="00152D42">
        <w:t xml:space="preserve">dopts the findings in the expert report for the </w:t>
      </w:r>
      <w:r>
        <w:t xml:space="preserve">exact </w:t>
      </w:r>
      <w:r w:rsidRPr="00152D42">
        <w:t>assessment of the damage sustained</w:t>
      </w:r>
      <w:r w:rsidRPr="00152D42" w:rsidR="0018382F">
        <w:t xml:space="preserve">. </w:t>
      </w:r>
      <w:r>
        <w:t>That sum amounts to</w:t>
      </w:r>
      <w:r w:rsidR="0018382F">
        <w:t xml:space="preserve"> </w:t>
      </w:r>
      <w:r w:rsidRPr="00C2011C">
        <w:t>EUR</w:t>
      </w:r>
      <w:r w:rsidR="009E14C6">
        <w:t xml:space="preserve"> </w:t>
      </w:r>
      <w:r w:rsidR="0018382F">
        <w:t>1</w:t>
      </w:r>
      <w:r>
        <w:t>,</w:t>
      </w:r>
      <w:r w:rsidR="0018382F">
        <w:t>385</w:t>
      </w:r>
      <w:r>
        <w:t>,</w:t>
      </w:r>
      <w:r w:rsidR="0018382F">
        <w:t>394</w:t>
      </w:r>
      <w:r>
        <w:t>.</w:t>
      </w:r>
      <w:r w:rsidRPr="00C2011C" w:rsidR="0018382F">
        <w:t>60.</w:t>
      </w:r>
      <w:r w:rsidR="00FE31F5">
        <w:t>”</w:t>
      </w:r>
    </w:p>
    <w:p w:rsidR="00087AB0" w:rsidP="00087AB0" w:rsidRDefault="00087AB0">
      <w:pPr>
        <w:pStyle w:val="JuParaChar1"/>
        <w:rPr>
          <w:lang w:val="en-GB"/>
        </w:rPr>
      </w:pPr>
      <w:r>
        <w:rPr>
          <w:lang w:val="en-GB"/>
        </w:rPr>
        <w:fldChar w:fldCharType="begin"/>
      </w:r>
      <w:r w:rsidRPr="00E769D0">
        <w:rPr>
          <w:lang w:val="en-GB"/>
        </w:rPr>
        <w:instrText xml:space="preserve"> SEQ level0 \*arabic </w:instrText>
      </w:r>
      <w:r>
        <w:rPr>
          <w:lang w:val="en-GB"/>
        </w:rPr>
        <w:fldChar w:fldCharType="separate"/>
      </w:r>
      <w:r w:rsidR="008B3B68">
        <w:rPr>
          <w:noProof/>
          <w:lang w:val="en-GB"/>
        </w:rPr>
        <w:t>254</w:t>
      </w:r>
      <w:r>
        <w:rPr>
          <w:lang w:val="en-GB"/>
        </w:rPr>
        <w:fldChar w:fldCharType="end"/>
      </w:r>
      <w:r w:rsidRPr="00E769D0">
        <w:rPr>
          <w:lang w:val="en-GB"/>
        </w:rPr>
        <w:t>.  </w:t>
      </w:r>
      <w:r w:rsidRPr="00087AB0">
        <w:rPr>
          <w:lang w:val="en-GB"/>
        </w:rPr>
        <w:t>An analysis of the three above-mentioned cases, which all concern cases of inherently unlawful dispossession, shows that</w:t>
      </w:r>
      <w:r w:rsidR="0018382F">
        <w:rPr>
          <w:lang w:val="en-GB"/>
        </w:rPr>
        <w:t>,</w:t>
      </w:r>
      <w:r w:rsidRPr="00087AB0">
        <w:rPr>
          <w:lang w:val="en-GB"/>
        </w:rPr>
        <w:t xml:space="preserve"> in order to </w:t>
      </w:r>
      <w:r>
        <w:rPr>
          <w:lang w:val="en-GB"/>
        </w:rPr>
        <w:t xml:space="preserve">fully compensate </w:t>
      </w:r>
      <w:r w:rsidRPr="00087AB0">
        <w:rPr>
          <w:lang w:val="en-GB"/>
        </w:rPr>
        <w:t>the loss incurred</w:t>
      </w:r>
      <w:r w:rsidR="0018382F">
        <w:rPr>
          <w:lang w:val="en-GB"/>
        </w:rPr>
        <w:t>,</w:t>
      </w:r>
      <w:r w:rsidRPr="00087AB0">
        <w:rPr>
          <w:lang w:val="en-GB"/>
        </w:rPr>
        <w:t xml:space="preserve"> the Court </w:t>
      </w:r>
      <w:r>
        <w:rPr>
          <w:lang w:val="en-GB"/>
        </w:rPr>
        <w:t xml:space="preserve">has awarded </w:t>
      </w:r>
      <w:r w:rsidR="0018382F">
        <w:rPr>
          <w:lang w:val="en-GB"/>
        </w:rPr>
        <w:t>amounts</w:t>
      </w:r>
      <w:r w:rsidRPr="00087AB0">
        <w:rPr>
          <w:lang w:val="en-GB"/>
        </w:rPr>
        <w:t xml:space="preserve"> </w:t>
      </w:r>
      <w:r>
        <w:rPr>
          <w:lang w:val="en-GB"/>
        </w:rPr>
        <w:t xml:space="preserve">taking account of the </w:t>
      </w:r>
      <w:r w:rsidR="0018382F">
        <w:rPr>
          <w:lang w:val="en-GB"/>
        </w:rPr>
        <w:t>current</w:t>
      </w:r>
      <w:r w:rsidR="00152D42">
        <w:rPr>
          <w:lang w:val="en-GB"/>
        </w:rPr>
        <w:t xml:space="preserve"> value of land in the light of</w:t>
      </w:r>
      <w:r>
        <w:rPr>
          <w:lang w:val="en-GB"/>
        </w:rPr>
        <w:t xml:space="preserve"> </w:t>
      </w:r>
      <w:r w:rsidR="0018382F">
        <w:rPr>
          <w:lang w:val="en-GB"/>
        </w:rPr>
        <w:t>today</w:t>
      </w:r>
      <w:r w:rsidR="00E6191D">
        <w:rPr>
          <w:lang w:val="en-GB"/>
        </w:rPr>
        <w:t>’</w:t>
      </w:r>
      <w:r w:rsidR="0018382F">
        <w:rPr>
          <w:lang w:val="en-GB"/>
        </w:rPr>
        <w:t>s</w:t>
      </w:r>
      <w:r>
        <w:rPr>
          <w:lang w:val="en-GB"/>
        </w:rPr>
        <w:t xml:space="preserve"> property market</w:t>
      </w:r>
      <w:r w:rsidRPr="00087AB0">
        <w:rPr>
          <w:lang w:val="en-GB"/>
        </w:rPr>
        <w:t xml:space="preserve">. It has also </w:t>
      </w:r>
      <w:r w:rsidR="0018382F">
        <w:rPr>
          <w:lang w:val="en-GB"/>
        </w:rPr>
        <w:t>sought</w:t>
      </w:r>
      <w:r w:rsidRPr="00087AB0">
        <w:rPr>
          <w:lang w:val="en-GB"/>
        </w:rPr>
        <w:t xml:space="preserve"> to compensate financial loss by taking account of the potential </w:t>
      </w:r>
      <w:r>
        <w:rPr>
          <w:lang w:val="en-GB"/>
        </w:rPr>
        <w:t>of the land in question</w:t>
      </w:r>
      <w:r w:rsidRPr="00087AB0">
        <w:rPr>
          <w:lang w:val="en-GB"/>
        </w:rPr>
        <w:t>, calcul</w:t>
      </w:r>
      <w:r>
        <w:rPr>
          <w:lang w:val="en-GB"/>
        </w:rPr>
        <w:t xml:space="preserve">ated, if </w:t>
      </w:r>
      <w:r w:rsidR="0018382F">
        <w:rPr>
          <w:lang w:val="en-GB"/>
        </w:rPr>
        <w:t>applicable</w:t>
      </w:r>
      <w:r w:rsidRPr="00087AB0">
        <w:rPr>
          <w:lang w:val="en-GB"/>
        </w:rPr>
        <w:t xml:space="preserve">, </w:t>
      </w:r>
      <w:r>
        <w:rPr>
          <w:lang w:val="en-GB"/>
        </w:rPr>
        <w:t>on the basis of the</w:t>
      </w:r>
      <w:r w:rsidRPr="00087AB0">
        <w:rPr>
          <w:lang w:val="en-GB"/>
        </w:rPr>
        <w:t xml:space="preserve"> construction</w:t>
      </w:r>
      <w:r>
        <w:rPr>
          <w:lang w:val="en-GB"/>
        </w:rPr>
        <w:t xml:space="preserve"> cost</w:t>
      </w:r>
      <w:r w:rsidR="0018382F">
        <w:rPr>
          <w:lang w:val="en-GB"/>
        </w:rPr>
        <w:t>s</w:t>
      </w:r>
      <w:r>
        <w:rPr>
          <w:lang w:val="en-GB"/>
        </w:rPr>
        <w:t xml:space="preserve"> of buildings </w:t>
      </w:r>
      <w:r w:rsidR="0018382F">
        <w:rPr>
          <w:lang w:val="en-GB"/>
        </w:rPr>
        <w:t>put up</w:t>
      </w:r>
      <w:r>
        <w:rPr>
          <w:lang w:val="en-GB"/>
        </w:rPr>
        <w:t xml:space="preserve"> by the exprop</w:t>
      </w:r>
      <w:r w:rsidRPr="00087AB0">
        <w:rPr>
          <w:lang w:val="en-GB"/>
        </w:rPr>
        <w:t>ria</w:t>
      </w:r>
      <w:r>
        <w:rPr>
          <w:lang w:val="en-GB"/>
        </w:rPr>
        <w:t>ting authority</w:t>
      </w:r>
      <w:r w:rsidRPr="00087AB0">
        <w:rPr>
          <w:lang w:val="en-GB"/>
        </w:rPr>
        <w:t>.</w:t>
      </w:r>
    </w:p>
    <w:p w:rsidR="00E769D0" w:rsidP="00E769D0" w:rsidRDefault="00E769D0">
      <w:pPr>
        <w:pStyle w:val="JuParaChar1"/>
        <w:rPr>
          <w:lang w:val="en-GB"/>
        </w:rPr>
      </w:pPr>
      <w:r>
        <w:rPr>
          <w:lang w:val="en-GB"/>
        </w:rPr>
        <w:fldChar w:fldCharType="begin"/>
      </w:r>
      <w:r w:rsidRPr="00CB7C5F">
        <w:rPr>
          <w:lang w:val="en-GB"/>
        </w:rPr>
        <w:instrText xml:space="preserve"> SEQ level0 \*arabic </w:instrText>
      </w:r>
      <w:r>
        <w:rPr>
          <w:lang w:val="en-GB"/>
        </w:rPr>
        <w:fldChar w:fldCharType="separate"/>
      </w:r>
      <w:r w:rsidR="008B3B68">
        <w:rPr>
          <w:noProof/>
          <w:lang w:val="en-GB"/>
        </w:rPr>
        <w:t>255</w:t>
      </w:r>
      <w:r>
        <w:rPr>
          <w:lang w:val="en-GB"/>
        </w:rPr>
        <w:fldChar w:fldCharType="end"/>
      </w:r>
      <w:r w:rsidRPr="00CB7C5F">
        <w:rPr>
          <w:lang w:val="en-GB"/>
        </w:rPr>
        <w:t>.  </w:t>
      </w:r>
      <w:r w:rsidRPr="00E769D0">
        <w:rPr>
          <w:lang w:val="en-GB"/>
        </w:rPr>
        <w:t>Contrary to the amount awarded in the cases referred to above, the</w:t>
      </w:r>
      <w:r>
        <w:rPr>
          <w:lang w:val="en-GB"/>
        </w:rPr>
        <w:t xml:space="preserve"> compensation to be determined in the present case will not have to reflect the idea of a total elimination of the conse</w:t>
      </w:r>
      <w:r w:rsidRPr="00E769D0">
        <w:rPr>
          <w:lang w:val="en-GB"/>
        </w:rPr>
        <w:t xml:space="preserve">quences </w:t>
      </w:r>
      <w:r>
        <w:rPr>
          <w:lang w:val="en-GB"/>
        </w:rPr>
        <w:t>of the impugned interference</w:t>
      </w:r>
      <w:r w:rsidRPr="00E769D0">
        <w:rPr>
          <w:lang w:val="en-GB"/>
        </w:rPr>
        <w:t>. Indeed, in the present case it is the lack of adequate compensation and not the inherent unlawfulness of</w:t>
      </w:r>
      <w:r>
        <w:rPr>
          <w:lang w:val="en-GB"/>
        </w:rPr>
        <w:t xml:space="preserve"> the</w:t>
      </w:r>
      <w:r w:rsidRPr="00E769D0">
        <w:rPr>
          <w:lang w:val="en-GB"/>
        </w:rPr>
        <w:t xml:space="preserve"> </w:t>
      </w:r>
      <w:r>
        <w:rPr>
          <w:lang w:val="en-GB"/>
        </w:rPr>
        <w:t>taking of the land that was at the origin of the</w:t>
      </w:r>
      <w:r w:rsidRPr="00E769D0">
        <w:rPr>
          <w:lang w:val="en-GB"/>
        </w:rPr>
        <w:t xml:space="preserve"> violation </w:t>
      </w:r>
      <w:r>
        <w:rPr>
          <w:lang w:val="en-GB"/>
        </w:rPr>
        <w:t>found under A</w:t>
      </w:r>
      <w:r w:rsidRPr="00E769D0">
        <w:rPr>
          <w:lang w:val="en-GB"/>
        </w:rPr>
        <w:t xml:space="preserve">rticle 1 </w:t>
      </w:r>
      <w:r>
        <w:rPr>
          <w:lang w:val="en-GB"/>
        </w:rPr>
        <w:t>of</w:t>
      </w:r>
      <w:r w:rsidRPr="00E769D0">
        <w:rPr>
          <w:lang w:val="en-GB"/>
        </w:rPr>
        <w:t xml:space="preserve"> Protocol</w:t>
      </w:r>
      <w:r>
        <w:rPr>
          <w:lang w:val="en-GB"/>
        </w:rPr>
        <w:t xml:space="preserve"> No.</w:t>
      </w:r>
      <w:r w:rsidR="00E57B74">
        <w:rPr>
          <w:lang w:val="en-GB"/>
        </w:rPr>
        <w:t> </w:t>
      </w:r>
      <w:r w:rsidRPr="00E769D0">
        <w:rPr>
          <w:lang w:val="en-GB"/>
        </w:rPr>
        <w:t>1.</w:t>
      </w:r>
    </w:p>
    <w:p w:rsidR="00CA7421" w:rsidP="004D34E5" w:rsidRDefault="00CA7421">
      <w:pPr>
        <w:pStyle w:val="JuPara"/>
        <w:rPr>
          <w:lang w:val="en-GB"/>
        </w:rPr>
      </w:pPr>
      <w:r>
        <w:fldChar w:fldCharType="begin"/>
      </w:r>
      <w:r w:rsidRPr="00DA15E2">
        <w:rPr>
          <w:lang w:val="en-GB"/>
        </w:rPr>
        <w:instrText xml:space="preserve"> SEQ level0 \*arabic </w:instrText>
      </w:r>
      <w:r>
        <w:fldChar w:fldCharType="separate"/>
      </w:r>
      <w:r w:rsidR="008B3B68">
        <w:rPr>
          <w:noProof/>
          <w:lang w:val="en-GB"/>
        </w:rPr>
        <w:t>256</w:t>
      </w:r>
      <w:r>
        <w:fldChar w:fldCharType="end"/>
      </w:r>
      <w:r w:rsidRPr="00DA15E2">
        <w:rPr>
          <w:lang w:val="en-GB"/>
        </w:rPr>
        <w:t>.  </w:t>
      </w:r>
      <w:r w:rsidRPr="004D34E5">
        <w:rPr>
          <w:lang w:val="en-GB"/>
        </w:rPr>
        <w:t xml:space="preserve">In determining the amount of adequate compensation, which does not necessarily have to reflect the full value of the property, the Court must base itself on the criteria laid down in its judgments regarding Article 1 of Protocol No. 1 and according to which, without payment of an amount reasonably related to its value, </w:t>
      </w:r>
      <w:r w:rsidRPr="004D34E5" w:rsidR="004D34E5">
        <w:rPr>
          <w:lang w:val="en-GB"/>
        </w:rPr>
        <w:t xml:space="preserve">a deprivation of property </w:t>
      </w:r>
      <w:r w:rsidRPr="004D34E5">
        <w:rPr>
          <w:lang w:val="en-GB"/>
        </w:rPr>
        <w:t xml:space="preserve">would normally constitute a disproportionate interference which could not be considered </w:t>
      </w:r>
      <w:r w:rsidRPr="004D34E5" w:rsidR="004D34E5">
        <w:rPr>
          <w:lang w:val="en-GB"/>
        </w:rPr>
        <w:t>justifiable under Article 1</w:t>
      </w:r>
      <w:r w:rsidRPr="004D34E5" w:rsidR="00CB7C5F">
        <w:rPr>
          <w:lang w:val="en-GB"/>
        </w:rPr>
        <w:t xml:space="preserve"> of Protocol No. 1</w:t>
      </w:r>
      <w:r w:rsidRPr="004D34E5">
        <w:rPr>
          <w:lang w:val="en-GB"/>
        </w:rPr>
        <w:t xml:space="preserve"> (see </w:t>
      </w:r>
      <w:r w:rsidRPr="004D34E5" w:rsidR="004D34E5">
        <w:rPr>
          <w:i/>
          <w:lang w:val="en-GB"/>
        </w:rPr>
        <w:t>James and Others</w:t>
      </w:r>
      <w:r w:rsidRPr="004D34E5" w:rsidR="004D34E5">
        <w:rPr>
          <w:lang w:val="en-GB"/>
        </w:rPr>
        <w:t xml:space="preserve">, </w:t>
      </w:r>
      <w:r w:rsidR="00D92067">
        <w:rPr>
          <w:lang w:val="en-GB"/>
        </w:rPr>
        <w:t>cited above</w:t>
      </w:r>
      <w:r w:rsidRPr="004D34E5" w:rsidR="004D34E5">
        <w:rPr>
          <w:lang w:val="en-GB"/>
        </w:rPr>
        <w:t>,</w:t>
      </w:r>
      <w:r w:rsidR="00C5575E">
        <w:rPr>
          <w:lang w:val="en-GB"/>
        </w:rPr>
        <w:t xml:space="preserve"> § </w:t>
      </w:r>
      <w:r w:rsidRPr="004D34E5">
        <w:rPr>
          <w:lang w:val="en-GB"/>
        </w:rPr>
        <w:t xml:space="preserve">54). </w:t>
      </w:r>
      <w:r w:rsidRPr="004D34E5" w:rsidR="00CB7C5F">
        <w:rPr>
          <w:lang w:val="en-GB"/>
        </w:rPr>
        <w:t xml:space="preserve">The Court reiterates that in many cases of lawful </w:t>
      </w:r>
      <w:r w:rsidRPr="004D34E5">
        <w:rPr>
          <w:lang w:val="en-GB"/>
        </w:rPr>
        <w:t xml:space="preserve">expropriation, </w:t>
      </w:r>
      <w:r w:rsidRPr="004D34E5" w:rsidR="00CB7C5F">
        <w:rPr>
          <w:lang w:val="en-GB"/>
        </w:rPr>
        <w:t xml:space="preserve">such as a </w:t>
      </w:r>
      <w:r w:rsidR="009206DE">
        <w:rPr>
          <w:lang w:val="en-GB"/>
        </w:rPr>
        <w:t>distinct</w:t>
      </w:r>
      <w:r w:rsidRPr="004D34E5" w:rsidR="00CB7C5F">
        <w:rPr>
          <w:lang w:val="en-GB"/>
        </w:rPr>
        <w:t xml:space="preserve"> </w:t>
      </w:r>
      <w:r w:rsidRPr="004D34E5">
        <w:rPr>
          <w:lang w:val="en-GB"/>
        </w:rPr>
        <w:t xml:space="preserve">expropriation </w:t>
      </w:r>
      <w:r w:rsidRPr="004D34E5" w:rsidR="00CB7C5F">
        <w:rPr>
          <w:lang w:val="en-GB"/>
        </w:rPr>
        <w:t>of land with a view to building a road or for other</w:t>
      </w:r>
      <w:r w:rsidRPr="004D34E5">
        <w:rPr>
          <w:lang w:val="en-GB"/>
        </w:rPr>
        <w:t xml:space="preserve"> </w:t>
      </w:r>
      <w:r w:rsidRPr="004D34E5" w:rsidR="00CB7C5F">
        <w:rPr>
          <w:lang w:val="en-GB"/>
        </w:rPr>
        <w:t>purposes “in the public interest”</w:t>
      </w:r>
      <w:r w:rsidRPr="004D34E5">
        <w:rPr>
          <w:lang w:val="en-GB"/>
        </w:rPr>
        <w:t xml:space="preserve">, </w:t>
      </w:r>
      <w:r w:rsidRPr="004D34E5" w:rsidR="00CB7C5F">
        <w:rPr>
          <w:lang w:val="en-GB"/>
        </w:rPr>
        <w:t xml:space="preserve">only full compensation can be regarded as reasonably related to the value of the property (see </w:t>
      </w:r>
      <w:r w:rsidRPr="004D34E5" w:rsidR="004D34E5">
        <w:rPr>
          <w:i/>
          <w:lang w:val="en-GB"/>
        </w:rPr>
        <w:t>The</w:t>
      </w:r>
      <w:r w:rsidR="004D34E5">
        <w:rPr>
          <w:i/>
          <w:lang w:val="en-GB"/>
        </w:rPr>
        <w:t xml:space="preserve"> </w:t>
      </w:r>
      <w:r w:rsidR="00C5575E">
        <w:rPr>
          <w:i/>
          <w:lang w:val="en-GB"/>
        </w:rPr>
        <w:t>f</w:t>
      </w:r>
      <w:r w:rsidR="004D34E5">
        <w:rPr>
          <w:i/>
          <w:lang w:val="en-GB"/>
        </w:rPr>
        <w:t xml:space="preserve">ormer King of Greece and Others </w:t>
      </w:r>
      <w:r w:rsidRPr="004D34E5">
        <w:rPr>
          <w:lang w:val="en-GB"/>
        </w:rPr>
        <w:t>(</w:t>
      </w:r>
      <w:r w:rsidRPr="004D34E5" w:rsidR="00CB7C5F">
        <w:rPr>
          <w:lang w:val="en-GB"/>
        </w:rPr>
        <w:t xml:space="preserve">just </w:t>
      </w:r>
      <w:r w:rsidRPr="004D34E5">
        <w:rPr>
          <w:lang w:val="en-GB"/>
        </w:rPr>
        <w:t xml:space="preserve">satisfaction), </w:t>
      </w:r>
      <w:r w:rsidRPr="004D34E5" w:rsidR="00CB7C5F">
        <w:rPr>
          <w:lang w:val="en-GB"/>
        </w:rPr>
        <w:t>cited above</w:t>
      </w:r>
      <w:r w:rsidRPr="004D34E5">
        <w:rPr>
          <w:lang w:val="en-GB"/>
        </w:rPr>
        <w:t>, §</w:t>
      </w:r>
      <w:r w:rsidR="009E14C6">
        <w:rPr>
          <w:lang w:val="en-GB"/>
        </w:rPr>
        <w:t xml:space="preserve"> </w:t>
      </w:r>
      <w:r w:rsidR="00C86FC6">
        <w:rPr>
          <w:lang w:val="en-GB"/>
        </w:rPr>
        <w:t>78</w:t>
      </w:r>
      <w:r w:rsidRPr="004D34E5">
        <w:rPr>
          <w:lang w:val="en-GB"/>
        </w:rPr>
        <w:t xml:space="preserve">). </w:t>
      </w:r>
      <w:r w:rsidRPr="004D34E5" w:rsidR="00CB7C5F">
        <w:rPr>
          <w:lang w:val="en-GB"/>
        </w:rPr>
        <w:t xml:space="preserve">However, legitimate objectives of “public interest”, such as those pursued </w:t>
      </w:r>
      <w:r w:rsidRPr="004D34E5" w:rsidR="004D34E5">
        <w:rPr>
          <w:lang w:val="en-GB"/>
        </w:rPr>
        <w:t>by</w:t>
      </w:r>
      <w:r w:rsidRPr="004D34E5" w:rsidR="00CB7C5F">
        <w:rPr>
          <w:lang w:val="en-GB"/>
        </w:rPr>
        <w:t xml:space="preserve"> measures of economic reform or measures designed to achieve greater social justice, may call for less than reimbur</w:t>
      </w:r>
      <w:r w:rsidR="004D34E5">
        <w:rPr>
          <w:lang w:val="en-GB"/>
        </w:rPr>
        <w:t xml:space="preserve">sement of the full market value </w:t>
      </w:r>
      <w:r w:rsidRPr="004D34E5">
        <w:rPr>
          <w:lang w:val="en-GB"/>
        </w:rPr>
        <w:t>(ibid</w:t>
      </w:r>
      <w:r w:rsidRPr="004D34E5" w:rsidR="00CB7C5F">
        <w:rPr>
          <w:i/>
          <w:lang w:val="en-GB"/>
        </w:rPr>
        <w:t>.</w:t>
      </w:r>
      <w:r w:rsidRPr="004D34E5">
        <w:rPr>
          <w:lang w:val="en-GB"/>
        </w:rPr>
        <w:t>).</w:t>
      </w:r>
    </w:p>
    <w:p w:rsidRPr="00CB7C5F" w:rsidR="00CB7C5F" w:rsidP="00CB7C5F" w:rsidRDefault="00CB7C5F">
      <w:pPr>
        <w:pStyle w:val="JuParaChar1"/>
        <w:rPr>
          <w:lang w:val="en-GB"/>
        </w:rPr>
      </w:pPr>
      <w:r>
        <w:fldChar w:fldCharType="begin"/>
      </w:r>
      <w:r w:rsidRPr="00853ACF">
        <w:rPr>
          <w:lang w:val="en-GB"/>
        </w:rPr>
        <w:instrText xml:space="preserve"> SEQ level0 \*arabic </w:instrText>
      </w:r>
      <w:r>
        <w:fldChar w:fldCharType="separate"/>
      </w:r>
      <w:r w:rsidR="008B3B68">
        <w:rPr>
          <w:noProof/>
          <w:lang w:val="en-GB"/>
        </w:rPr>
        <w:t>257</w:t>
      </w:r>
      <w:r>
        <w:fldChar w:fldCharType="end"/>
      </w:r>
      <w:r w:rsidRPr="00853ACF">
        <w:rPr>
          <w:lang w:val="en-GB"/>
        </w:rPr>
        <w:t>.  </w:t>
      </w:r>
      <w:r w:rsidRPr="00CB7C5F">
        <w:rPr>
          <w:lang w:val="en-GB"/>
        </w:rPr>
        <w:t xml:space="preserve">In the instant case the Court has found that a </w:t>
      </w:r>
      <w:r>
        <w:rPr>
          <w:lang w:val="en-GB"/>
        </w:rPr>
        <w:t>“</w:t>
      </w:r>
      <w:r w:rsidRPr="00CB7C5F">
        <w:rPr>
          <w:lang w:val="en-GB"/>
        </w:rPr>
        <w:t>fair balance</w:t>
      </w:r>
      <w:r>
        <w:rPr>
          <w:lang w:val="en-GB"/>
        </w:rPr>
        <w:t>”</w:t>
      </w:r>
      <w:r w:rsidR="00152D42">
        <w:rPr>
          <w:lang w:val="en-GB"/>
        </w:rPr>
        <w:t xml:space="preserve"> w</w:t>
      </w:r>
      <w:r w:rsidRPr="00CB7C5F">
        <w:rPr>
          <w:lang w:val="en-GB"/>
        </w:rPr>
        <w:t xml:space="preserve">as not </w:t>
      </w:r>
      <w:r>
        <w:rPr>
          <w:lang w:val="en-GB"/>
        </w:rPr>
        <w:t>struck</w:t>
      </w:r>
      <w:r w:rsidR="00917F49">
        <w:rPr>
          <w:lang w:val="en-GB"/>
        </w:rPr>
        <w:t>,</w:t>
      </w:r>
      <w:r w:rsidRPr="00CB7C5F">
        <w:rPr>
          <w:lang w:val="en-GB"/>
        </w:rPr>
        <w:t xml:space="preserve"> given the level of compensation well below the market value of the land and given the lack of</w:t>
      </w:r>
      <w:r>
        <w:rPr>
          <w:lang w:val="en-GB"/>
        </w:rPr>
        <w:t xml:space="preserve"> “</w:t>
      </w:r>
      <w:r w:rsidRPr="00CB7C5F">
        <w:rPr>
          <w:lang w:val="en-GB"/>
        </w:rPr>
        <w:t>public</w:t>
      </w:r>
      <w:r w:rsidR="00B42E81">
        <w:rPr>
          <w:lang w:val="en-GB"/>
        </w:rPr>
        <w:t xml:space="preserve"> </w:t>
      </w:r>
      <w:r w:rsidRPr="00CB7C5F">
        <w:rPr>
          <w:lang w:val="en-GB"/>
        </w:rPr>
        <w:t>interest</w:t>
      </w:r>
      <w:r>
        <w:rPr>
          <w:lang w:val="en-GB"/>
        </w:rPr>
        <w:t>”</w:t>
      </w:r>
      <w:r w:rsidRPr="00CB7C5F">
        <w:rPr>
          <w:lang w:val="en-GB"/>
        </w:rPr>
        <w:t xml:space="preserve"> grounds justifying a departure from the </w:t>
      </w:r>
      <w:r>
        <w:rPr>
          <w:lang w:val="en-GB"/>
        </w:rPr>
        <w:t>rule set forth in paragraph</w:t>
      </w:r>
      <w:r w:rsidRPr="00CB7C5F">
        <w:rPr>
          <w:lang w:val="en-GB"/>
        </w:rPr>
        <w:t xml:space="preserve"> </w:t>
      </w:r>
      <w:r w:rsidR="008D4071">
        <w:rPr>
          <w:lang w:val="en-GB"/>
        </w:rPr>
        <w:t>9</w:t>
      </w:r>
      <w:r w:rsidR="002F646A">
        <w:rPr>
          <w:lang w:val="en-GB"/>
        </w:rPr>
        <w:t>5</w:t>
      </w:r>
      <w:r w:rsidR="008D4071">
        <w:rPr>
          <w:lang w:val="en-GB"/>
        </w:rPr>
        <w:t xml:space="preserve"> </w:t>
      </w:r>
      <w:r>
        <w:rPr>
          <w:lang w:val="en-GB"/>
        </w:rPr>
        <w:t xml:space="preserve">above, according to which, in the absence of such grounds, and in the event of a </w:t>
      </w:r>
      <w:r w:rsidR="00A34CE9">
        <w:rPr>
          <w:lang w:val="en-GB"/>
        </w:rPr>
        <w:t>“</w:t>
      </w:r>
      <w:r w:rsidR="009206DE">
        <w:rPr>
          <w:lang w:val="en-GB"/>
        </w:rPr>
        <w:t>distinct</w:t>
      </w:r>
      <w:r>
        <w:rPr>
          <w:lang w:val="en-GB"/>
        </w:rPr>
        <w:t xml:space="preserve"> expropriation</w:t>
      </w:r>
      <w:r w:rsidR="00A34CE9">
        <w:rPr>
          <w:lang w:val="en-GB"/>
        </w:rPr>
        <w:t>”</w:t>
      </w:r>
      <w:r>
        <w:rPr>
          <w:lang w:val="en-GB"/>
        </w:rPr>
        <w:t>,</w:t>
      </w:r>
      <w:r w:rsidRPr="00CB7C5F">
        <w:rPr>
          <w:lang w:val="en-GB"/>
        </w:rPr>
        <w:t xml:space="preserve"> </w:t>
      </w:r>
      <w:r>
        <w:rPr>
          <w:lang w:val="en-GB"/>
        </w:rPr>
        <w:t>adequate compensation has to</w:t>
      </w:r>
      <w:r w:rsidRPr="00CB7C5F">
        <w:rPr>
          <w:lang w:val="en-GB"/>
        </w:rPr>
        <w:t xml:space="preserve"> correspond </w:t>
      </w:r>
      <w:r>
        <w:rPr>
          <w:lang w:val="en-GB"/>
        </w:rPr>
        <w:t xml:space="preserve">to the value of the property </w:t>
      </w:r>
      <w:r w:rsidRPr="00CB7C5F">
        <w:rPr>
          <w:lang w:val="en-GB"/>
        </w:rPr>
        <w:t>(</w:t>
      </w:r>
      <w:r>
        <w:rPr>
          <w:lang w:val="en-GB"/>
        </w:rPr>
        <w:t>see paragraph</w:t>
      </w:r>
      <w:r w:rsidRPr="00CB7C5F">
        <w:rPr>
          <w:lang w:val="en-GB"/>
        </w:rPr>
        <w:t>s 9</w:t>
      </w:r>
      <w:r w:rsidR="00266F9B">
        <w:rPr>
          <w:lang w:val="en-GB"/>
        </w:rPr>
        <w:t>9</w:t>
      </w:r>
      <w:r w:rsidRPr="00CB7C5F">
        <w:rPr>
          <w:lang w:val="en-GB"/>
        </w:rPr>
        <w:t>-10</w:t>
      </w:r>
      <w:r w:rsidR="00A34CE9">
        <w:rPr>
          <w:lang w:val="en-GB"/>
        </w:rPr>
        <w:t>4</w:t>
      </w:r>
      <w:r w:rsidRPr="00CB7C5F">
        <w:rPr>
          <w:lang w:val="en-GB"/>
        </w:rPr>
        <w:t xml:space="preserve"> </w:t>
      </w:r>
      <w:r>
        <w:rPr>
          <w:lang w:val="en-GB"/>
        </w:rPr>
        <w:t>above</w:t>
      </w:r>
      <w:r w:rsidRPr="00CB7C5F">
        <w:rPr>
          <w:lang w:val="en-GB"/>
        </w:rPr>
        <w:t>).</w:t>
      </w:r>
    </w:p>
    <w:p w:rsidRPr="00CB7C5F" w:rsidR="00CB7C5F" w:rsidP="00CB7C5F" w:rsidRDefault="00CB7C5F">
      <w:pPr>
        <w:pStyle w:val="JuParaChar1"/>
        <w:rPr>
          <w:lang w:val="en-GB"/>
        </w:rPr>
      </w:pPr>
      <w:r w:rsidRPr="00CB7C5F">
        <w:rPr>
          <w:lang w:val="en-GB"/>
        </w:rPr>
        <w:t>It follows that</w:t>
      </w:r>
      <w:r w:rsidR="00917F49">
        <w:rPr>
          <w:lang w:val="en-GB"/>
        </w:rPr>
        <w:t xml:space="preserve"> </w:t>
      </w:r>
      <w:r w:rsidR="00DB016C">
        <w:rPr>
          <w:lang w:val="en-GB"/>
        </w:rPr>
        <w:t>adequate</w:t>
      </w:r>
      <w:r w:rsidRPr="00CB7C5F">
        <w:rPr>
          <w:lang w:val="en-GB"/>
        </w:rPr>
        <w:t xml:space="preserve"> </w:t>
      </w:r>
      <w:r w:rsidRPr="00CB7C5F" w:rsidR="00917F49">
        <w:rPr>
          <w:lang w:val="en-GB"/>
        </w:rPr>
        <w:t xml:space="preserve">expropriation </w:t>
      </w:r>
      <w:r w:rsidRPr="00CB7C5F">
        <w:rPr>
          <w:lang w:val="en-GB"/>
        </w:rPr>
        <w:t>compensation in the present case should h</w:t>
      </w:r>
      <w:r>
        <w:rPr>
          <w:lang w:val="en-GB"/>
        </w:rPr>
        <w:t>ave corresponded to the market value of the property</w:t>
      </w:r>
      <w:r w:rsidRPr="00CB7C5F">
        <w:rPr>
          <w:lang w:val="en-GB"/>
        </w:rPr>
        <w:t xml:space="preserve">. Consequently, the </w:t>
      </w:r>
      <w:r>
        <w:rPr>
          <w:lang w:val="en-GB"/>
        </w:rPr>
        <w:t xml:space="preserve">Court will award </w:t>
      </w:r>
      <w:r w:rsidRPr="00CB7C5F">
        <w:rPr>
          <w:lang w:val="en-GB"/>
        </w:rPr>
        <w:t xml:space="preserve">compensation corresponding to the difference between the value of the </w:t>
      </w:r>
      <w:r>
        <w:rPr>
          <w:lang w:val="en-GB"/>
        </w:rPr>
        <w:t>land and the compensation obtained by the applicants at national level</w:t>
      </w:r>
      <w:r w:rsidRPr="00CB7C5F">
        <w:rPr>
          <w:lang w:val="en-GB"/>
        </w:rPr>
        <w:t>.</w:t>
      </w:r>
    </w:p>
    <w:p w:rsidRPr="00C5689B" w:rsidR="000B14EE" w:rsidP="000B14EE" w:rsidRDefault="00CB7C5F">
      <w:pPr>
        <w:pStyle w:val="JuParaChar1CharCharCharCharChar"/>
        <w:rPr>
          <w:lang w:val="en-GB"/>
        </w:rPr>
      </w:pPr>
      <w:r w:rsidRPr="00C2011C">
        <w:fldChar w:fldCharType="begin"/>
      </w:r>
      <w:r w:rsidRPr="00DA15E2">
        <w:rPr>
          <w:lang w:val="en-GB"/>
        </w:rPr>
        <w:instrText xml:space="preserve"> SEQ level0 \*arabic </w:instrText>
      </w:r>
      <w:r w:rsidRPr="00C2011C">
        <w:fldChar w:fldCharType="separate"/>
      </w:r>
      <w:r w:rsidR="008B3B68">
        <w:rPr>
          <w:noProof/>
          <w:lang w:val="en-GB"/>
        </w:rPr>
        <w:t>258</w:t>
      </w:r>
      <w:r w:rsidRPr="00C2011C">
        <w:fldChar w:fldCharType="end"/>
      </w:r>
      <w:r w:rsidRPr="00DA15E2">
        <w:rPr>
          <w:lang w:val="en-GB"/>
        </w:rPr>
        <w:t>.  </w:t>
      </w:r>
      <w:r w:rsidRPr="000B14EE">
        <w:rPr>
          <w:lang w:val="en-GB"/>
        </w:rPr>
        <w:t xml:space="preserve">Like the Chamber, the </w:t>
      </w:r>
      <w:r w:rsidR="00AE3A2D">
        <w:rPr>
          <w:lang w:val="en-GB"/>
        </w:rPr>
        <w:t>Grand Chamber</w:t>
      </w:r>
      <w:r w:rsidRPr="000B14EE">
        <w:rPr>
          <w:lang w:val="en-GB"/>
        </w:rPr>
        <w:t xml:space="preserve"> considers it appropriate to base its</w:t>
      </w:r>
      <w:r w:rsidRPr="000B14EE" w:rsidR="00917F49">
        <w:rPr>
          <w:lang w:val="en-GB"/>
        </w:rPr>
        <w:t>elf</w:t>
      </w:r>
      <w:r w:rsidRPr="000B14EE">
        <w:rPr>
          <w:lang w:val="en-GB"/>
        </w:rPr>
        <w:t xml:space="preserve"> on the value of the property at the time of the expropriation, as stated in the </w:t>
      </w:r>
      <w:r w:rsidRPr="000B14EE" w:rsidR="00917F49">
        <w:rPr>
          <w:lang w:val="en-GB"/>
        </w:rPr>
        <w:t xml:space="preserve">court-ordered </w:t>
      </w:r>
      <w:r w:rsidRPr="000B14EE">
        <w:rPr>
          <w:lang w:val="en-GB"/>
        </w:rPr>
        <w:t xml:space="preserve">expert reports </w:t>
      </w:r>
      <w:r w:rsidRPr="000B14EE" w:rsidR="00917F49">
        <w:rPr>
          <w:lang w:val="en-GB"/>
        </w:rPr>
        <w:t>drawn up</w:t>
      </w:r>
      <w:r w:rsidRPr="000B14EE">
        <w:rPr>
          <w:lang w:val="en-GB"/>
        </w:rPr>
        <w:t xml:space="preserve"> during the domestic proceedings</w:t>
      </w:r>
      <w:r w:rsidR="00877728">
        <w:rPr>
          <w:lang w:val="en-GB"/>
        </w:rPr>
        <w:t xml:space="preserve"> (165,7</w:t>
      </w:r>
      <w:r w:rsidR="00B767E4">
        <w:rPr>
          <w:lang w:val="en-GB"/>
        </w:rPr>
        <w:t xml:space="preserve">55 Italian lire (ITL) per </w:t>
      </w:r>
      <w:r w:rsidR="00D076AF">
        <w:rPr>
          <w:lang w:val="en-GB"/>
        </w:rPr>
        <w:t>square metre</w:t>
      </w:r>
      <w:r w:rsidR="00877728">
        <w:rPr>
          <w:lang w:val="en-GB"/>
        </w:rPr>
        <w:t xml:space="preserve"> in 1983</w:t>
      </w:r>
      <w:r w:rsidR="00E00A80">
        <w:rPr>
          <w:lang w:val="en-GB"/>
        </w:rPr>
        <w:t xml:space="preserve"> –</w:t>
      </w:r>
      <w:r w:rsidR="00877728">
        <w:rPr>
          <w:lang w:val="en-GB"/>
        </w:rPr>
        <w:t xml:space="preserve"> see paragraphs 32 and 37 above)</w:t>
      </w:r>
      <w:r w:rsidRPr="000B14EE">
        <w:rPr>
          <w:lang w:val="en-GB"/>
        </w:rPr>
        <w:t xml:space="preserve"> and on which the applicants based their claims</w:t>
      </w:r>
      <w:r w:rsidR="00877728">
        <w:rPr>
          <w:lang w:val="en-GB"/>
        </w:rPr>
        <w:t xml:space="preserve"> (see paragraphs 24</w:t>
      </w:r>
      <w:r w:rsidR="00DB016C">
        <w:rPr>
          <w:lang w:val="en-GB"/>
        </w:rPr>
        <w:t>3-44</w:t>
      </w:r>
      <w:r w:rsidR="00877728">
        <w:rPr>
          <w:lang w:val="en-GB"/>
        </w:rPr>
        <w:t xml:space="preserve"> above)</w:t>
      </w:r>
      <w:r w:rsidRPr="000B14EE">
        <w:rPr>
          <w:lang w:val="en-GB"/>
        </w:rPr>
        <w:t>.</w:t>
      </w:r>
      <w:r w:rsidRPr="000B14EE" w:rsidR="000B14EE">
        <w:rPr>
          <w:lang w:val="en-GB"/>
        </w:rPr>
        <w:t xml:space="preserve"> </w:t>
      </w:r>
      <w:r w:rsidR="000B14EE">
        <w:rPr>
          <w:lang w:val="en-GB"/>
        </w:rPr>
        <w:t xml:space="preserve">As </w:t>
      </w:r>
      <w:r w:rsidRPr="000B14EE" w:rsidR="000B14EE">
        <w:rPr>
          <w:lang w:val="en-GB"/>
        </w:rPr>
        <w:t xml:space="preserve">the adequacy of the compensation would be diminished if it were to be paid without reference to various circumstances liable to reduce its value, </w:t>
      </w:r>
      <w:r w:rsidRPr="000B14EE">
        <w:rPr>
          <w:lang w:val="en-GB"/>
        </w:rPr>
        <w:t xml:space="preserve">such as the lapse of a considerable period of time (see </w:t>
      </w:r>
      <w:r w:rsidRPr="000B14EE" w:rsidR="00917F49">
        <w:rPr>
          <w:i/>
          <w:lang w:val="en-GB"/>
        </w:rPr>
        <w:t>Stran Greek Refineries and Stratis Andreadis</w:t>
      </w:r>
      <w:r w:rsidRPr="000B14EE" w:rsidR="00917F49">
        <w:rPr>
          <w:lang w:val="en-GB"/>
        </w:rPr>
        <w:t xml:space="preserve">, </w:t>
      </w:r>
      <w:r w:rsidR="00D92067">
        <w:rPr>
          <w:lang w:val="en-GB"/>
        </w:rPr>
        <w:t>cited above</w:t>
      </w:r>
      <w:r w:rsidRPr="000B14EE" w:rsidR="00917F49">
        <w:rPr>
          <w:lang w:val="en-GB"/>
        </w:rPr>
        <w:t xml:space="preserve">, </w:t>
      </w:r>
      <w:r w:rsidRPr="000B14EE">
        <w:rPr>
          <w:lang w:val="en-GB"/>
        </w:rPr>
        <w:t>§ 82</w:t>
      </w:r>
      <w:r w:rsidR="000B14EE">
        <w:rPr>
          <w:lang w:val="en-GB"/>
        </w:rPr>
        <w:t xml:space="preserve">, and, </w:t>
      </w:r>
      <w:r w:rsidRPr="000B14EE" w:rsidR="000B14EE">
        <w:rPr>
          <w:i/>
          <w:lang w:val="en-GB"/>
        </w:rPr>
        <w:t>mutatis mutandis</w:t>
      </w:r>
      <w:r w:rsidRPr="000B14EE" w:rsidR="000B14EE">
        <w:rPr>
          <w:lang w:val="en-GB"/>
        </w:rPr>
        <w:t xml:space="preserve">, </w:t>
      </w:r>
      <w:r w:rsidRPr="000B14EE" w:rsidR="000B14EE">
        <w:rPr>
          <w:i/>
          <w:lang w:val="en-GB"/>
        </w:rPr>
        <w:t xml:space="preserve">Motais de Narbonne </w:t>
      </w:r>
      <w:r w:rsidR="000B14EE">
        <w:rPr>
          <w:i/>
          <w:lang w:val="en-GB"/>
        </w:rPr>
        <w:t>v</w:t>
      </w:r>
      <w:r w:rsidRPr="000B14EE" w:rsidR="000B14EE">
        <w:rPr>
          <w:i/>
          <w:lang w:val="en-GB"/>
        </w:rPr>
        <w:t xml:space="preserve">. France </w:t>
      </w:r>
      <w:r w:rsidRPr="000B14EE" w:rsidR="000B14EE">
        <w:rPr>
          <w:lang w:val="en-GB"/>
        </w:rPr>
        <w:t>(</w:t>
      </w:r>
      <w:r w:rsidR="000B14EE">
        <w:rPr>
          <w:lang w:val="en-GB"/>
        </w:rPr>
        <w:t xml:space="preserve">just </w:t>
      </w:r>
      <w:r w:rsidRPr="000B14EE" w:rsidR="000B14EE">
        <w:rPr>
          <w:lang w:val="en-GB"/>
        </w:rPr>
        <w:t>satisfaction),</w:t>
      </w:r>
      <w:r w:rsidRPr="000B14EE" w:rsidR="000B14EE">
        <w:rPr>
          <w:i/>
          <w:lang w:val="en-GB"/>
        </w:rPr>
        <w:t xml:space="preserve"> </w:t>
      </w:r>
      <w:r w:rsidR="000B14EE">
        <w:rPr>
          <w:lang w:val="en-GB"/>
        </w:rPr>
        <w:t>no.</w:t>
      </w:r>
      <w:r w:rsidR="00CD5E4D">
        <w:rPr>
          <w:lang w:val="en-GB"/>
        </w:rPr>
        <w:t xml:space="preserve"> </w:t>
      </w:r>
      <w:r w:rsidRPr="000B14EE" w:rsidR="000B14EE">
        <w:rPr>
          <w:lang w:val="en-GB"/>
        </w:rPr>
        <w:t xml:space="preserve">48161/99, §§ 20-21, 27 </w:t>
      </w:r>
      <w:r w:rsidR="000B14EE">
        <w:rPr>
          <w:lang w:val="en-GB"/>
        </w:rPr>
        <w:t>May</w:t>
      </w:r>
      <w:r w:rsidRPr="000B14EE" w:rsidR="000B14EE">
        <w:rPr>
          <w:lang w:val="en-GB"/>
        </w:rPr>
        <w:t xml:space="preserve"> 2003</w:t>
      </w:r>
      <w:r w:rsidRPr="000B14EE">
        <w:rPr>
          <w:lang w:val="en-GB"/>
        </w:rPr>
        <w:t>)</w:t>
      </w:r>
      <w:r w:rsidR="000B14EE">
        <w:rPr>
          <w:lang w:val="en-GB"/>
        </w:rPr>
        <w:t>,</w:t>
      </w:r>
      <w:r w:rsidRPr="000B14EE" w:rsidR="000B14EE">
        <w:rPr>
          <w:lang w:val="en-GB"/>
        </w:rPr>
        <w:t xml:space="preserve"> </w:t>
      </w:r>
      <w:r w:rsidR="000B14EE">
        <w:rPr>
          <w:lang w:val="en-GB"/>
        </w:rPr>
        <w:t>o</w:t>
      </w:r>
      <w:r w:rsidRPr="00CB7C5F" w:rsidR="000B14EE">
        <w:rPr>
          <w:lang w:val="en-GB"/>
        </w:rPr>
        <w:t>nce the amount obtained at domestic level is deducted, and the difference with</w:t>
      </w:r>
      <w:r w:rsidR="000B14EE">
        <w:rPr>
          <w:lang w:val="en-GB"/>
        </w:rPr>
        <w:t xml:space="preserve"> the</w:t>
      </w:r>
      <w:r w:rsidRPr="00CB7C5F" w:rsidR="000B14EE">
        <w:rPr>
          <w:lang w:val="en-GB"/>
        </w:rPr>
        <w:t xml:space="preserve"> market value of the land in 1983 thus obtained, that amount will have to be </w:t>
      </w:r>
      <w:r w:rsidR="007F4217">
        <w:rPr>
          <w:lang w:val="en-GB"/>
        </w:rPr>
        <w:t xml:space="preserve">converted to current value </w:t>
      </w:r>
      <w:r w:rsidR="000B14EE">
        <w:rPr>
          <w:lang w:val="en-GB"/>
        </w:rPr>
        <w:t>to offset the effect</w:t>
      </w:r>
      <w:r w:rsidR="00DB016C">
        <w:rPr>
          <w:lang w:val="en-GB"/>
        </w:rPr>
        <w:t>s</w:t>
      </w:r>
      <w:r w:rsidR="000B14EE">
        <w:rPr>
          <w:lang w:val="en-GB"/>
        </w:rPr>
        <w:t xml:space="preserve"> of inflation</w:t>
      </w:r>
      <w:r w:rsidRPr="000B14EE">
        <w:rPr>
          <w:lang w:val="en-GB"/>
        </w:rPr>
        <w:t>.</w:t>
      </w:r>
      <w:r w:rsidRPr="000B14EE" w:rsidR="000B14EE">
        <w:rPr>
          <w:lang w:val="en-GB"/>
        </w:rPr>
        <w:t xml:space="preserve"> </w:t>
      </w:r>
      <w:r w:rsidRPr="007F4217" w:rsidR="007F4217">
        <w:rPr>
          <w:lang w:val="en-GB"/>
        </w:rPr>
        <w:t>Moreover</w:t>
      </w:r>
      <w:r w:rsidRPr="007F4217" w:rsidR="000B14EE">
        <w:rPr>
          <w:lang w:val="en-GB"/>
        </w:rPr>
        <w:t xml:space="preserve">, </w:t>
      </w:r>
      <w:r w:rsidRPr="007F4217" w:rsidR="007F4217">
        <w:rPr>
          <w:lang w:val="en-GB"/>
        </w:rPr>
        <w:t>interest will have to be paid on this amount so as to o</w:t>
      </w:r>
      <w:r w:rsidR="007F4217">
        <w:rPr>
          <w:lang w:val="en-GB"/>
        </w:rPr>
        <w:t>ffset, at least in</w:t>
      </w:r>
      <w:r w:rsidRPr="007F4217" w:rsidR="000B14EE">
        <w:rPr>
          <w:lang w:val="en-GB"/>
        </w:rPr>
        <w:t xml:space="preserve"> part, </w:t>
      </w:r>
      <w:r w:rsidR="007F4217">
        <w:rPr>
          <w:lang w:val="en-GB"/>
        </w:rPr>
        <w:t>the</w:t>
      </w:r>
      <w:r w:rsidRPr="007F4217" w:rsidR="000B14EE">
        <w:rPr>
          <w:lang w:val="en-GB"/>
        </w:rPr>
        <w:t xml:space="preserve"> long </w:t>
      </w:r>
      <w:r w:rsidR="007F4217">
        <w:rPr>
          <w:lang w:val="en-GB"/>
        </w:rPr>
        <w:t>period for which the applicants have</w:t>
      </w:r>
      <w:r w:rsidRPr="007F4217" w:rsidR="000B14EE">
        <w:rPr>
          <w:lang w:val="en-GB"/>
        </w:rPr>
        <w:t xml:space="preserve"> </w:t>
      </w:r>
      <w:r w:rsidR="007F4217">
        <w:rPr>
          <w:lang w:val="en-GB"/>
        </w:rPr>
        <w:t>been deprived of the land</w:t>
      </w:r>
      <w:r w:rsidRPr="007F4217" w:rsidR="000B14EE">
        <w:rPr>
          <w:lang w:val="en-GB"/>
        </w:rPr>
        <w:t xml:space="preserve">. </w:t>
      </w:r>
      <w:r w:rsidRPr="007F4217" w:rsidR="007F4217">
        <w:rPr>
          <w:lang w:val="en-GB"/>
        </w:rPr>
        <w:t>In the Court</w:t>
      </w:r>
      <w:r w:rsidR="00E6191D">
        <w:rPr>
          <w:lang w:val="en-GB"/>
        </w:rPr>
        <w:t>’</w:t>
      </w:r>
      <w:r w:rsidRPr="007F4217" w:rsidR="007F4217">
        <w:rPr>
          <w:lang w:val="en-GB"/>
        </w:rPr>
        <w:t xml:space="preserve">s opinion the interest should </w:t>
      </w:r>
      <w:r w:rsidR="007F4217">
        <w:rPr>
          <w:lang w:val="en-GB"/>
        </w:rPr>
        <w:t xml:space="preserve">take the form of </w:t>
      </w:r>
      <w:r w:rsidRPr="007F4217" w:rsidR="000B14EE">
        <w:rPr>
          <w:lang w:val="en-GB"/>
        </w:rPr>
        <w:t>simple</w:t>
      </w:r>
      <w:r w:rsidR="007F4217">
        <w:rPr>
          <w:lang w:val="en-GB"/>
        </w:rPr>
        <w:t xml:space="preserve"> statutory interest applied to</w:t>
      </w:r>
      <w:r w:rsidRPr="007F4217" w:rsidR="000B14EE">
        <w:rPr>
          <w:lang w:val="en-GB"/>
        </w:rPr>
        <w:t xml:space="preserve"> </w:t>
      </w:r>
      <w:r w:rsidR="007F4217">
        <w:rPr>
          <w:lang w:val="en-GB"/>
        </w:rPr>
        <w:t>the</w:t>
      </w:r>
      <w:r w:rsidRPr="007F4217" w:rsidR="000B14EE">
        <w:rPr>
          <w:lang w:val="en-GB"/>
        </w:rPr>
        <w:t xml:space="preserve"> capital progressive</w:t>
      </w:r>
      <w:r w:rsidR="007F4217">
        <w:rPr>
          <w:lang w:val="en-GB"/>
        </w:rPr>
        <w:t>ly</w:t>
      </w:r>
      <w:r w:rsidRPr="007F4217" w:rsidR="000B14EE">
        <w:rPr>
          <w:lang w:val="en-GB"/>
        </w:rPr>
        <w:t xml:space="preserve"> </w:t>
      </w:r>
      <w:r w:rsidR="007F4217">
        <w:rPr>
          <w:lang w:val="en-GB"/>
        </w:rPr>
        <w:t>adjusted</w:t>
      </w:r>
      <w:r w:rsidRPr="007F4217" w:rsidR="000B14EE">
        <w:rPr>
          <w:lang w:val="en-GB"/>
        </w:rPr>
        <w:t xml:space="preserve">. </w:t>
      </w:r>
      <w:r w:rsidRPr="00C5689B" w:rsidR="007F4217">
        <w:rPr>
          <w:lang w:val="en-GB"/>
        </w:rPr>
        <w:t xml:space="preserve">With regard, lastly, to the </w:t>
      </w:r>
      <w:r w:rsidRPr="00C5689B" w:rsidR="000B14EE">
        <w:rPr>
          <w:lang w:val="en-GB"/>
        </w:rPr>
        <w:t xml:space="preserve">20% </w:t>
      </w:r>
      <w:r w:rsidRPr="00C5689B" w:rsidR="007F4217">
        <w:rPr>
          <w:lang w:val="en-GB"/>
        </w:rPr>
        <w:t xml:space="preserve">tax </w:t>
      </w:r>
      <w:r w:rsidRPr="00C5689B" w:rsidR="00C5689B">
        <w:rPr>
          <w:lang w:val="en-GB"/>
        </w:rPr>
        <w:t>deducted from</w:t>
      </w:r>
      <w:r w:rsidRPr="00C5689B" w:rsidR="000B14EE">
        <w:rPr>
          <w:lang w:val="en-GB"/>
        </w:rPr>
        <w:t xml:space="preserve"> </w:t>
      </w:r>
      <w:r w:rsidRPr="00C5689B" w:rsidR="007F4217">
        <w:rPr>
          <w:lang w:val="en-GB"/>
        </w:rPr>
        <w:t xml:space="preserve">the </w:t>
      </w:r>
      <w:r w:rsidRPr="00C5689B" w:rsidR="000B14EE">
        <w:rPr>
          <w:lang w:val="en-GB"/>
        </w:rPr>
        <w:t>expropriation</w:t>
      </w:r>
      <w:r w:rsidRPr="00C5689B" w:rsidR="007F4217">
        <w:rPr>
          <w:lang w:val="en-GB"/>
        </w:rPr>
        <w:t xml:space="preserve"> compensation awarded at domestic level</w:t>
      </w:r>
      <w:r w:rsidRPr="00C5689B" w:rsidR="000B14EE">
        <w:rPr>
          <w:lang w:val="en-GB"/>
        </w:rPr>
        <w:t xml:space="preserve">, </w:t>
      </w:r>
      <w:r w:rsidRPr="00C5689B" w:rsidR="007F4217">
        <w:rPr>
          <w:lang w:val="en-GB"/>
        </w:rPr>
        <w:t>the Grand</w:t>
      </w:r>
      <w:r w:rsidRPr="00C5689B" w:rsidR="000B14EE">
        <w:rPr>
          <w:lang w:val="en-GB"/>
        </w:rPr>
        <w:t xml:space="preserve"> Chamb</w:t>
      </w:r>
      <w:r w:rsidRPr="00C5689B" w:rsidR="007F4217">
        <w:rPr>
          <w:lang w:val="en-GB"/>
        </w:rPr>
        <w:t>er, like the Chamb</w:t>
      </w:r>
      <w:r w:rsidRPr="00C5689B" w:rsidR="000B14EE">
        <w:rPr>
          <w:lang w:val="en-GB"/>
        </w:rPr>
        <w:t>e</w:t>
      </w:r>
      <w:r w:rsidRPr="00C5689B" w:rsidR="007F4217">
        <w:rPr>
          <w:lang w:val="en-GB"/>
        </w:rPr>
        <w:t>r,</w:t>
      </w:r>
      <w:r w:rsidRPr="00C5689B" w:rsidR="000B14EE">
        <w:rPr>
          <w:lang w:val="en-GB"/>
        </w:rPr>
        <w:t xml:space="preserve"> </w:t>
      </w:r>
      <w:r w:rsidRPr="00C5689B" w:rsidR="00C5689B">
        <w:rPr>
          <w:lang w:val="en-GB"/>
        </w:rPr>
        <w:t>has not found the a</w:t>
      </w:r>
      <w:r w:rsidR="00C5689B">
        <w:rPr>
          <w:lang w:val="en-GB"/>
        </w:rPr>
        <w:t>p</w:t>
      </w:r>
      <w:r w:rsidRPr="00C5689B" w:rsidR="000B14EE">
        <w:rPr>
          <w:lang w:val="en-GB"/>
        </w:rPr>
        <w:t xml:space="preserve">plication </w:t>
      </w:r>
      <w:r w:rsidR="00C5689B">
        <w:rPr>
          <w:lang w:val="en-GB"/>
        </w:rPr>
        <w:t xml:space="preserve">of that tax to be unlawful as such but has taken account of that factor in assessing the facts </w:t>
      </w:r>
      <w:r w:rsidRPr="00C5689B" w:rsidR="000B14EE">
        <w:rPr>
          <w:lang w:val="en-GB"/>
        </w:rPr>
        <w:t>(</w:t>
      </w:r>
      <w:r w:rsidR="00C5689B">
        <w:rPr>
          <w:lang w:val="en-GB"/>
        </w:rPr>
        <w:t>see paragraph</w:t>
      </w:r>
      <w:r w:rsidRPr="00C5689B" w:rsidR="000B14EE">
        <w:rPr>
          <w:lang w:val="en-GB"/>
        </w:rPr>
        <w:t xml:space="preserve"> </w:t>
      </w:r>
      <w:r w:rsidR="00DB016C">
        <w:rPr>
          <w:lang w:val="en-GB"/>
        </w:rPr>
        <w:t>101</w:t>
      </w:r>
      <w:r w:rsidRPr="00C5689B" w:rsidR="00C66EAF">
        <w:rPr>
          <w:lang w:val="en-GB"/>
        </w:rPr>
        <w:t xml:space="preserve"> </w:t>
      </w:r>
      <w:r w:rsidR="00C5689B">
        <w:rPr>
          <w:lang w:val="en-GB"/>
        </w:rPr>
        <w:t>above</w:t>
      </w:r>
      <w:r w:rsidRPr="00C5689B" w:rsidR="000B14EE">
        <w:rPr>
          <w:lang w:val="en-GB"/>
        </w:rPr>
        <w:t>).</w:t>
      </w:r>
    </w:p>
    <w:p w:rsidRPr="00DD5582" w:rsidR="00CB7C5F" w:rsidP="00CB7C5F" w:rsidRDefault="00CB7C5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259</w:t>
      </w:r>
      <w:r w:rsidRPr="00C2011C">
        <w:fldChar w:fldCharType="end"/>
      </w:r>
      <w:r w:rsidRPr="00853ACF">
        <w:rPr>
          <w:lang w:val="en-GB"/>
        </w:rPr>
        <w:t>.  </w:t>
      </w:r>
      <w:r w:rsidRPr="00DD5582" w:rsidR="00DD5582">
        <w:rPr>
          <w:lang w:val="en-GB"/>
        </w:rPr>
        <w:t>Having regard to those factors</w:t>
      </w:r>
      <w:r w:rsidRPr="00DD5582">
        <w:rPr>
          <w:lang w:val="en-GB"/>
        </w:rPr>
        <w:t xml:space="preserve">, </w:t>
      </w:r>
      <w:r w:rsidRPr="00DD5582" w:rsidR="00DD5582">
        <w:rPr>
          <w:lang w:val="en-GB"/>
        </w:rPr>
        <w:t>and ruling on an equitable basis</w:t>
      </w:r>
      <w:r w:rsidRPr="00DD5582">
        <w:rPr>
          <w:lang w:val="en-GB"/>
        </w:rPr>
        <w:t>,</w:t>
      </w:r>
      <w:r w:rsidRPr="00DD5582" w:rsidR="00DD5582">
        <w:rPr>
          <w:lang w:val="en-GB"/>
        </w:rPr>
        <w:t xml:space="preserve"> the Court considers it reasonable to award the applicants</w:t>
      </w:r>
      <w:r w:rsidRPr="00DD5582">
        <w:rPr>
          <w:lang w:val="en-GB"/>
        </w:rPr>
        <w:t xml:space="preserve"> </w:t>
      </w:r>
      <w:r w:rsidRPr="00DD5582" w:rsidR="00DD5582">
        <w:rPr>
          <w:lang w:val="en-GB"/>
        </w:rPr>
        <w:t xml:space="preserve">EUR </w:t>
      </w:r>
      <w:r w:rsidR="005C4D42">
        <w:rPr>
          <w:lang w:val="en-GB"/>
        </w:rPr>
        <w:t>58</w:t>
      </w:r>
      <w:r w:rsidRPr="00DD5582">
        <w:rPr>
          <w:lang w:val="en-GB"/>
        </w:rPr>
        <w:t>0</w:t>
      </w:r>
      <w:r w:rsidRPr="00DD5582" w:rsidR="00DD5582">
        <w:rPr>
          <w:lang w:val="en-GB"/>
        </w:rPr>
        <w:t>,</w:t>
      </w:r>
      <w:r w:rsidR="00DD5582">
        <w:rPr>
          <w:lang w:val="en-GB"/>
        </w:rPr>
        <w:t>000</w:t>
      </w:r>
      <w:r w:rsidRPr="00DD5582">
        <w:rPr>
          <w:lang w:val="en-GB"/>
        </w:rPr>
        <w:t xml:space="preserve">, plus </w:t>
      </w:r>
      <w:r w:rsidR="00DD5582">
        <w:rPr>
          <w:lang w:val="en-GB"/>
        </w:rPr>
        <w:t>any tax that may be chargeable</w:t>
      </w:r>
      <w:r w:rsidR="001A4894">
        <w:rPr>
          <w:lang w:val="en-GB"/>
        </w:rPr>
        <w:t xml:space="preserve"> on that amount</w:t>
      </w:r>
      <w:r w:rsidRPr="00DD5582">
        <w:rPr>
          <w:lang w:val="en-GB"/>
        </w:rPr>
        <w:t>.</w:t>
      </w:r>
    </w:p>
    <w:p w:rsidRPr="007B3A06" w:rsidR="00CB7C5F" w:rsidP="007B3A06" w:rsidRDefault="00967E1F">
      <w:pPr>
        <w:pStyle w:val="JuH1"/>
        <w:rPr>
          <w:lang w:val="en-GB"/>
        </w:rPr>
      </w:pPr>
      <w:r>
        <w:rPr>
          <w:lang w:val="en-GB"/>
        </w:rPr>
        <w:t>2.  </w:t>
      </w:r>
      <w:r w:rsidRPr="007B3A06" w:rsidR="00DD5582">
        <w:rPr>
          <w:lang w:val="en-GB"/>
        </w:rPr>
        <w:t>Non-pecuniary damage as a result of the length of the proceedings</w:t>
      </w:r>
    </w:p>
    <w:p w:rsidRPr="00F259A9" w:rsidR="00DD5582" w:rsidP="00124007" w:rsidRDefault="00C5575E">
      <w:pPr>
        <w:pStyle w:val="JuHa"/>
        <w:outlineLvl w:val="0"/>
        <w:rPr>
          <w:lang w:val="en-GB"/>
        </w:rPr>
      </w:pPr>
      <w:r>
        <w:rPr>
          <w:lang w:val="en-GB"/>
        </w:rPr>
        <w:t>(</w:t>
      </w:r>
      <w:r w:rsidRPr="00F259A9" w:rsidR="007B3A06">
        <w:rPr>
          <w:lang w:val="en-GB"/>
        </w:rPr>
        <w:t>a</w:t>
      </w:r>
      <w:r>
        <w:rPr>
          <w:lang w:val="en-GB"/>
        </w:rPr>
        <w:t>)</w:t>
      </w:r>
      <w:r w:rsidRPr="00F259A9" w:rsidR="00DD5582">
        <w:rPr>
          <w:lang w:val="en-GB"/>
        </w:rPr>
        <w:t>  The Chamber judgment</w:t>
      </w:r>
    </w:p>
    <w:p w:rsidRPr="00DD5582" w:rsidR="00DD5582" w:rsidP="00DD5582" w:rsidRDefault="00DD5582">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260</w:t>
      </w:r>
      <w:r w:rsidRPr="00C2011C">
        <w:fldChar w:fldCharType="end"/>
      </w:r>
      <w:r w:rsidRPr="00853ACF">
        <w:rPr>
          <w:lang w:val="en-GB"/>
        </w:rPr>
        <w:t>.  </w:t>
      </w:r>
      <w:r w:rsidRPr="00DD5582">
        <w:rPr>
          <w:lang w:val="en-GB"/>
        </w:rPr>
        <w:t>In its judgment, the Chamber held that, on this point, the question of the application of Article 41 was not ready f</w:t>
      </w:r>
      <w:r>
        <w:rPr>
          <w:lang w:val="en-GB"/>
        </w:rPr>
        <w:t>or decision and reserved it</w:t>
      </w:r>
      <w:r w:rsidRPr="00DD5582">
        <w:rPr>
          <w:lang w:val="en-GB"/>
        </w:rPr>
        <w:t xml:space="preserve"> (</w:t>
      </w:r>
      <w:r>
        <w:rPr>
          <w:lang w:val="en-GB"/>
        </w:rPr>
        <w:t xml:space="preserve">see </w:t>
      </w:r>
      <w:r w:rsidR="00E57B74">
        <w:rPr>
          <w:lang w:val="en-GB"/>
        </w:rPr>
        <w:t>paragraph</w:t>
      </w:r>
      <w:r w:rsidRPr="00DD5582">
        <w:rPr>
          <w:lang w:val="en-GB"/>
        </w:rPr>
        <w:t xml:space="preserve"> 115</w:t>
      </w:r>
      <w:r>
        <w:rPr>
          <w:lang w:val="en-GB"/>
        </w:rPr>
        <w:t xml:space="preserve"> of the Chamber judgment</w:t>
      </w:r>
      <w:r w:rsidRPr="00DD5582">
        <w:rPr>
          <w:lang w:val="en-GB"/>
        </w:rPr>
        <w:t>).</w:t>
      </w:r>
    </w:p>
    <w:p w:rsidRPr="00F259A9" w:rsidR="00DD5582" w:rsidP="00124007" w:rsidRDefault="00C5575E">
      <w:pPr>
        <w:pStyle w:val="JuHa"/>
        <w:outlineLvl w:val="0"/>
        <w:rPr>
          <w:lang w:val="en-GB"/>
        </w:rPr>
      </w:pPr>
      <w:r>
        <w:rPr>
          <w:lang w:val="en-GB"/>
        </w:rPr>
        <w:t>(</w:t>
      </w:r>
      <w:r w:rsidRPr="00F259A9" w:rsidR="007B3A06">
        <w:rPr>
          <w:lang w:val="en-GB"/>
        </w:rPr>
        <w:t>b</w:t>
      </w:r>
      <w:r>
        <w:rPr>
          <w:lang w:val="en-GB"/>
        </w:rPr>
        <w:t>)</w:t>
      </w:r>
      <w:r w:rsidRPr="00F259A9" w:rsidR="00DD5582">
        <w:rPr>
          <w:lang w:val="en-GB"/>
        </w:rPr>
        <w:t>  </w:t>
      </w:r>
      <w:r w:rsidR="00DC0141">
        <w:rPr>
          <w:lang w:val="en-GB"/>
        </w:rPr>
        <w:t>Submissions</w:t>
      </w:r>
      <w:r w:rsidRPr="00F259A9" w:rsidR="00DD5582">
        <w:rPr>
          <w:lang w:val="en-GB"/>
        </w:rPr>
        <w:t xml:space="preserve"> of those appearing before the Court</w:t>
      </w:r>
    </w:p>
    <w:p w:rsidRPr="00285346" w:rsidR="00DD5582" w:rsidP="008C0F9B" w:rsidRDefault="00C5575E">
      <w:pPr>
        <w:pStyle w:val="JuHi"/>
        <w:rPr>
          <w:lang w:val="en-GB"/>
        </w:rPr>
      </w:pPr>
      <w:r>
        <w:rPr>
          <w:lang w:val="en-GB"/>
        </w:rPr>
        <w:t>(</w:t>
      </w:r>
      <w:r w:rsidRPr="00285346" w:rsidR="007B3A06">
        <w:rPr>
          <w:lang w:val="en-GB"/>
        </w:rPr>
        <w:t>i</w:t>
      </w:r>
      <w:r w:rsidRPr="00285346" w:rsidR="00DD5582">
        <w:rPr>
          <w:lang w:val="en-GB"/>
        </w:rPr>
        <w:t>)  The applicants</w:t>
      </w:r>
    </w:p>
    <w:p w:rsidRPr="00DD5582" w:rsidR="00DD5582" w:rsidP="00DD5582" w:rsidRDefault="00DD5582">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261</w:t>
      </w:r>
      <w:r w:rsidRPr="00C2011C">
        <w:fldChar w:fldCharType="end"/>
      </w:r>
      <w:r w:rsidRPr="00853ACF">
        <w:rPr>
          <w:lang w:val="en-GB"/>
        </w:rPr>
        <w:t>.  </w:t>
      </w:r>
      <w:r w:rsidRPr="00DD5582">
        <w:rPr>
          <w:lang w:val="en-GB"/>
        </w:rPr>
        <w:t xml:space="preserve">The applicants </w:t>
      </w:r>
      <w:r w:rsidR="005C4D42">
        <w:rPr>
          <w:lang w:val="en-GB"/>
        </w:rPr>
        <w:t>estimated at</w:t>
      </w:r>
      <w:r w:rsidRPr="00DD5582">
        <w:rPr>
          <w:lang w:val="en-GB"/>
        </w:rPr>
        <w:t xml:space="preserve"> EUR 6,000 </w:t>
      </w:r>
      <w:r w:rsidR="005C4D42">
        <w:rPr>
          <w:lang w:val="en-GB"/>
        </w:rPr>
        <w:t>the</w:t>
      </w:r>
      <w:r w:rsidRPr="00DD5582">
        <w:rPr>
          <w:lang w:val="en-GB"/>
        </w:rPr>
        <w:t xml:space="preserve"> compensation for the non-pecuniary damage sustained by each of them on account o</w:t>
      </w:r>
      <w:r>
        <w:rPr>
          <w:lang w:val="en-GB"/>
        </w:rPr>
        <w:t xml:space="preserve">f the length of the proceedings, that is, </w:t>
      </w:r>
      <w:r w:rsidRPr="00DD5582">
        <w:rPr>
          <w:lang w:val="en-GB"/>
        </w:rPr>
        <w:t xml:space="preserve">EUR </w:t>
      </w:r>
      <w:r>
        <w:rPr>
          <w:lang w:val="en-GB"/>
        </w:rPr>
        <w:t>24,</w:t>
      </w:r>
      <w:r w:rsidRPr="00DD5582">
        <w:rPr>
          <w:lang w:val="en-GB"/>
        </w:rPr>
        <w:t>000</w:t>
      </w:r>
      <w:r w:rsidR="009E14C6">
        <w:rPr>
          <w:lang w:val="en-GB"/>
        </w:rPr>
        <w:t xml:space="preserve"> </w:t>
      </w:r>
      <w:r>
        <w:rPr>
          <w:lang w:val="en-GB"/>
        </w:rPr>
        <w:t xml:space="preserve">in </w:t>
      </w:r>
      <w:r w:rsidR="009B3D8A">
        <w:rPr>
          <w:lang w:val="en-GB"/>
        </w:rPr>
        <w:t>total.</w:t>
      </w:r>
    </w:p>
    <w:p w:rsidRPr="00285346" w:rsidR="00DD5582" w:rsidP="00124007" w:rsidRDefault="00C5575E">
      <w:pPr>
        <w:pStyle w:val="JuHi"/>
        <w:outlineLvl w:val="0"/>
        <w:rPr>
          <w:lang w:val="en-GB"/>
        </w:rPr>
      </w:pPr>
      <w:r>
        <w:rPr>
          <w:lang w:val="en-GB"/>
        </w:rPr>
        <w:t>(</w:t>
      </w:r>
      <w:r w:rsidRPr="00285346" w:rsidR="007B3A06">
        <w:rPr>
          <w:lang w:val="en-GB"/>
        </w:rPr>
        <w:t>ii</w:t>
      </w:r>
      <w:r w:rsidRPr="00285346" w:rsidR="00DD5582">
        <w:rPr>
          <w:lang w:val="en-GB"/>
        </w:rPr>
        <w:t>)  </w:t>
      </w:r>
      <w:r w:rsidRPr="00285346" w:rsidR="003A05F5">
        <w:rPr>
          <w:lang w:val="en-GB"/>
        </w:rPr>
        <w:t>The Government</w:t>
      </w:r>
    </w:p>
    <w:p w:rsidRPr="003A05F5" w:rsidR="00DD5582" w:rsidP="00DD5582" w:rsidRDefault="00DD5582">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262</w:t>
      </w:r>
      <w:r w:rsidRPr="00C2011C">
        <w:fldChar w:fldCharType="end"/>
      </w:r>
      <w:r w:rsidRPr="00853ACF">
        <w:rPr>
          <w:lang w:val="en-GB"/>
        </w:rPr>
        <w:t>.  </w:t>
      </w:r>
      <w:r w:rsidRPr="003A05F5" w:rsidR="003A05F5">
        <w:rPr>
          <w:lang w:val="en-GB"/>
        </w:rPr>
        <w:t xml:space="preserve">The Government had no objection in principle to the Court specifying the criteria for non-pecuniary damage </w:t>
      </w:r>
      <w:r w:rsidR="00152D42">
        <w:rPr>
          <w:lang w:val="en-GB"/>
        </w:rPr>
        <w:t>regarding</w:t>
      </w:r>
      <w:r w:rsidRPr="003A05F5" w:rsidR="003A05F5">
        <w:rPr>
          <w:lang w:val="en-GB"/>
        </w:rPr>
        <w:t xml:space="preserve"> this </w:t>
      </w:r>
      <w:r w:rsidRPr="003A05F5">
        <w:rPr>
          <w:lang w:val="en-GB"/>
        </w:rPr>
        <w:t xml:space="preserve">type </w:t>
      </w:r>
      <w:r w:rsidRPr="003A05F5" w:rsidR="003A05F5">
        <w:rPr>
          <w:lang w:val="en-GB"/>
        </w:rPr>
        <w:t>of</w:t>
      </w:r>
      <w:r w:rsidRPr="003A05F5">
        <w:rPr>
          <w:lang w:val="en-GB"/>
        </w:rPr>
        <w:t xml:space="preserve"> violation, </w:t>
      </w:r>
      <w:r w:rsidRPr="003A05F5" w:rsidR="003A05F5">
        <w:rPr>
          <w:lang w:val="en-GB"/>
        </w:rPr>
        <w:t>and asked it to indicate</w:t>
      </w:r>
      <w:r w:rsidRPr="003A05F5">
        <w:rPr>
          <w:lang w:val="en-GB"/>
        </w:rPr>
        <w:t xml:space="preserve"> </w:t>
      </w:r>
      <w:r w:rsidRPr="003A05F5" w:rsidR="003A05F5">
        <w:rPr>
          <w:lang w:val="en-GB"/>
        </w:rPr>
        <w:t>that</w:t>
      </w:r>
      <w:r w:rsidR="003A05F5">
        <w:rPr>
          <w:lang w:val="en-GB"/>
        </w:rPr>
        <w:t xml:space="preserve"> </w:t>
      </w:r>
      <w:r w:rsidRPr="003A05F5" w:rsidR="003A05F5">
        <w:rPr>
          <w:lang w:val="en-GB"/>
        </w:rPr>
        <w:t xml:space="preserve">the amount of just satisfaction had </w:t>
      </w:r>
      <w:r w:rsidR="003A05F5">
        <w:rPr>
          <w:lang w:val="en-GB"/>
        </w:rPr>
        <w:t>to be calculated solely by refe</w:t>
      </w:r>
      <w:r w:rsidRPr="003A05F5">
        <w:rPr>
          <w:lang w:val="en-GB"/>
        </w:rPr>
        <w:t xml:space="preserve">rence </w:t>
      </w:r>
      <w:r w:rsidR="003A05F5">
        <w:rPr>
          <w:lang w:val="en-GB"/>
        </w:rPr>
        <w:t>to the delays beyond the reasonable time and for which the State was responsible</w:t>
      </w:r>
      <w:r w:rsidRPr="003A05F5">
        <w:rPr>
          <w:lang w:val="en-GB"/>
        </w:rPr>
        <w:t xml:space="preserve">. </w:t>
      </w:r>
      <w:r w:rsidRPr="003A05F5" w:rsidR="003A05F5">
        <w:rPr>
          <w:lang w:val="en-GB"/>
        </w:rPr>
        <w:t>They also asked the Court to hold that the criteria for calculati</w:t>
      </w:r>
      <w:r w:rsidR="00152D42">
        <w:rPr>
          <w:lang w:val="en-GB"/>
        </w:rPr>
        <w:t>ng</w:t>
      </w:r>
      <w:r w:rsidR="00862488">
        <w:rPr>
          <w:lang w:val="en-GB"/>
        </w:rPr>
        <w:t xml:space="preserve"> compensation</w:t>
      </w:r>
      <w:r w:rsidRPr="003A05F5" w:rsidR="003A05F5">
        <w:rPr>
          <w:lang w:val="en-GB"/>
        </w:rPr>
        <w:t xml:space="preserve"> should not be limited to determining </w:t>
      </w:r>
      <w:r w:rsidR="003A05F5">
        <w:rPr>
          <w:lang w:val="en-GB"/>
        </w:rPr>
        <w:t>a</w:t>
      </w:r>
      <w:r w:rsidR="00862488">
        <w:rPr>
          <w:lang w:val="en-GB"/>
        </w:rPr>
        <w:t xml:space="preserve"> particular</w:t>
      </w:r>
      <w:r w:rsidR="003A05F5">
        <w:rPr>
          <w:lang w:val="en-GB"/>
        </w:rPr>
        <w:t xml:space="preserve"> sum per year, </w:t>
      </w:r>
      <w:r w:rsidR="00862488">
        <w:rPr>
          <w:lang w:val="en-GB"/>
        </w:rPr>
        <w:t>but</w:t>
      </w:r>
      <w:r w:rsidR="003A05F5">
        <w:rPr>
          <w:lang w:val="en-GB"/>
        </w:rPr>
        <w:t xml:space="preserve"> that regard had to be had to other factors, including the stakes</w:t>
      </w:r>
      <w:r w:rsidR="00862488">
        <w:rPr>
          <w:lang w:val="en-GB"/>
        </w:rPr>
        <w:t xml:space="preserve"> involved</w:t>
      </w:r>
      <w:r w:rsidR="003A05F5">
        <w:rPr>
          <w:lang w:val="en-GB"/>
        </w:rPr>
        <w:t xml:space="preserve"> and the</w:t>
      </w:r>
      <w:r w:rsidRPr="003A05F5">
        <w:rPr>
          <w:lang w:val="en-GB"/>
        </w:rPr>
        <w:t xml:space="preserve"> </w:t>
      </w:r>
      <w:r w:rsidR="003A05F5">
        <w:rPr>
          <w:lang w:val="en-GB"/>
        </w:rPr>
        <w:t>outcome of the case</w:t>
      </w:r>
      <w:r w:rsidRPr="003A05F5">
        <w:rPr>
          <w:lang w:val="en-GB"/>
        </w:rPr>
        <w:t>.</w:t>
      </w:r>
    </w:p>
    <w:p w:rsidRPr="003A05F5" w:rsidR="00DD5582" w:rsidP="00DD5582" w:rsidRDefault="00DD5582">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263</w:t>
      </w:r>
      <w:r w:rsidRPr="00C2011C">
        <w:fldChar w:fldCharType="end"/>
      </w:r>
      <w:r w:rsidRPr="00853ACF">
        <w:rPr>
          <w:lang w:val="en-GB"/>
        </w:rPr>
        <w:t>.  </w:t>
      </w:r>
      <w:r w:rsidRPr="003A05F5" w:rsidR="003A05F5">
        <w:rPr>
          <w:lang w:val="en-GB"/>
        </w:rPr>
        <w:t>With regard to the present case</w:t>
      </w:r>
      <w:r w:rsidRPr="003A05F5">
        <w:rPr>
          <w:lang w:val="en-GB"/>
        </w:rPr>
        <w:t>,</w:t>
      </w:r>
      <w:r w:rsidRPr="003A05F5" w:rsidR="003A05F5">
        <w:rPr>
          <w:lang w:val="en-GB"/>
        </w:rPr>
        <w:t xml:space="preserve"> the Government confined themselves to observing that </w:t>
      </w:r>
      <w:r w:rsidR="003A05F5">
        <w:rPr>
          <w:lang w:val="en-GB"/>
        </w:rPr>
        <w:t xml:space="preserve">no </w:t>
      </w:r>
      <w:r w:rsidR="00862488">
        <w:rPr>
          <w:lang w:val="en-GB"/>
        </w:rPr>
        <w:t xml:space="preserve">amount should be </w:t>
      </w:r>
      <w:r w:rsidR="003A05F5">
        <w:rPr>
          <w:lang w:val="en-GB"/>
        </w:rPr>
        <w:t>award</w:t>
      </w:r>
      <w:r w:rsidR="00862488">
        <w:rPr>
          <w:lang w:val="en-GB"/>
        </w:rPr>
        <w:t xml:space="preserve">ed </w:t>
      </w:r>
      <w:r w:rsidR="003A05F5">
        <w:rPr>
          <w:lang w:val="en-GB"/>
        </w:rPr>
        <w:t>under A</w:t>
      </w:r>
      <w:r w:rsidRPr="003A05F5">
        <w:rPr>
          <w:lang w:val="en-GB"/>
        </w:rPr>
        <w:t>rticle</w:t>
      </w:r>
      <w:r w:rsidR="00BE0920">
        <w:rPr>
          <w:lang w:val="en-GB"/>
        </w:rPr>
        <w:t> </w:t>
      </w:r>
      <w:r w:rsidRPr="003A05F5">
        <w:rPr>
          <w:lang w:val="en-GB"/>
        </w:rPr>
        <w:t>41.</w:t>
      </w:r>
    </w:p>
    <w:p w:rsidRPr="00F259A9" w:rsidR="00DD5582" w:rsidP="00124007" w:rsidRDefault="00C5575E">
      <w:pPr>
        <w:pStyle w:val="JuHa"/>
        <w:outlineLvl w:val="0"/>
        <w:rPr>
          <w:lang w:val="en-GB"/>
        </w:rPr>
      </w:pPr>
      <w:r>
        <w:rPr>
          <w:lang w:val="en-GB"/>
        </w:rPr>
        <w:t>(c)</w:t>
      </w:r>
      <w:r w:rsidRPr="00F259A9" w:rsidR="00DD5582">
        <w:rPr>
          <w:lang w:val="en-GB"/>
        </w:rPr>
        <w:t>  </w:t>
      </w:r>
      <w:r w:rsidR="00CD5E4D">
        <w:rPr>
          <w:lang w:val="en-GB"/>
        </w:rPr>
        <w:t>Third-party interveners</w:t>
      </w:r>
    </w:p>
    <w:p w:rsidRPr="00285346" w:rsidR="00DD5582" w:rsidP="008C0F9B" w:rsidRDefault="00C5575E">
      <w:pPr>
        <w:pStyle w:val="JuHi"/>
        <w:rPr>
          <w:lang w:val="en-GB"/>
        </w:rPr>
      </w:pPr>
      <w:r>
        <w:rPr>
          <w:lang w:val="en-GB"/>
        </w:rPr>
        <w:t>(i)</w:t>
      </w:r>
      <w:r w:rsidRPr="00285346" w:rsidR="00DD5582">
        <w:rPr>
          <w:lang w:val="en-GB"/>
        </w:rPr>
        <w:t>  </w:t>
      </w:r>
      <w:r w:rsidRPr="00285346" w:rsidR="003A05F5">
        <w:rPr>
          <w:lang w:val="en-GB"/>
        </w:rPr>
        <w:t>The Czech Government</w:t>
      </w:r>
    </w:p>
    <w:p w:rsidRPr="00E57B74" w:rsidR="00DD5582" w:rsidP="00E57B74" w:rsidRDefault="00DD5582">
      <w:pPr>
        <w:pStyle w:val="JuPara"/>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264</w:t>
      </w:r>
      <w:r w:rsidRPr="00C2011C">
        <w:fldChar w:fldCharType="end"/>
      </w:r>
      <w:r w:rsidRPr="00853ACF">
        <w:rPr>
          <w:lang w:val="en-GB"/>
        </w:rPr>
        <w:t>.  </w:t>
      </w:r>
      <w:r w:rsidRPr="00E57B74" w:rsidR="00E57B74">
        <w:rPr>
          <w:lang w:val="en-GB"/>
        </w:rPr>
        <w:t>As the Czech Government had decided, in addition to introducing a preventive remedy, to enact a law providing for a compensatory remedy, they felt obliged to propose a law that would be sufficiently foreseeable. They referred to difficulties in that regard, submitting that neither the Convention nor the Court</w:t>
      </w:r>
      <w:r w:rsidR="00E6191D">
        <w:rPr>
          <w:lang w:val="en-GB"/>
        </w:rPr>
        <w:t>’</w:t>
      </w:r>
      <w:r w:rsidRPr="00E57B74" w:rsidR="00E57B74">
        <w:rPr>
          <w:lang w:val="en-GB"/>
        </w:rPr>
        <w:t>s case-law provided sufficient clarification. They requested more information about the criteria used by the Court, cases that could be regarded as “similar” and the threshold level of the “reasonable” relation.</w:t>
      </w:r>
    </w:p>
    <w:p w:rsidRPr="00285346" w:rsidR="00DD5582" w:rsidP="00124007" w:rsidRDefault="00C5575E">
      <w:pPr>
        <w:pStyle w:val="JuHi"/>
        <w:outlineLvl w:val="0"/>
        <w:rPr>
          <w:lang w:val="en-GB"/>
        </w:rPr>
      </w:pPr>
      <w:r>
        <w:rPr>
          <w:lang w:val="en-GB"/>
        </w:rPr>
        <w:t>(ii)</w:t>
      </w:r>
      <w:r w:rsidRPr="00285346" w:rsidR="00DD5582">
        <w:rPr>
          <w:lang w:val="en-GB"/>
        </w:rPr>
        <w:t>  </w:t>
      </w:r>
      <w:r w:rsidRPr="00285346" w:rsidR="00671729">
        <w:rPr>
          <w:lang w:val="en-GB"/>
        </w:rPr>
        <w:t>The Polish Government</w:t>
      </w:r>
    </w:p>
    <w:p w:rsidRPr="006E06F1" w:rsidR="00DD5582" w:rsidP="00DD5582" w:rsidRDefault="00DD5582">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265</w:t>
      </w:r>
      <w:r w:rsidRPr="00C2011C">
        <w:fldChar w:fldCharType="end"/>
      </w:r>
      <w:r w:rsidRPr="00853ACF">
        <w:rPr>
          <w:lang w:val="en-GB"/>
        </w:rPr>
        <w:t>.  </w:t>
      </w:r>
      <w:r w:rsidRPr="00E57B74" w:rsidR="00E57B74">
        <w:rPr>
          <w:lang w:val="en-GB"/>
        </w:rPr>
        <w:t>In the Polish Government</w:t>
      </w:r>
      <w:r w:rsidR="00E6191D">
        <w:rPr>
          <w:lang w:val="en-GB"/>
        </w:rPr>
        <w:t>’</w:t>
      </w:r>
      <w:r w:rsidRPr="00E57B74" w:rsidR="00E57B74">
        <w:rPr>
          <w:lang w:val="en-GB"/>
        </w:rPr>
        <w:t>s submission, the Court should indicate what just satisfaction consisted of. If precise indications were not given, inconsistencies were likely to arise between domestic case-law and the Court</w:t>
      </w:r>
      <w:r w:rsidR="00E6191D">
        <w:rPr>
          <w:lang w:val="en-GB"/>
        </w:rPr>
        <w:t>’</w:t>
      </w:r>
      <w:r w:rsidRPr="00E57B74" w:rsidR="00E57B74">
        <w:rPr>
          <w:lang w:val="en-GB"/>
        </w:rPr>
        <w:t>s case-law. Applicants and Governments alike would find it very difficult to establish general rules concerning just satisfaction from the Court</w:t>
      </w:r>
      <w:r w:rsidR="00E6191D">
        <w:rPr>
          <w:lang w:val="en-GB"/>
        </w:rPr>
        <w:t>’</w:t>
      </w:r>
      <w:r w:rsidRPr="00E57B74" w:rsidR="00E57B74">
        <w:rPr>
          <w:lang w:val="en-GB"/>
        </w:rPr>
        <w:t>s case-law. Accordingly, the domestic courts were not in a position to rely on the Court</w:t>
      </w:r>
      <w:r w:rsidR="00E6191D">
        <w:rPr>
          <w:lang w:val="en-GB"/>
        </w:rPr>
        <w:t>’</w:t>
      </w:r>
      <w:r w:rsidRPr="00E57B74" w:rsidR="00E57B74">
        <w:rPr>
          <w:lang w:val="en-GB"/>
        </w:rPr>
        <w:t>s case-law and make decisions compatible with it</w:t>
      </w:r>
      <w:r w:rsidRPr="006E06F1">
        <w:rPr>
          <w:lang w:val="en-GB"/>
        </w:rPr>
        <w:t>.</w:t>
      </w:r>
    </w:p>
    <w:p w:rsidRPr="00285346" w:rsidR="00DD5582" w:rsidP="00124007" w:rsidRDefault="00C5575E">
      <w:pPr>
        <w:pStyle w:val="JuHi"/>
        <w:outlineLvl w:val="0"/>
        <w:rPr>
          <w:lang w:val="en-GB"/>
        </w:rPr>
      </w:pPr>
      <w:r>
        <w:rPr>
          <w:lang w:val="en-GB"/>
        </w:rPr>
        <w:t>(iii)</w:t>
      </w:r>
      <w:r w:rsidRPr="00285346" w:rsidR="00DD5582">
        <w:rPr>
          <w:lang w:val="en-GB"/>
        </w:rPr>
        <w:t>  </w:t>
      </w:r>
      <w:r w:rsidRPr="00285346" w:rsidR="00BD4B36">
        <w:rPr>
          <w:lang w:val="en-GB"/>
        </w:rPr>
        <w:t>The Slovak</w:t>
      </w:r>
      <w:r w:rsidR="00090C8D">
        <w:rPr>
          <w:lang w:val="en-GB"/>
        </w:rPr>
        <w:t>ian</w:t>
      </w:r>
      <w:r w:rsidRPr="00285346" w:rsidR="00BD4B36">
        <w:rPr>
          <w:lang w:val="en-GB"/>
        </w:rPr>
        <w:t xml:space="preserve"> Government</w:t>
      </w:r>
    </w:p>
    <w:p w:rsidR="00967E1F" w:rsidP="00DD5582" w:rsidRDefault="00DD5582">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266</w:t>
      </w:r>
      <w:r w:rsidRPr="00C2011C">
        <w:fldChar w:fldCharType="end"/>
      </w:r>
      <w:r w:rsidRPr="00853ACF">
        <w:rPr>
          <w:lang w:val="en-GB"/>
        </w:rPr>
        <w:t>.  </w:t>
      </w:r>
      <w:r w:rsidR="00B92F8F">
        <w:rPr>
          <w:lang w:val="en-GB"/>
        </w:rPr>
        <w:t>In the</w:t>
      </w:r>
      <w:r w:rsidR="00671729">
        <w:rPr>
          <w:lang w:val="en-GB"/>
        </w:rPr>
        <w:t xml:space="preserve"> Slovak</w:t>
      </w:r>
      <w:r w:rsidR="00090C8D">
        <w:rPr>
          <w:lang w:val="en-GB"/>
        </w:rPr>
        <w:t>ian</w:t>
      </w:r>
      <w:r w:rsidR="00671729">
        <w:rPr>
          <w:lang w:val="en-GB"/>
        </w:rPr>
        <w:t xml:space="preserve"> Government</w:t>
      </w:r>
      <w:r w:rsidR="00E6191D">
        <w:rPr>
          <w:lang w:val="en-GB"/>
        </w:rPr>
        <w:t>’</w:t>
      </w:r>
      <w:r w:rsidR="00B92F8F">
        <w:rPr>
          <w:lang w:val="en-GB"/>
        </w:rPr>
        <w:t xml:space="preserve">s submission, </w:t>
      </w:r>
      <w:r w:rsidR="00671729">
        <w:rPr>
          <w:lang w:val="en-GB"/>
        </w:rPr>
        <w:t>th</w:t>
      </w:r>
      <w:r w:rsidRPr="00671729" w:rsidR="00671729">
        <w:rPr>
          <w:lang w:val="en-GB"/>
        </w:rPr>
        <w:t>e considerations on which the Court based its determination of non-pecuniary damage should form part of the reasons for its decision.</w:t>
      </w:r>
      <w:r w:rsidRPr="00671729">
        <w:rPr>
          <w:lang w:val="en-GB"/>
        </w:rPr>
        <w:t xml:space="preserve"> </w:t>
      </w:r>
      <w:r w:rsidRPr="00BD4B36" w:rsidR="00BD4B36">
        <w:rPr>
          <w:lang w:val="en-GB"/>
        </w:rPr>
        <w:t>It was only in that way that the Court</w:t>
      </w:r>
      <w:r w:rsidR="00E6191D">
        <w:rPr>
          <w:lang w:val="en-GB"/>
        </w:rPr>
        <w:t>’</w:t>
      </w:r>
      <w:r w:rsidRPr="00BD4B36" w:rsidR="00BD4B36">
        <w:rPr>
          <w:lang w:val="en-GB"/>
        </w:rPr>
        <w:t>s judgments would become clear instructions for the domestic courts</w:t>
      </w:r>
      <w:r w:rsidR="00BB4C8C">
        <w:rPr>
          <w:lang w:val="en-GB"/>
        </w:rPr>
        <w:t xml:space="preserve"> when it came to d</w:t>
      </w:r>
      <w:r w:rsidRPr="00BD4B36" w:rsidR="00BD4B36">
        <w:rPr>
          <w:lang w:val="en-GB"/>
        </w:rPr>
        <w:t>etermin</w:t>
      </w:r>
      <w:r w:rsidR="00BB4C8C">
        <w:rPr>
          <w:lang w:val="en-GB"/>
        </w:rPr>
        <w:t xml:space="preserve">ing </w:t>
      </w:r>
      <w:r w:rsidRPr="00BD4B36" w:rsidR="00BD4B36">
        <w:rPr>
          <w:lang w:val="en-GB"/>
        </w:rPr>
        <w:t>awards in respect of non-pecuniary damage caused by delays in the proceedings</w:t>
      </w:r>
      <w:r w:rsidRPr="00BD4B36">
        <w:rPr>
          <w:lang w:val="en-GB"/>
        </w:rPr>
        <w:t>.</w:t>
      </w:r>
    </w:p>
    <w:p w:rsidRPr="006E06F1" w:rsidR="00DD5582" w:rsidP="006E06F1" w:rsidRDefault="00BD4B36">
      <w:pPr>
        <w:pStyle w:val="JuPara"/>
        <w:rPr>
          <w:lang w:val="en-GB"/>
        </w:rPr>
      </w:pPr>
      <w:r w:rsidRPr="00853ACF">
        <w:rPr>
          <w:lang w:val="en-GB"/>
        </w:rPr>
        <w:t>In the</w:t>
      </w:r>
      <w:r w:rsidR="005A575D">
        <w:rPr>
          <w:lang w:val="en-GB"/>
        </w:rPr>
        <w:t xml:space="preserve"> Slovak</w:t>
      </w:r>
      <w:r w:rsidR="00090C8D">
        <w:rPr>
          <w:lang w:val="en-GB"/>
        </w:rPr>
        <w:t>ian</w:t>
      </w:r>
      <w:r w:rsidR="005A575D">
        <w:rPr>
          <w:lang w:val="en-GB"/>
        </w:rPr>
        <w:t xml:space="preserve"> Government</w:t>
      </w:r>
      <w:r w:rsidR="00E6191D">
        <w:rPr>
          <w:lang w:val="en-GB"/>
        </w:rPr>
        <w:t>’</w:t>
      </w:r>
      <w:r w:rsidR="005A575D">
        <w:rPr>
          <w:lang w:val="en-GB"/>
        </w:rPr>
        <w:t>s</w:t>
      </w:r>
      <w:r w:rsidRPr="00853ACF">
        <w:rPr>
          <w:lang w:val="en-GB"/>
        </w:rPr>
        <w:t xml:space="preserve"> submission,</w:t>
      </w:r>
      <w:r w:rsidRPr="00853ACF" w:rsidR="00DD5582">
        <w:rPr>
          <w:lang w:val="en-GB"/>
        </w:rPr>
        <w:t xml:space="preserve"> </w:t>
      </w:r>
      <w:r w:rsidRPr="00853ACF">
        <w:rPr>
          <w:lang w:val="en-GB"/>
        </w:rPr>
        <w:t xml:space="preserve">it was </w:t>
      </w:r>
      <w:r w:rsidR="005A575D">
        <w:rPr>
          <w:lang w:val="en-GB"/>
        </w:rPr>
        <w:t>im</w:t>
      </w:r>
      <w:r w:rsidRPr="00853ACF">
        <w:rPr>
          <w:lang w:val="en-GB"/>
        </w:rPr>
        <w:t xml:space="preserve">possible to translate all these aspects </w:t>
      </w:r>
      <w:r w:rsidRPr="00853ACF" w:rsidR="00BB4C8C">
        <w:rPr>
          <w:lang w:val="en-GB"/>
        </w:rPr>
        <w:t xml:space="preserve">into figures </w:t>
      </w:r>
      <w:r w:rsidRPr="00853ACF">
        <w:rPr>
          <w:lang w:val="en-GB"/>
        </w:rPr>
        <w:t>or to foresee every situation which might arise. The Slovak</w:t>
      </w:r>
      <w:r w:rsidR="00090C8D">
        <w:rPr>
          <w:lang w:val="en-GB"/>
        </w:rPr>
        <w:t>ian</w:t>
      </w:r>
      <w:r w:rsidRPr="00853ACF">
        <w:rPr>
          <w:lang w:val="en-GB"/>
        </w:rPr>
        <w:t xml:space="preserve"> Government did not expect the Court to define a precise formula by which the amount awarded for non-pecuniary damage flowing from the protractedness of proceedings could be calculated or to determine precise amounts. It was, in their view, more important that the Court </w:t>
      </w:r>
      <w:r w:rsidR="00BB4C8C">
        <w:rPr>
          <w:lang w:val="en-GB"/>
        </w:rPr>
        <w:t>gave</w:t>
      </w:r>
      <w:r w:rsidRPr="00853ACF">
        <w:rPr>
          <w:lang w:val="en-GB"/>
        </w:rPr>
        <w:t xml:space="preserve"> sufficient justification in its decisions for the manner in which the criteria </w:t>
      </w:r>
      <w:r w:rsidR="00BB4C8C">
        <w:rPr>
          <w:lang w:val="en-GB"/>
        </w:rPr>
        <w:t>to which regard was had when</w:t>
      </w:r>
      <w:r w:rsidRPr="00853ACF">
        <w:rPr>
          <w:lang w:val="en-GB"/>
        </w:rPr>
        <w:t xml:space="preserve"> assessing the reasonableness of the length of the proceedings were then taken into account to determine the amount awarded for non-pecuniary damage arising from the delays in the proceedings. It was clear from the foregoing that applicants should be awarded the same amount in comparable cases.</w:t>
      </w:r>
    </w:p>
    <w:p w:rsidRPr="00F259A9" w:rsidR="00DD5582" w:rsidP="00124007" w:rsidRDefault="00C5575E">
      <w:pPr>
        <w:pStyle w:val="JuHa"/>
        <w:outlineLvl w:val="0"/>
        <w:rPr>
          <w:lang w:val="en-GB"/>
        </w:rPr>
      </w:pPr>
      <w:r>
        <w:rPr>
          <w:lang w:val="en-GB"/>
        </w:rPr>
        <w:t>(</w:t>
      </w:r>
      <w:r w:rsidRPr="00F259A9" w:rsidR="00EB4591">
        <w:rPr>
          <w:lang w:val="en-GB"/>
        </w:rPr>
        <w:t>d</w:t>
      </w:r>
      <w:r>
        <w:rPr>
          <w:lang w:val="en-GB"/>
        </w:rPr>
        <w:t>)</w:t>
      </w:r>
      <w:r w:rsidRPr="00F259A9" w:rsidR="00DD5582">
        <w:rPr>
          <w:lang w:val="en-GB"/>
        </w:rPr>
        <w:t>  </w:t>
      </w:r>
      <w:r w:rsidRPr="00F259A9" w:rsidR="003A05F5">
        <w:rPr>
          <w:lang w:val="en-GB"/>
        </w:rPr>
        <w:t>The Court</w:t>
      </w:r>
      <w:r w:rsidR="00E6191D">
        <w:rPr>
          <w:lang w:val="en-GB"/>
        </w:rPr>
        <w:t>’</w:t>
      </w:r>
      <w:r w:rsidRPr="00F259A9" w:rsidR="003A05F5">
        <w:rPr>
          <w:lang w:val="en-GB"/>
        </w:rPr>
        <w:t>s criteria</w:t>
      </w:r>
    </w:p>
    <w:p w:rsidRPr="00E57B74" w:rsidR="00E57B74" w:rsidP="00E57B74" w:rsidRDefault="00DD5582">
      <w:pPr>
        <w:pStyle w:val="JuPara"/>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267</w:t>
      </w:r>
      <w:r w:rsidRPr="00C2011C">
        <w:fldChar w:fldCharType="end"/>
      </w:r>
      <w:r w:rsidRPr="00853ACF">
        <w:rPr>
          <w:lang w:val="en-GB"/>
        </w:rPr>
        <w:t>.  </w:t>
      </w:r>
      <w:r w:rsidRPr="00E57B74" w:rsidR="00E57B74">
        <w:rPr>
          <w:lang w:val="en-GB"/>
        </w:rPr>
        <w:t>In reply to the Governments, the Court states at the outset that by “similar cases” it means any two sets of proceedings that have lasted for the same number of years, for an identical number of levels of jurisdiction, with stakes of equivalent importance, much the same conduct on the part of the applicant and in respect of the same country.</w:t>
      </w:r>
    </w:p>
    <w:p w:rsidRPr="00E57B74" w:rsidR="00DD5582" w:rsidP="006E06F1" w:rsidRDefault="00E57B74">
      <w:pPr>
        <w:pStyle w:val="JuPara"/>
        <w:rPr>
          <w:lang w:val="en-GB"/>
        </w:rPr>
      </w:pPr>
      <w:r w:rsidRPr="00E57B74">
        <w:rPr>
          <w:lang w:val="en-GB"/>
        </w:rPr>
        <w:t>Moreover, it shares the Slovak</w:t>
      </w:r>
      <w:r w:rsidR="00090C8D">
        <w:rPr>
          <w:lang w:val="en-GB"/>
        </w:rPr>
        <w:t>ian</w:t>
      </w:r>
      <w:r w:rsidRPr="00E57B74">
        <w:rPr>
          <w:lang w:val="en-GB"/>
        </w:rPr>
        <w:t xml:space="preserve"> Government</w:t>
      </w:r>
      <w:r w:rsidR="00E6191D">
        <w:rPr>
          <w:lang w:val="en-GB"/>
        </w:rPr>
        <w:t>’</w:t>
      </w:r>
      <w:r w:rsidRPr="00E57B74">
        <w:rPr>
          <w:lang w:val="en-GB"/>
        </w:rPr>
        <w:t>s view that it would be impossible and impracticable to try to provide a list of detailed explanations covering every eventuality and considers that all the necessary elements can be found in its previous decisions available in the Court</w:t>
      </w:r>
      <w:r w:rsidR="00E6191D">
        <w:rPr>
          <w:lang w:val="en-GB"/>
        </w:rPr>
        <w:t>’</w:t>
      </w:r>
      <w:r>
        <w:rPr>
          <w:lang w:val="en-GB"/>
        </w:rPr>
        <w:t>s case-law database</w:t>
      </w:r>
      <w:r w:rsidRPr="006E06F1" w:rsidR="006E06F1">
        <w:rPr>
          <w:lang w:val="en-GB"/>
        </w:rPr>
        <w:t>.</w:t>
      </w:r>
    </w:p>
    <w:p w:rsidRPr="00C53261" w:rsidR="006E06F1" w:rsidP="006E06F1" w:rsidRDefault="00DD5582">
      <w:pPr>
        <w:pStyle w:val="JuPara"/>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268</w:t>
      </w:r>
      <w:r w:rsidRPr="00C2011C">
        <w:fldChar w:fldCharType="end"/>
      </w:r>
      <w:r w:rsidRPr="006E06F1">
        <w:rPr>
          <w:lang w:val="en-GB"/>
        </w:rPr>
        <w:t>.  </w:t>
      </w:r>
      <w:r w:rsidR="00C53261">
        <w:rPr>
          <w:lang w:val="en-GB"/>
        </w:rPr>
        <w:t>It</w:t>
      </w:r>
      <w:r w:rsidR="00FE31F5">
        <w:rPr>
          <w:lang w:val="en-GB"/>
        </w:rPr>
        <w:t xml:space="preserve"> indicates</w:t>
      </w:r>
      <w:r w:rsidRPr="006E06F1" w:rsidR="006E06F1">
        <w:rPr>
          <w:lang w:val="en-GB"/>
        </w:rPr>
        <w:t xml:space="preserve"> next that the amount </w:t>
      </w:r>
      <w:r w:rsidR="006E06F1">
        <w:rPr>
          <w:lang w:val="en-GB"/>
        </w:rPr>
        <w:t xml:space="preserve">it </w:t>
      </w:r>
      <w:r w:rsidR="005A575D">
        <w:rPr>
          <w:lang w:val="en-GB"/>
        </w:rPr>
        <w:t xml:space="preserve">will </w:t>
      </w:r>
      <w:r w:rsidRPr="006E06F1" w:rsidR="006E06F1">
        <w:rPr>
          <w:lang w:val="en-GB"/>
        </w:rPr>
        <w:t xml:space="preserve">award </w:t>
      </w:r>
      <w:r w:rsidR="00AE3A2D">
        <w:rPr>
          <w:lang w:val="en-GB"/>
        </w:rPr>
        <w:t>under the head of</w:t>
      </w:r>
      <w:r w:rsidRPr="006E06F1" w:rsidR="006E06F1">
        <w:rPr>
          <w:lang w:val="en-GB"/>
        </w:rPr>
        <w:t xml:space="preserve"> non-pecuniary damage</w:t>
      </w:r>
      <w:r w:rsidR="006E06F1">
        <w:rPr>
          <w:lang w:val="en-GB"/>
        </w:rPr>
        <w:t xml:space="preserve"> under Article 41</w:t>
      </w:r>
      <w:r w:rsidRPr="006E06F1" w:rsidR="006E06F1">
        <w:rPr>
          <w:lang w:val="en-GB"/>
        </w:rPr>
        <w:t xml:space="preserve"> </w:t>
      </w:r>
      <w:r w:rsidR="00746102">
        <w:rPr>
          <w:lang w:val="en-GB"/>
        </w:rPr>
        <w:t>may</w:t>
      </w:r>
      <w:r w:rsidRPr="006E06F1" w:rsidR="006E06F1">
        <w:rPr>
          <w:lang w:val="en-GB"/>
        </w:rPr>
        <w:t xml:space="preserve"> be less </w:t>
      </w:r>
      <w:r w:rsidR="006E06F1">
        <w:rPr>
          <w:lang w:val="en-GB"/>
        </w:rPr>
        <w:t xml:space="preserve">than </w:t>
      </w:r>
      <w:r w:rsidR="005A575D">
        <w:rPr>
          <w:lang w:val="en-GB"/>
        </w:rPr>
        <w:t xml:space="preserve">that indicated in its </w:t>
      </w:r>
      <w:r w:rsidR="006E06F1">
        <w:rPr>
          <w:lang w:val="en-GB"/>
        </w:rPr>
        <w:t xml:space="preserve">case-law </w:t>
      </w:r>
      <w:r w:rsidRPr="006E06F1" w:rsidR="006E06F1">
        <w:rPr>
          <w:lang w:val="en-GB"/>
        </w:rPr>
        <w:t xml:space="preserve">where the applicant has already obtained a finding of a violation at domestic level and </w:t>
      </w:r>
      <w:r w:rsidR="00AE3A2D">
        <w:rPr>
          <w:lang w:val="en-GB"/>
        </w:rPr>
        <w:t xml:space="preserve">compensation </w:t>
      </w:r>
      <w:r w:rsidRPr="006E06F1" w:rsidR="006E06F1">
        <w:rPr>
          <w:lang w:val="en-GB"/>
        </w:rPr>
        <w:t>by using a domestic remedy</w:t>
      </w:r>
      <w:r w:rsidR="006E06F1">
        <w:rPr>
          <w:lang w:val="en-GB"/>
        </w:rPr>
        <w:t>.</w:t>
      </w:r>
      <w:r w:rsidRPr="00C53261" w:rsidR="00C53261">
        <w:rPr>
          <w:lang w:val="en-GB"/>
        </w:rPr>
        <w:t xml:space="preserve"> Apart from the fact that the existence of a domestic remedy is fully in keeping with the subsidiarity principle embodied in the Convention, such a remedy is closer and more accessible than an application to the Court, is faster and is processed in the applicant</w:t>
      </w:r>
      <w:r w:rsidR="00E6191D">
        <w:rPr>
          <w:lang w:val="en-GB"/>
        </w:rPr>
        <w:t>’</w:t>
      </w:r>
      <w:r w:rsidRPr="00C53261" w:rsidR="00C53261">
        <w:rPr>
          <w:lang w:val="en-GB"/>
        </w:rPr>
        <w:t>s own language; it thus offers advantages that need to be taken into consideration</w:t>
      </w:r>
      <w:r w:rsidR="00C53261">
        <w:rPr>
          <w:lang w:val="en-GB"/>
        </w:rPr>
        <w:t>.</w:t>
      </w:r>
    </w:p>
    <w:p w:rsidRPr="00523915" w:rsidR="00DD5582" w:rsidP="00523915" w:rsidRDefault="003508D2">
      <w:pPr>
        <w:pStyle w:val="JuPara"/>
        <w:rPr>
          <w:lang w:val="en-GB"/>
        </w:rPr>
      </w:pPr>
      <w:r>
        <w:fldChar w:fldCharType="begin"/>
      </w:r>
      <w:r w:rsidRPr="00E57B74">
        <w:rPr>
          <w:lang w:val="en-GB"/>
        </w:rPr>
        <w:instrText xml:space="preserve"> SEQ level0 \*arabic </w:instrText>
      </w:r>
      <w:r>
        <w:fldChar w:fldCharType="separate"/>
      </w:r>
      <w:r w:rsidR="008B3B68">
        <w:rPr>
          <w:noProof/>
          <w:lang w:val="en-GB"/>
        </w:rPr>
        <w:t>269</w:t>
      </w:r>
      <w:r>
        <w:fldChar w:fldCharType="end"/>
      </w:r>
      <w:r w:rsidRPr="00E57B74">
        <w:rPr>
          <w:lang w:val="en-GB"/>
        </w:rPr>
        <w:t>.  </w:t>
      </w:r>
      <w:r w:rsidRPr="00E57B74" w:rsidR="00E57B74">
        <w:rPr>
          <w:lang w:val="en-GB"/>
        </w:rPr>
        <w:t xml:space="preserve">The Court considers, however, that where an applicant can still claim to be a “victim” after </w:t>
      </w:r>
      <w:r w:rsidR="00DC0141">
        <w:rPr>
          <w:lang w:val="en-GB"/>
        </w:rPr>
        <w:t>making use of</w:t>
      </w:r>
      <w:r w:rsidRPr="00E57B74" w:rsidR="00E57B74">
        <w:rPr>
          <w:lang w:val="en-GB"/>
        </w:rPr>
        <w:t xml:space="preserve"> that domestic remedy he or she must be awarded the difference between the amount obtained from the court of appeal and an amount that would not have been regarded as manifestly unreasonable compared with the amount awarded by the Court if it had been awarded by the court of appeal and paid speedily</w:t>
      </w:r>
      <w:r w:rsidRPr="00523915" w:rsidR="00DD5582">
        <w:rPr>
          <w:lang w:val="en-GB"/>
        </w:rPr>
        <w:t>.</w:t>
      </w:r>
    </w:p>
    <w:p w:rsidRPr="00D15E3C" w:rsidR="00DD5582" w:rsidP="00DD5582" w:rsidRDefault="00DD5582">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270</w:t>
      </w:r>
      <w:r w:rsidRPr="00C2011C">
        <w:fldChar w:fldCharType="end"/>
      </w:r>
      <w:r w:rsidRPr="00853ACF">
        <w:rPr>
          <w:lang w:val="en-GB"/>
        </w:rPr>
        <w:t>.  </w:t>
      </w:r>
      <w:r w:rsidRPr="00E57B74" w:rsidR="00E57B74">
        <w:rPr>
          <w:lang w:val="en-GB"/>
        </w:rPr>
        <w:t>Applicants should also be awarded an amount in respect of stages of the proceedings that may not have been taken into account by the domestic courts in the reference period where they can no longer take the case back before the court of appeal seeking application of the change of position adopted by the Court of Cassation on 26 January 2004 (see its judgment no.</w:t>
      </w:r>
      <w:r w:rsidR="009E14C6">
        <w:rPr>
          <w:lang w:val="en-GB"/>
        </w:rPr>
        <w:t xml:space="preserve"> </w:t>
      </w:r>
      <w:r w:rsidRPr="00E57B74" w:rsidR="00E57B74">
        <w:rPr>
          <w:lang w:val="en-GB"/>
        </w:rPr>
        <w:t>1339</w:t>
      </w:r>
      <w:r w:rsidR="00E00A80">
        <w:rPr>
          <w:lang w:val="en-GB"/>
        </w:rPr>
        <w:t xml:space="preserve"> –</w:t>
      </w:r>
      <w:r w:rsidRPr="00E57B74" w:rsidR="00E57B74">
        <w:rPr>
          <w:lang w:val="en-GB"/>
        </w:rPr>
        <w:t xml:space="preserve"> paragraph</w:t>
      </w:r>
      <w:r w:rsidR="009E14C6">
        <w:rPr>
          <w:lang w:val="en-GB"/>
        </w:rPr>
        <w:t xml:space="preserve"> </w:t>
      </w:r>
      <w:r w:rsidR="00E57B74">
        <w:rPr>
          <w:lang w:val="en-GB"/>
        </w:rPr>
        <w:t>64</w:t>
      </w:r>
      <w:r w:rsidRPr="00E57B74" w:rsidR="00E57B74">
        <w:rPr>
          <w:lang w:val="en-GB"/>
        </w:rPr>
        <w:t xml:space="preserve"> above) or the remaining length was not in itself sufficiently long to be regarded as amounting to a second violation in respect of the same proceedings</w:t>
      </w:r>
      <w:r w:rsidRPr="00D15E3C">
        <w:rPr>
          <w:lang w:val="en-GB"/>
        </w:rPr>
        <w:t>.</w:t>
      </w:r>
    </w:p>
    <w:p w:rsidR="00967E1F" w:rsidP="00DD5582" w:rsidRDefault="00DD5582">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271</w:t>
      </w:r>
      <w:r w:rsidRPr="00C2011C">
        <w:fldChar w:fldCharType="end"/>
      </w:r>
      <w:r w:rsidRPr="00853ACF">
        <w:rPr>
          <w:lang w:val="en-GB"/>
        </w:rPr>
        <w:t>.  </w:t>
      </w:r>
      <w:r w:rsidRPr="00E3232A" w:rsidR="00E3232A">
        <w:rPr>
          <w:lang w:val="en-GB"/>
        </w:rPr>
        <w:t>Lastly</w:t>
      </w:r>
      <w:r w:rsidRPr="00E3232A">
        <w:rPr>
          <w:lang w:val="en-GB"/>
        </w:rPr>
        <w:t xml:space="preserve">, </w:t>
      </w:r>
      <w:r w:rsidRPr="00E3232A" w:rsidR="00E3232A">
        <w:rPr>
          <w:lang w:val="en-GB"/>
        </w:rPr>
        <w:t xml:space="preserve">the Government </w:t>
      </w:r>
      <w:r w:rsidR="004D14DA">
        <w:rPr>
          <w:lang w:val="en-GB"/>
        </w:rPr>
        <w:t>should</w:t>
      </w:r>
      <w:r w:rsidRPr="00E3232A" w:rsidR="00E3232A">
        <w:rPr>
          <w:lang w:val="en-GB"/>
        </w:rPr>
        <w:t xml:space="preserve"> be ordered to pay a further sum where the</w:t>
      </w:r>
      <w:r w:rsidRPr="00E3232A">
        <w:rPr>
          <w:lang w:val="en-GB"/>
        </w:rPr>
        <w:t xml:space="preserve"> </w:t>
      </w:r>
      <w:r w:rsidRPr="00E3232A" w:rsidR="00E3232A">
        <w:rPr>
          <w:lang w:val="en-GB"/>
        </w:rPr>
        <w:t>applicant has had to endure a delay while waiting for</w:t>
      </w:r>
      <w:r w:rsidR="00A030E6">
        <w:rPr>
          <w:lang w:val="en-GB"/>
        </w:rPr>
        <w:t xml:space="preserve"> payment of the compensation due from</w:t>
      </w:r>
      <w:r w:rsidRPr="00E3232A" w:rsidR="00E3232A">
        <w:rPr>
          <w:lang w:val="en-GB"/>
        </w:rPr>
        <w:t xml:space="preserve"> the</w:t>
      </w:r>
      <w:r w:rsidR="00E3232A">
        <w:rPr>
          <w:lang w:val="en-GB"/>
        </w:rPr>
        <w:t xml:space="preserve"> State</w:t>
      </w:r>
      <w:r w:rsidR="00A030E6">
        <w:rPr>
          <w:lang w:val="en-GB"/>
        </w:rPr>
        <w:t xml:space="preserve"> so that</w:t>
      </w:r>
      <w:r w:rsidR="00E3232A">
        <w:rPr>
          <w:lang w:val="en-GB"/>
        </w:rPr>
        <w:t xml:space="preserve"> the</w:t>
      </w:r>
      <w:r w:rsidRPr="00E3232A">
        <w:rPr>
          <w:lang w:val="en-GB"/>
        </w:rPr>
        <w:t xml:space="preserve"> frustration </w:t>
      </w:r>
      <w:r w:rsidR="00E3232A">
        <w:rPr>
          <w:lang w:val="en-GB"/>
        </w:rPr>
        <w:t>arising from the delay in obtaining payment</w:t>
      </w:r>
      <w:r w:rsidR="00A030E6">
        <w:rPr>
          <w:lang w:val="en-GB"/>
        </w:rPr>
        <w:t xml:space="preserve"> is</w:t>
      </w:r>
      <w:r w:rsidRPr="00A030E6" w:rsidR="00A030E6">
        <w:rPr>
          <w:lang w:val="en-GB"/>
        </w:rPr>
        <w:t xml:space="preserve"> </w:t>
      </w:r>
      <w:r w:rsidR="00A030E6">
        <w:rPr>
          <w:lang w:val="en-GB"/>
        </w:rPr>
        <w:t>offset</w:t>
      </w:r>
      <w:r w:rsidRPr="00E3232A">
        <w:rPr>
          <w:lang w:val="en-GB"/>
        </w:rPr>
        <w:t>.</w:t>
      </w:r>
    </w:p>
    <w:p w:rsidRPr="00F259A9" w:rsidR="00EA5DBF" w:rsidP="00124007" w:rsidRDefault="00C5575E">
      <w:pPr>
        <w:pStyle w:val="JuHa"/>
        <w:outlineLvl w:val="0"/>
        <w:rPr>
          <w:lang w:val="en-GB"/>
        </w:rPr>
      </w:pPr>
      <w:r>
        <w:rPr>
          <w:lang w:val="en-GB"/>
        </w:rPr>
        <w:t>(</w:t>
      </w:r>
      <w:r w:rsidRPr="00F259A9" w:rsidR="00EB4591">
        <w:rPr>
          <w:lang w:val="en-GB"/>
        </w:rPr>
        <w:t>e</w:t>
      </w:r>
      <w:r>
        <w:rPr>
          <w:lang w:val="en-GB"/>
        </w:rPr>
        <w:t>)</w:t>
      </w:r>
      <w:r w:rsidRPr="00F259A9" w:rsidR="00EA5DBF">
        <w:rPr>
          <w:lang w:val="en-GB"/>
        </w:rPr>
        <w:t xml:space="preserve">  Application of the foregoing criteria to the </w:t>
      </w:r>
      <w:r w:rsidRPr="00F259A9" w:rsidR="00B625EA">
        <w:rPr>
          <w:lang w:val="en-GB"/>
        </w:rPr>
        <w:t>present</w:t>
      </w:r>
      <w:r w:rsidRPr="00F259A9" w:rsidR="00EA5DBF">
        <w:rPr>
          <w:lang w:val="en-GB"/>
        </w:rPr>
        <w:t xml:space="preserve"> case</w:t>
      </w:r>
    </w:p>
    <w:p w:rsidRPr="00006A1A" w:rsidR="000565F1" w:rsidP="005C715F" w:rsidRDefault="00EA5DBF">
      <w:pPr>
        <w:ind w:firstLine="284"/>
        <w:jc w:val="both"/>
        <w:rPr>
          <w:szCs w:val="24"/>
        </w:rPr>
      </w:pPr>
      <w:r w:rsidRPr="00C2011C">
        <w:fldChar w:fldCharType="begin"/>
      </w:r>
      <w:r w:rsidRPr="00853ACF">
        <w:instrText xml:space="preserve"> SEQ level0 \*arabic </w:instrText>
      </w:r>
      <w:r w:rsidRPr="00C2011C">
        <w:fldChar w:fldCharType="separate"/>
      </w:r>
      <w:r w:rsidR="008B3B68">
        <w:rPr>
          <w:noProof/>
        </w:rPr>
        <w:t>272</w:t>
      </w:r>
      <w:r w:rsidRPr="00C2011C">
        <w:fldChar w:fldCharType="end"/>
      </w:r>
      <w:r w:rsidRPr="00853ACF">
        <w:t>.  </w:t>
      </w:r>
      <w:r w:rsidR="00C66EAF">
        <w:t>Having</w:t>
      </w:r>
      <w:r w:rsidRPr="00006A1A" w:rsidR="000565F1">
        <w:rPr>
          <w:szCs w:val="24"/>
        </w:rPr>
        <w:t xml:space="preserve"> regard to the </w:t>
      </w:r>
      <w:r w:rsidR="003466E7">
        <w:rPr>
          <w:szCs w:val="24"/>
        </w:rPr>
        <w:t>circumstances</w:t>
      </w:r>
      <w:r w:rsidRPr="00006A1A" w:rsidR="000565F1">
        <w:rPr>
          <w:szCs w:val="24"/>
        </w:rPr>
        <w:t xml:space="preserve"> of the present case</w:t>
      </w:r>
      <w:r w:rsidR="00A302F9">
        <w:rPr>
          <w:szCs w:val="24"/>
        </w:rPr>
        <w:t xml:space="preserve"> </w:t>
      </w:r>
      <w:r w:rsidRPr="003665CE" w:rsidR="00A302F9">
        <w:t>(</w:t>
      </w:r>
      <w:r w:rsidR="00A302F9">
        <w:t>see paragraphs</w:t>
      </w:r>
      <w:r w:rsidRPr="003665CE" w:rsidR="00A302F9">
        <w:t xml:space="preserve"> </w:t>
      </w:r>
      <w:r w:rsidR="00523915">
        <w:t>220</w:t>
      </w:r>
      <w:r w:rsidR="00AE3A2D">
        <w:t>-</w:t>
      </w:r>
      <w:r w:rsidR="00523915">
        <w:t>21</w:t>
      </w:r>
      <w:r w:rsidRPr="003665CE" w:rsidR="00A302F9">
        <w:t xml:space="preserve"> </w:t>
      </w:r>
      <w:r w:rsidR="00A302F9">
        <w:t>above</w:t>
      </w:r>
      <w:r w:rsidRPr="003665CE" w:rsidR="00A302F9">
        <w:t>)</w:t>
      </w:r>
      <w:r w:rsidR="00266F9B">
        <w:rPr>
          <w:szCs w:val="24"/>
        </w:rPr>
        <w:t>,</w:t>
      </w:r>
      <w:r w:rsidR="00C66EAF">
        <w:t xml:space="preserve"> t</w:t>
      </w:r>
      <w:r w:rsidRPr="003F0F41" w:rsidR="00C66EAF">
        <w:t>he Court consider</w:t>
      </w:r>
      <w:r w:rsidR="00C66EAF">
        <w:t>s</w:t>
      </w:r>
      <w:r w:rsidRPr="003F0F41" w:rsidR="00C66EAF">
        <w:t xml:space="preserve"> that</w:t>
      </w:r>
      <w:r w:rsidR="005C715F">
        <w:t>,</w:t>
      </w:r>
      <w:r w:rsidRPr="005C715F" w:rsidR="005C715F">
        <w:rPr>
          <w:szCs w:val="24"/>
        </w:rPr>
        <w:t xml:space="preserve"> </w:t>
      </w:r>
      <w:r w:rsidRPr="00006A1A" w:rsidR="005C715F">
        <w:rPr>
          <w:szCs w:val="24"/>
        </w:rPr>
        <w:t>in the absence of domestic remedies,</w:t>
      </w:r>
      <w:r w:rsidR="00C66EAF">
        <w:t xml:space="preserve"> </w:t>
      </w:r>
      <w:r w:rsidRPr="00006A1A" w:rsidR="000565F1">
        <w:rPr>
          <w:szCs w:val="24"/>
        </w:rPr>
        <w:t>it would have awarded the sum of EUR</w:t>
      </w:r>
      <w:r w:rsidR="000565F1">
        <w:rPr>
          <w:szCs w:val="24"/>
        </w:rPr>
        <w:t xml:space="preserve"> 24</w:t>
      </w:r>
      <w:r w:rsidRPr="00006A1A" w:rsidR="000565F1">
        <w:rPr>
          <w:szCs w:val="24"/>
        </w:rPr>
        <w:t>,</w:t>
      </w:r>
      <w:r w:rsidR="00647CE6">
        <w:rPr>
          <w:szCs w:val="24"/>
        </w:rPr>
        <w:t>0</w:t>
      </w:r>
      <w:r w:rsidRPr="00006A1A" w:rsidR="000565F1">
        <w:rPr>
          <w:szCs w:val="24"/>
        </w:rPr>
        <w:t>00. It notes that the applicant</w:t>
      </w:r>
      <w:r w:rsidR="00092C8C">
        <w:rPr>
          <w:szCs w:val="24"/>
        </w:rPr>
        <w:t>s</w:t>
      </w:r>
      <w:r w:rsidRPr="00006A1A" w:rsidR="000565F1">
        <w:rPr>
          <w:szCs w:val="24"/>
        </w:rPr>
        <w:t xml:space="preserve"> </w:t>
      </w:r>
      <w:r w:rsidR="00092C8C">
        <w:rPr>
          <w:szCs w:val="24"/>
        </w:rPr>
        <w:t>were</w:t>
      </w:r>
      <w:r w:rsidRPr="00006A1A" w:rsidR="000565F1">
        <w:rPr>
          <w:szCs w:val="24"/>
        </w:rPr>
        <w:t xml:space="preserve"> awarded </w:t>
      </w:r>
      <w:r w:rsidR="00266F9B">
        <w:rPr>
          <w:szCs w:val="24"/>
        </w:rPr>
        <w:t>EUR</w:t>
      </w:r>
      <w:r w:rsidR="009E14C6">
        <w:rPr>
          <w:szCs w:val="24"/>
        </w:rPr>
        <w:t xml:space="preserve"> </w:t>
      </w:r>
      <w:r w:rsidR="000565F1">
        <w:rPr>
          <w:szCs w:val="24"/>
        </w:rPr>
        <w:t>2,45</w:t>
      </w:r>
      <w:r w:rsidRPr="00006A1A" w:rsidR="000565F1">
        <w:rPr>
          <w:szCs w:val="24"/>
        </w:rPr>
        <w:t>0 by the Court of Appeal</w:t>
      </w:r>
      <w:r w:rsidR="00092C8C">
        <w:rPr>
          <w:szCs w:val="24"/>
        </w:rPr>
        <w:t xml:space="preserve">, which is </w:t>
      </w:r>
      <w:r w:rsidR="000565F1">
        <w:rPr>
          <w:szCs w:val="24"/>
        </w:rPr>
        <w:t>approximately 10</w:t>
      </w:r>
      <w:r w:rsidRPr="00006A1A" w:rsidR="000565F1">
        <w:rPr>
          <w:szCs w:val="24"/>
        </w:rPr>
        <w:t xml:space="preserve">% of what </w:t>
      </w:r>
      <w:r w:rsidR="00092C8C">
        <w:rPr>
          <w:szCs w:val="24"/>
        </w:rPr>
        <w:t>the Court would have awarded the</w:t>
      </w:r>
      <w:r w:rsidR="00415950">
        <w:rPr>
          <w:szCs w:val="24"/>
        </w:rPr>
        <w:t>m</w:t>
      </w:r>
      <w:r w:rsidRPr="00006A1A" w:rsidR="000565F1">
        <w:rPr>
          <w:szCs w:val="24"/>
        </w:rPr>
        <w:t xml:space="preserve">. </w:t>
      </w:r>
      <w:r w:rsidR="00104E6D">
        <w:rPr>
          <w:szCs w:val="24"/>
        </w:rPr>
        <w:t>In the Court</w:t>
      </w:r>
      <w:r w:rsidR="00E6191D">
        <w:rPr>
          <w:szCs w:val="24"/>
        </w:rPr>
        <w:t>’</w:t>
      </w:r>
      <w:r w:rsidR="00104E6D">
        <w:rPr>
          <w:szCs w:val="24"/>
        </w:rPr>
        <w:t>s view, t</w:t>
      </w:r>
      <w:r w:rsidRPr="00006A1A" w:rsidR="000565F1">
        <w:rPr>
          <w:szCs w:val="24"/>
        </w:rPr>
        <w:t>his</w:t>
      </w:r>
      <w:r w:rsidR="00266F9B">
        <w:rPr>
          <w:szCs w:val="24"/>
        </w:rPr>
        <w:t xml:space="preserve"> fact</w:t>
      </w:r>
      <w:r w:rsidR="00AD74FD">
        <w:rPr>
          <w:szCs w:val="24"/>
        </w:rPr>
        <w:t>or</w:t>
      </w:r>
      <w:r w:rsidRPr="00006A1A" w:rsidR="000565F1">
        <w:rPr>
          <w:szCs w:val="24"/>
        </w:rPr>
        <w:t xml:space="preserve"> in itself leads to a result which is manifestly unreasonable </w:t>
      </w:r>
      <w:r w:rsidR="00223B98">
        <w:rPr>
          <w:szCs w:val="24"/>
        </w:rPr>
        <w:t>having regard</w:t>
      </w:r>
      <w:r w:rsidR="003466E7">
        <w:rPr>
          <w:szCs w:val="24"/>
        </w:rPr>
        <w:t xml:space="preserve"> to</w:t>
      </w:r>
      <w:r w:rsidRPr="00006A1A" w:rsidR="000565F1">
        <w:rPr>
          <w:szCs w:val="24"/>
        </w:rPr>
        <w:t xml:space="preserve"> </w:t>
      </w:r>
      <w:r w:rsidR="00266F9B">
        <w:rPr>
          <w:szCs w:val="24"/>
        </w:rPr>
        <w:t>the criteria established in its</w:t>
      </w:r>
      <w:r w:rsidRPr="00006A1A" w:rsidR="000565F1">
        <w:rPr>
          <w:szCs w:val="24"/>
        </w:rPr>
        <w:t xml:space="preserve"> </w:t>
      </w:r>
      <w:r w:rsidR="00647CE6">
        <w:rPr>
          <w:szCs w:val="24"/>
        </w:rPr>
        <w:t>case</w:t>
      </w:r>
      <w:r w:rsidR="00266F9B">
        <w:rPr>
          <w:szCs w:val="24"/>
        </w:rPr>
        <w:t>-</w:t>
      </w:r>
      <w:r w:rsidR="00647CE6">
        <w:rPr>
          <w:szCs w:val="24"/>
        </w:rPr>
        <w:t>law</w:t>
      </w:r>
      <w:r w:rsidRPr="00006A1A" w:rsidR="000565F1">
        <w:rPr>
          <w:szCs w:val="24"/>
        </w:rPr>
        <w:t>.</w:t>
      </w:r>
    </w:p>
    <w:p w:rsidRPr="003F0F41" w:rsidR="00EA5DBF" w:rsidP="00104E6D" w:rsidRDefault="000565F1">
      <w:pPr>
        <w:ind w:firstLine="284"/>
        <w:jc w:val="both"/>
      </w:pPr>
      <w:r w:rsidRPr="00006A1A">
        <w:t xml:space="preserve">Having regard to the characteristics of the domestic remedy chosen by </w:t>
      </w:r>
      <w:smartTag w:uri="urn:schemas-microsoft-com:office:smarttags" w:element="place">
        <w:smartTag w:uri="urn:schemas-microsoft-com:office:smarttags" w:element="country-region">
          <w:r w:rsidRPr="00006A1A">
            <w:t>Italy</w:t>
          </w:r>
        </w:smartTag>
      </w:smartTag>
      <w:r w:rsidRPr="00006A1A">
        <w:t xml:space="preserve"> and the fact that</w:t>
      </w:r>
      <w:r w:rsidR="00104E6D">
        <w:t>,</w:t>
      </w:r>
      <w:r w:rsidRPr="00006A1A">
        <w:t xml:space="preserve"> notwithstanding this national remedy</w:t>
      </w:r>
      <w:r w:rsidR="00104E6D">
        <w:t>,</w:t>
      </w:r>
      <w:r w:rsidRPr="00006A1A">
        <w:t xml:space="preserve"> the Court</w:t>
      </w:r>
      <w:r w:rsidR="001A4894">
        <w:t xml:space="preserve"> </w:t>
      </w:r>
      <w:r w:rsidRPr="00006A1A">
        <w:t xml:space="preserve">has found a violation, </w:t>
      </w:r>
      <w:r w:rsidR="005C715F">
        <w:t>it considers,</w:t>
      </w:r>
      <w:r w:rsidR="001A4894">
        <w:t xml:space="preserve"> ruling</w:t>
      </w:r>
      <w:r w:rsidRPr="001A4894" w:rsidR="001A4894">
        <w:t xml:space="preserve"> </w:t>
      </w:r>
      <w:r w:rsidR="001A4894">
        <w:t>on an equitable basis,</w:t>
      </w:r>
      <w:r w:rsidRPr="005C715F" w:rsidR="005C715F">
        <w:t xml:space="preserve"> </w:t>
      </w:r>
      <w:r w:rsidRPr="00006A1A">
        <w:t>that the applicant</w:t>
      </w:r>
      <w:r w:rsidR="00CD690D">
        <w:t>s</w:t>
      </w:r>
      <w:r w:rsidRPr="00006A1A">
        <w:t xml:space="preserve"> should be</w:t>
      </w:r>
      <w:r>
        <w:t xml:space="preserve"> awarded </w:t>
      </w:r>
      <w:r w:rsidRPr="00006A1A">
        <w:t>EUR</w:t>
      </w:r>
      <w:r w:rsidR="00387ED3">
        <w:t xml:space="preserve"> 8</w:t>
      </w:r>
      <w:r>
        <w:t>,4</w:t>
      </w:r>
      <w:r w:rsidRPr="00006A1A">
        <w:t>00</w:t>
      </w:r>
      <w:r w:rsidRPr="00B03DE1">
        <w:t>.</w:t>
      </w:r>
    </w:p>
    <w:p w:rsidRPr="003F0F41" w:rsidR="00EA5DBF" w:rsidP="00EA5DBF" w:rsidRDefault="00152D42">
      <w:pPr>
        <w:pStyle w:val="JuParaChar1"/>
        <w:rPr>
          <w:lang w:val="en-GB"/>
        </w:rPr>
      </w:pPr>
      <w:r>
        <w:rPr>
          <w:lang w:val="en-GB"/>
        </w:rPr>
        <w:t>As no relevant allegations have been made, n</w:t>
      </w:r>
      <w:r w:rsidRPr="003F0F41" w:rsidR="003F0F41">
        <w:rPr>
          <w:lang w:val="en-GB"/>
        </w:rPr>
        <w:t>o amount should be added on account of</w:t>
      </w:r>
      <w:r>
        <w:rPr>
          <w:lang w:val="en-GB"/>
        </w:rPr>
        <w:t xml:space="preserve"> any</w:t>
      </w:r>
      <w:r w:rsidR="00F753A4">
        <w:rPr>
          <w:lang w:val="en-GB"/>
        </w:rPr>
        <w:t xml:space="preserve"> “fu</w:t>
      </w:r>
      <w:r w:rsidRPr="003F0F41" w:rsidR="003F0F41">
        <w:rPr>
          <w:lang w:val="en-GB"/>
        </w:rPr>
        <w:t xml:space="preserve">rther </w:t>
      </w:r>
      <w:r w:rsidR="003F0F41">
        <w:rPr>
          <w:lang w:val="en-GB"/>
        </w:rPr>
        <w:t>frustration”</w:t>
      </w:r>
      <w:r w:rsidR="00A33BB9">
        <w:rPr>
          <w:lang w:val="en-GB"/>
        </w:rPr>
        <w:t xml:space="preserve"> that may have been</w:t>
      </w:r>
      <w:r w:rsidRPr="003F0F41" w:rsidR="003F0F41">
        <w:rPr>
          <w:lang w:val="en-GB"/>
        </w:rPr>
        <w:t xml:space="preserve"> caused</w:t>
      </w:r>
      <w:r w:rsidR="003F0F41">
        <w:rPr>
          <w:lang w:val="en-GB"/>
        </w:rPr>
        <w:t xml:space="preserve"> by the delay in paying the amount due from the State</w:t>
      </w:r>
      <w:r w:rsidRPr="003F0F41" w:rsidR="00EA5DBF">
        <w:rPr>
          <w:lang w:val="en-GB"/>
        </w:rPr>
        <w:t>.</w:t>
      </w:r>
    </w:p>
    <w:p w:rsidRPr="00F753A4"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273</w:t>
      </w:r>
      <w:r w:rsidRPr="00C2011C">
        <w:fldChar w:fldCharType="end"/>
      </w:r>
      <w:r w:rsidRPr="00853ACF">
        <w:rPr>
          <w:lang w:val="en-GB"/>
        </w:rPr>
        <w:t>.  </w:t>
      </w:r>
      <w:r w:rsidRPr="00F753A4" w:rsidR="00F753A4">
        <w:rPr>
          <w:lang w:val="en-GB"/>
        </w:rPr>
        <w:t>Accordingly</w:t>
      </w:r>
      <w:r w:rsidRPr="00F753A4">
        <w:rPr>
          <w:lang w:val="en-GB"/>
        </w:rPr>
        <w:t xml:space="preserve">, </w:t>
      </w:r>
      <w:r w:rsidRPr="00F753A4" w:rsidR="00F753A4">
        <w:rPr>
          <w:lang w:val="en-GB"/>
        </w:rPr>
        <w:t>the applicants are entitled to compensation for</w:t>
      </w:r>
      <w:r w:rsidRPr="00F753A4">
        <w:rPr>
          <w:lang w:val="en-GB"/>
        </w:rPr>
        <w:t xml:space="preserve"> </w:t>
      </w:r>
      <w:r w:rsidRPr="00F753A4" w:rsidR="00F753A4">
        <w:rPr>
          <w:lang w:val="en-GB"/>
        </w:rPr>
        <w:t>non-pecuniary damage</w:t>
      </w:r>
      <w:r w:rsidRPr="00F753A4">
        <w:rPr>
          <w:lang w:val="en-GB"/>
        </w:rPr>
        <w:t xml:space="preserve"> </w:t>
      </w:r>
      <w:r w:rsidRPr="00F753A4" w:rsidR="00F753A4">
        <w:rPr>
          <w:lang w:val="en-GB"/>
        </w:rPr>
        <w:t>in a</w:t>
      </w:r>
      <w:r w:rsidR="001A4894">
        <w:rPr>
          <w:lang w:val="en-GB"/>
        </w:rPr>
        <w:t xml:space="preserve"> total</w:t>
      </w:r>
      <w:r w:rsidRPr="00A33BB9" w:rsidR="00F753A4">
        <w:rPr>
          <w:lang w:val="en-GB"/>
        </w:rPr>
        <w:t xml:space="preserve"> sum</w:t>
      </w:r>
      <w:r w:rsidRPr="00F753A4" w:rsidR="00F753A4">
        <w:rPr>
          <w:lang w:val="en-GB"/>
        </w:rPr>
        <w:t xml:space="preserve"> of</w:t>
      </w:r>
      <w:r w:rsidRPr="00F753A4">
        <w:rPr>
          <w:lang w:val="en-GB"/>
        </w:rPr>
        <w:t xml:space="preserve"> </w:t>
      </w:r>
      <w:r w:rsidRPr="00F753A4" w:rsidR="00F753A4">
        <w:rPr>
          <w:lang w:val="en-GB"/>
        </w:rPr>
        <w:t xml:space="preserve">EUR </w:t>
      </w:r>
      <w:r w:rsidR="00387ED3">
        <w:rPr>
          <w:lang w:val="en-GB"/>
        </w:rPr>
        <w:t>8</w:t>
      </w:r>
      <w:r w:rsidRPr="00F753A4" w:rsidR="00F753A4">
        <w:rPr>
          <w:lang w:val="en-GB"/>
        </w:rPr>
        <w:t>,</w:t>
      </w:r>
      <w:r w:rsidR="00387ED3">
        <w:rPr>
          <w:lang w:val="en-GB"/>
        </w:rPr>
        <w:t>400</w:t>
      </w:r>
      <w:r w:rsidRPr="00F753A4">
        <w:rPr>
          <w:lang w:val="en-GB"/>
        </w:rPr>
        <w:t xml:space="preserve">, </w:t>
      </w:r>
      <w:r w:rsidR="00A33BB9">
        <w:rPr>
          <w:lang w:val="en-GB"/>
        </w:rPr>
        <w:t xml:space="preserve">that is, </w:t>
      </w:r>
      <w:r w:rsidR="00387ED3">
        <w:rPr>
          <w:lang w:val="en-GB"/>
        </w:rPr>
        <w:t>EUR 2</w:t>
      </w:r>
      <w:r w:rsidR="00415950">
        <w:rPr>
          <w:lang w:val="en-GB"/>
        </w:rPr>
        <w:t>,</w:t>
      </w:r>
      <w:r w:rsidR="00387ED3">
        <w:rPr>
          <w:lang w:val="en-GB"/>
        </w:rPr>
        <w:t>100</w:t>
      </w:r>
      <w:r w:rsidRPr="00415950" w:rsidR="00415950">
        <w:rPr>
          <w:lang w:val="en-GB"/>
        </w:rPr>
        <w:t xml:space="preserve"> </w:t>
      </w:r>
      <w:r w:rsidR="00415950">
        <w:rPr>
          <w:lang w:val="en-GB"/>
        </w:rPr>
        <w:t>each</w:t>
      </w:r>
      <w:r w:rsidR="00523915">
        <w:rPr>
          <w:lang w:val="en-GB"/>
        </w:rPr>
        <w:t>,</w:t>
      </w:r>
      <w:r w:rsidRPr="00415950" w:rsidR="00415950">
        <w:rPr>
          <w:lang w:val="en-GB"/>
        </w:rPr>
        <w:t xml:space="preserve"> </w:t>
      </w:r>
      <w:r w:rsidRPr="00F753A4">
        <w:rPr>
          <w:lang w:val="en-GB"/>
        </w:rPr>
        <w:t>plus</w:t>
      </w:r>
      <w:r w:rsidRPr="00F753A4" w:rsidR="00F753A4">
        <w:rPr>
          <w:lang w:val="en-GB"/>
        </w:rPr>
        <w:t xml:space="preserve"> any</w:t>
      </w:r>
      <w:r w:rsidR="00F753A4">
        <w:rPr>
          <w:lang w:val="en-GB"/>
        </w:rPr>
        <w:t xml:space="preserve"> tax that may be chargeable</w:t>
      </w:r>
      <w:r w:rsidR="001A4894">
        <w:rPr>
          <w:lang w:val="en-GB"/>
        </w:rPr>
        <w:t xml:space="preserve"> on that amount</w:t>
      </w:r>
      <w:r w:rsidR="00F753A4">
        <w:rPr>
          <w:lang w:val="en-GB"/>
        </w:rPr>
        <w:t>.</w:t>
      </w:r>
    </w:p>
    <w:p w:rsidRPr="00F259A9" w:rsidR="00EA5DBF" w:rsidP="00EB4591" w:rsidRDefault="00EB4591">
      <w:pPr>
        <w:pStyle w:val="JuH1"/>
        <w:rPr>
          <w:lang w:val="en-GB"/>
        </w:rPr>
      </w:pPr>
      <w:r w:rsidRPr="00F259A9">
        <w:rPr>
          <w:lang w:val="en-GB"/>
        </w:rPr>
        <w:t>3</w:t>
      </w:r>
      <w:r w:rsidRPr="00F259A9" w:rsidR="00EA5DBF">
        <w:rPr>
          <w:lang w:val="en-GB"/>
        </w:rPr>
        <w:t>.  </w:t>
      </w:r>
      <w:r w:rsidRPr="00F259A9" w:rsidR="00F753A4">
        <w:rPr>
          <w:lang w:val="en-GB"/>
        </w:rPr>
        <w:t>Non-pecuniary damage in respect of the other</w:t>
      </w:r>
      <w:r w:rsidRPr="00F259A9" w:rsidR="00EA5DBF">
        <w:rPr>
          <w:lang w:val="en-GB"/>
        </w:rPr>
        <w:t xml:space="preserve"> violations </w:t>
      </w:r>
      <w:r w:rsidRPr="00F259A9" w:rsidR="00F753A4">
        <w:rPr>
          <w:lang w:val="en-GB"/>
        </w:rPr>
        <w:t>found</w:t>
      </w:r>
    </w:p>
    <w:p w:rsidRPr="00F259A9" w:rsidR="00EA5DBF" w:rsidP="00124007" w:rsidRDefault="00C5575E">
      <w:pPr>
        <w:pStyle w:val="JuHa"/>
        <w:outlineLvl w:val="0"/>
        <w:rPr>
          <w:lang w:val="en-GB"/>
        </w:rPr>
      </w:pPr>
      <w:r>
        <w:rPr>
          <w:lang w:val="en-GB"/>
        </w:rPr>
        <w:t>(</w:t>
      </w:r>
      <w:r w:rsidRPr="00F259A9" w:rsidR="00EB4591">
        <w:rPr>
          <w:lang w:val="en-GB"/>
        </w:rPr>
        <w:t>a</w:t>
      </w:r>
      <w:r>
        <w:rPr>
          <w:lang w:val="en-GB"/>
        </w:rPr>
        <w:t>)</w:t>
      </w:r>
      <w:r w:rsidRPr="00F259A9" w:rsidR="00EA5DBF">
        <w:rPr>
          <w:lang w:val="en-GB"/>
        </w:rPr>
        <w:t>  </w:t>
      </w:r>
      <w:r w:rsidRPr="00F259A9" w:rsidR="00F753A4">
        <w:rPr>
          <w:lang w:val="en-GB"/>
        </w:rPr>
        <w:t>The Chamber judgment</w:t>
      </w:r>
    </w:p>
    <w:p w:rsidRPr="00F753A4"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274</w:t>
      </w:r>
      <w:r w:rsidRPr="00C2011C">
        <w:fldChar w:fldCharType="end"/>
      </w:r>
      <w:r w:rsidRPr="00853ACF">
        <w:rPr>
          <w:lang w:val="en-GB"/>
        </w:rPr>
        <w:t>.  </w:t>
      </w:r>
      <w:r w:rsidRPr="00F753A4" w:rsidR="00F753A4">
        <w:rPr>
          <w:lang w:val="en-GB"/>
        </w:rPr>
        <w:t>In its judgment, the Chamber held</w:t>
      </w:r>
      <w:r w:rsidR="00152D42">
        <w:rPr>
          <w:lang w:val="en-GB"/>
        </w:rPr>
        <w:t xml:space="preserve"> that,</w:t>
      </w:r>
      <w:r w:rsidRPr="00F753A4" w:rsidR="00F753A4">
        <w:rPr>
          <w:lang w:val="en-GB"/>
        </w:rPr>
        <w:t xml:space="preserve"> on this point</w:t>
      </w:r>
      <w:r w:rsidR="00152D42">
        <w:rPr>
          <w:lang w:val="en-GB"/>
        </w:rPr>
        <w:t>,</w:t>
      </w:r>
      <w:r w:rsidRPr="00F753A4">
        <w:rPr>
          <w:lang w:val="en-GB"/>
        </w:rPr>
        <w:t xml:space="preserve"> </w:t>
      </w:r>
      <w:r w:rsidRPr="00F753A4" w:rsidR="00F753A4">
        <w:rPr>
          <w:lang w:val="en-GB"/>
        </w:rPr>
        <w:t>the</w:t>
      </w:r>
      <w:r w:rsidRPr="00F753A4">
        <w:rPr>
          <w:lang w:val="en-GB"/>
        </w:rPr>
        <w:t xml:space="preserve"> question </w:t>
      </w:r>
      <w:r w:rsidRPr="00F753A4" w:rsidR="00F753A4">
        <w:rPr>
          <w:lang w:val="en-GB"/>
        </w:rPr>
        <w:t>of the application of A</w:t>
      </w:r>
      <w:r w:rsidRPr="00F753A4">
        <w:rPr>
          <w:lang w:val="en-GB"/>
        </w:rPr>
        <w:t xml:space="preserve">rticle 41 </w:t>
      </w:r>
      <w:r w:rsidRPr="00F753A4" w:rsidR="00F753A4">
        <w:rPr>
          <w:lang w:val="en-GB"/>
        </w:rPr>
        <w:t>was not ready for d</w:t>
      </w:r>
      <w:r w:rsidR="00F753A4">
        <w:rPr>
          <w:lang w:val="en-GB"/>
        </w:rPr>
        <w:t>ecision and reserved it</w:t>
      </w:r>
      <w:r w:rsidRPr="00F753A4">
        <w:rPr>
          <w:lang w:val="en-GB"/>
        </w:rPr>
        <w:t xml:space="preserve"> (</w:t>
      </w:r>
      <w:r w:rsidR="00F753A4">
        <w:rPr>
          <w:lang w:val="en-GB"/>
        </w:rPr>
        <w:t xml:space="preserve">see </w:t>
      </w:r>
      <w:r w:rsidR="00DC0141">
        <w:rPr>
          <w:lang w:val="en-GB"/>
        </w:rPr>
        <w:t>paragraph</w:t>
      </w:r>
      <w:r w:rsidRPr="00F753A4" w:rsidR="001A4894">
        <w:rPr>
          <w:lang w:val="en-GB"/>
        </w:rPr>
        <w:t xml:space="preserve"> </w:t>
      </w:r>
      <w:r w:rsidRPr="00F753A4">
        <w:rPr>
          <w:lang w:val="en-GB"/>
        </w:rPr>
        <w:t xml:space="preserve">115 </w:t>
      </w:r>
      <w:r w:rsidR="00F753A4">
        <w:rPr>
          <w:lang w:val="en-GB"/>
        </w:rPr>
        <w:t>of the Chamber judgment)</w:t>
      </w:r>
      <w:r w:rsidRPr="00F753A4">
        <w:rPr>
          <w:lang w:val="en-GB"/>
        </w:rPr>
        <w:t>.</w:t>
      </w:r>
    </w:p>
    <w:p w:rsidRPr="00F259A9" w:rsidR="00EA5DBF" w:rsidP="00124007" w:rsidRDefault="00C5575E">
      <w:pPr>
        <w:pStyle w:val="JuHa"/>
        <w:outlineLvl w:val="0"/>
        <w:rPr>
          <w:lang w:val="en-GB"/>
        </w:rPr>
      </w:pPr>
      <w:r>
        <w:rPr>
          <w:lang w:val="en-GB"/>
        </w:rPr>
        <w:t>(</w:t>
      </w:r>
      <w:r w:rsidRPr="00F259A9" w:rsidR="00EB4591">
        <w:rPr>
          <w:lang w:val="en-GB"/>
        </w:rPr>
        <w:t>b</w:t>
      </w:r>
      <w:r>
        <w:rPr>
          <w:lang w:val="en-GB"/>
        </w:rPr>
        <w:t>)</w:t>
      </w:r>
      <w:r w:rsidRPr="00F259A9" w:rsidR="00EA5DBF">
        <w:rPr>
          <w:lang w:val="en-GB"/>
        </w:rPr>
        <w:t>  </w:t>
      </w:r>
      <w:r w:rsidR="00A70510">
        <w:rPr>
          <w:lang w:val="en-GB"/>
        </w:rPr>
        <w:t>Submissions</w:t>
      </w:r>
      <w:r w:rsidRPr="00F259A9" w:rsidR="00CF1235">
        <w:rPr>
          <w:lang w:val="en-GB"/>
        </w:rPr>
        <w:t xml:space="preserve"> of those appearing before the Court</w:t>
      </w:r>
    </w:p>
    <w:p w:rsidRPr="00285346" w:rsidR="00EA5DBF" w:rsidP="00632F8E" w:rsidRDefault="00C5575E">
      <w:pPr>
        <w:pStyle w:val="JuHi"/>
        <w:rPr>
          <w:lang w:val="en-GB"/>
        </w:rPr>
      </w:pPr>
      <w:r>
        <w:rPr>
          <w:lang w:val="en-GB"/>
        </w:rPr>
        <w:t>(</w:t>
      </w:r>
      <w:r w:rsidRPr="00285346" w:rsidR="00EB4591">
        <w:rPr>
          <w:lang w:val="en-GB"/>
        </w:rPr>
        <w:t>i</w:t>
      </w:r>
      <w:r>
        <w:rPr>
          <w:lang w:val="en-GB"/>
        </w:rPr>
        <w:t>)</w:t>
      </w:r>
      <w:r w:rsidRPr="00285346" w:rsidR="00EA5DBF">
        <w:rPr>
          <w:lang w:val="en-GB"/>
        </w:rPr>
        <w:t>  </w:t>
      </w:r>
      <w:r w:rsidRPr="00285346" w:rsidR="00CF1235">
        <w:rPr>
          <w:lang w:val="en-GB"/>
        </w:rPr>
        <w:t>The applicants</w:t>
      </w:r>
    </w:p>
    <w:p w:rsidRPr="00CF1235"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275</w:t>
      </w:r>
      <w:r w:rsidRPr="00C2011C">
        <w:fldChar w:fldCharType="end"/>
      </w:r>
      <w:r w:rsidRPr="00853ACF">
        <w:rPr>
          <w:lang w:val="en-GB"/>
        </w:rPr>
        <w:t>.  </w:t>
      </w:r>
      <w:r w:rsidRPr="00CF1235" w:rsidR="00CF1235">
        <w:rPr>
          <w:lang w:val="en-GB"/>
        </w:rPr>
        <w:t>The applicants claimed</w:t>
      </w:r>
      <w:r w:rsidRPr="00CF1235">
        <w:rPr>
          <w:lang w:val="en-GB"/>
        </w:rPr>
        <w:t xml:space="preserve"> </w:t>
      </w:r>
      <w:r w:rsidRPr="00CF1235" w:rsidR="00CF1235">
        <w:rPr>
          <w:lang w:val="en-GB"/>
        </w:rPr>
        <w:t xml:space="preserve">EUR </w:t>
      </w:r>
      <w:r w:rsidRPr="00CF1235">
        <w:rPr>
          <w:lang w:val="en-GB"/>
        </w:rPr>
        <w:t>6</w:t>
      </w:r>
      <w:r w:rsidRPr="00CF1235" w:rsidR="00CF1235">
        <w:rPr>
          <w:lang w:val="en-GB"/>
        </w:rPr>
        <w:t>,</w:t>
      </w:r>
      <w:r w:rsidRPr="00CF1235">
        <w:rPr>
          <w:lang w:val="en-GB"/>
        </w:rPr>
        <w:t>500</w:t>
      </w:r>
      <w:r w:rsidR="009E14C6">
        <w:rPr>
          <w:lang w:val="en-GB"/>
        </w:rPr>
        <w:t xml:space="preserve"> </w:t>
      </w:r>
      <w:r w:rsidRPr="00CF1235" w:rsidR="00CF1235">
        <w:rPr>
          <w:lang w:val="en-GB"/>
        </w:rPr>
        <w:t xml:space="preserve">each in compensation for the non-pecuniary damage </w:t>
      </w:r>
      <w:r w:rsidR="00CF1235">
        <w:rPr>
          <w:lang w:val="en-GB"/>
        </w:rPr>
        <w:t xml:space="preserve">stemming from </w:t>
      </w:r>
      <w:r w:rsidRPr="00CF1235" w:rsidR="00CF1235">
        <w:rPr>
          <w:lang w:val="en-GB"/>
        </w:rPr>
        <w:t xml:space="preserve">the unfairness of the proceedings and the </w:t>
      </w:r>
      <w:r w:rsidR="00CF1235">
        <w:rPr>
          <w:lang w:val="en-GB"/>
        </w:rPr>
        <w:t>interference with their</w:t>
      </w:r>
      <w:r w:rsidRPr="00CF1235">
        <w:rPr>
          <w:lang w:val="en-GB"/>
        </w:rPr>
        <w:t xml:space="preserve"> </w:t>
      </w:r>
      <w:r w:rsidR="00CF1235">
        <w:rPr>
          <w:lang w:val="en-GB"/>
        </w:rPr>
        <w:t>right to the peaceful enjoyment of their possessions</w:t>
      </w:r>
      <w:r w:rsidRPr="00CF1235">
        <w:rPr>
          <w:lang w:val="en-GB"/>
        </w:rPr>
        <w:t xml:space="preserve">. </w:t>
      </w:r>
      <w:r w:rsidRPr="00CF1235" w:rsidR="00CF1235">
        <w:rPr>
          <w:lang w:val="en-GB"/>
        </w:rPr>
        <w:t>In total</w:t>
      </w:r>
      <w:r w:rsidR="00A33BB9">
        <w:rPr>
          <w:lang w:val="en-GB"/>
        </w:rPr>
        <w:t>,</w:t>
      </w:r>
      <w:r w:rsidRPr="00CF1235" w:rsidR="00CF1235">
        <w:rPr>
          <w:lang w:val="en-GB"/>
        </w:rPr>
        <w:t xml:space="preserve"> the applicants therefore claimed</w:t>
      </w:r>
      <w:r w:rsidRPr="00CF1235">
        <w:rPr>
          <w:lang w:val="en-GB"/>
        </w:rPr>
        <w:t xml:space="preserve"> </w:t>
      </w:r>
      <w:r w:rsidRPr="00CF1235" w:rsidR="00CF1235">
        <w:rPr>
          <w:lang w:val="en-GB"/>
        </w:rPr>
        <w:t xml:space="preserve">EUR </w:t>
      </w:r>
      <w:r w:rsidR="00DC0141">
        <w:rPr>
          <w:lang w:val="en-GB"/>
        </w:rPr>
        <w:t>26</w:t>
      </w:r>
      <w:r w:rsidRPr="00CF1235" w:rsidR="00CF1235">
        <w:rPr>
          <w:lang w:val="en-GB"/>
        </w:rPr>
        <w:t>,</w:t>
      </w:r>
      <w:r w:rsidRPr="00CF1235">
        <w:rPr>
          <w:lang w:val="en-GB"/>
        </w:rPr>
        <w:t>000</w:t>
      </w:r>
      <w:r w:rsidRPr="00CF1235" w:rsidR="00CF1235">
        <w:rPr>
          <w:lang w:val="en-GB"/>
        </w:rPr>
        <w:t xml:space="preserve"> under the head of n</w:t>
      </w:r>
      <w:r w:rsidR="00CF1235">
        <w:rPr>
          <w:lang w:val="en-GB"/>
        </w:rPr>
        <w:t>on-pecuniary damage for these</w:t>
      </w:r>
      <w:r w:rsidRPr="00CF1235">
        <w:rPr>
          <w:lang w:val="en-GB"/>
        </w:rPr>
        <w:t xml:space="preserve"> violations.</w:t>
      </w:r>
    </w:p>
    <w:p w:rsidRPr="00285346" w:rsidR="00EA5DBF" w:rsidP="00124007" w:rsidRDefault="00C5575E">
      <w:pPr>
        <w:pStyle w:val="JuHi"/>
        <w:outlineLvl w:val="0"/>
        <w:rPr>
          <w:lang w:val="en-GB"/>
        </w:rPr>
      </w:pPr>
      <w:r>
        <w:rPr>
          <w:lang w:val="en-GB"/>
        </w:rPr>
        <w:t>(</w:t>
      </w:r>
      <w:r w:rsidRPr="00285346" w:rsidR="00EB4591">
        <w:rPr>
          <w:lang w:val="en-GB"/>
        </w:rPr>
        <w:t>ii</w:t>
      </w:r>
      <w:r>
        <w:rPr>
          <w:lang w:val="en-GB"/>
        </w:rPr>
        <w:t>)</w:t>
      </w:r>
      <w:r w:rsidRPr="00285346" w:rsidR="00EA5DBF">
        <w:rPr>
          <w:lang w:val="en-GB"/>
        </w:rPr>
        <w:t>  </w:t>
      </w:r>
      <w:r w:rsidRPr="00285346" w:rsidR="00795314">
        <w:rPr>
          <w:lang w:val="en-GB"/>
        </w:rPr>
        <w:t>The Government</w:t>
      </w:r>
    </w:p>
    <w:p w:rsidRPr="00D67478"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276</w:t>
      </w:r>
      <w:r w:rsidRPr="00C2011C">
        <w:fldChar w:fldCharType="end"/>
      </w:r>
      <w:r w:rsidRPr="00853ACF">
        <w:rPr>
          <w:lang w:val="en-GB"/>
        </w:rPr>
        <w:t>.  </w:t>
      </w:r>
      <w:r w:rsidRPr="00D67478" w:rsidR="00795314">
        <w:rPr>
          <w:lang w:val="en-GB"/>
        </w:rPr>
        <w:t xml:space="preserve">The Government did not </w:t>
      </w:r>
      <w:r w:rsidR="00A33BB9">
        <w:rPr>
          <w:lang w:val="en-GB"/>
        </w:rPr>
        <w:t>submit any observations</w:t>
      </w:r>
      <w:r w:rsidRPr="00D67478" w:rsidR="00795314">
        <w:rPr>
          <w:lang w:val="en-GB"/>
        </w:rPr>
        <w:t xml:space="preserve"> on this issue</w:t>
      </w:r>
      <w:r w:rsidRPr="00D67478">
        <w:rPr>
          <w:lang w:val="en-GB"/>
        </w:rPr>
        <w:t>.</w:t>
      </w:r>
    </w:p>
    <w:p w:rsidRPr="001A4894" w:rsidR="00EA5DBF" w:rsidP="00124007" w:rsidRDefault="00C5575E">
      <w:pPr>
        <w:pStyle w:val="JuHa"/>
        <w:outlineLvl w:val="0"/>
        <w:rPr>
          <w:lang w:val="en-GB"/>
        </w:rPr>
      </w:pPr>
      <w:r>
        <w:rPr>
          <w:lang w:val="en-GB"/>
        </w:rPr>
        <w:t>(</w:t>
      </w:r>
      <w:r w:rsidRPr="001A4894" w:rsidR="00EB4591">
        <w:rPr>
          <w:lang w:val="en-GB"/>
        </w:rPr>
        <w:t>c</w:t>
      </w:r>
      <w:r>
        <w:rPr>
          <w:lang w:val="en-GB"/>
        </w:rPr>
        <w:t>)</w:t>
      </w:r>
      <w:r w:rsidRPr="001A4894" w:rsidR="00EA5DBF">
        <w:rPr>
          <w:lang w:val="en-GB"/>
        </w:rPr>
        <w:t>  </w:t>
      </w:r>
      <w:r w:rsidRPr="001A4894" w:rsidR="00D67478">
        <w:rPr>
          <w:lang w:val="en-GB"/>
        </w:rPr>
        <w:t>The Court</w:t>
      </w:r>
      <w:r w:rsidR="00E6191D">
        <w:rPr>
          <w:lang w:val="en-GB"/>
        </w:rPr>
        <w:t>’</w:t>
      </w:r>
      <w:r w:rsidRPr="001A4894" w:rsidR="00D67478">
        <w:rPr>
          <w:lang w:val="en-GB"/>
        </w:rPr>
        <w:t>s assessment</w:t>
      </w:r>
    </w:p>
    <w:p w:rsidRPr="00D730B7"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277</w:t>
      </w:r>
      <w:r w:rsidRPr="00C2011C">
        <w:fldChar w:fldCharType="end"/>
      </w:r>
      <w:r w:rsidRPr="00853ACF">
        <w:rPr>
          <w:lang w:val="en-GB"/>
        </w:rPr>
        <w:t>.  </w:t>
      </w:r>
      <w:r w:rsidRPr="00D730B7" w:rsidR="00D730B7">
        <w:rPr>
          <w:lang w:val="en-GB"/>
        </w:rPr>
        <w:t xml:space="preserve">The Court considers that the applicants must have suffered </w:t>
      </w:r>
      <w:r w:rsidR="00077733">
        <w:rPr>
          <w:lang w:val="en-GB"/>
        </w:rPr>
        <w:t>some</w:t>
      </w:r>
      <w:r w:rsidRPr="00D730B7" w:rsidR="00D730B7">
        <w:rPr>
          <w:lang w:val="en-GB"/>
        </w:rPr>
        <w:t xml:space="preserve"> non-pecuniary damage as a result of the unjustified interference with their right</w:t>
      </w:r>
      <w:r w:rsidR="00D730B7">
        <w:rPr>
          <w:lang w:val="en-GB"/>
        </w:rPr>
        <w:t xml:space="preserve"> to</w:t>
      </w:r>
      <w:r w:rsidRPr="00D730B7" w:rsidR="00D730B7">
        <w:rPr>
          <w:lang w:val="en-GB"/>
        </w:rPr>
        <w:t xml:space="preserve"> the peaceful enjoym</w:t>
      </w:r>
      <w:r w:rsidR="00D730B7">
        <w:rPr>
          <w:lang w:val="en-GB"/>
        </w:rPr>
        <w:t>en</w:t>
      </w:r>
      <w:r w:rsidRPr="00D730B7" w:rsidR="00D730B7">
        <w:rPr>
          <w:lang w:val="en-GB"/>
        </w:rPr>
        <w:t>t of their possessions and the u</w:t>
      </w:r>
      <w:r w:rsidR="00D730B7">
        <w:rPr>
          <w:lang w:val="en-GB"/>
        </w:rPr>
        <w:t>nfairness of the proceedings</w:t>
      </w:r>
      <w:r w:rsidRPr="00D730B7">
        <w:rPr>
          <w:lang w:val="en-GB"/>
        </w:rPr>
        <w:t xml:space="preserve"> </w:t>
      </w:r>
      <w:r w:rsidRPr="00077733" w:rsidR="00077733">
        <w:rPr>
          <w:lang w:val="en-GB"/>
        </w:rPr>
        <w:t>which cannot be sufficiently compensated by the findin</w:t>
      </w:r>
      <w:r w:rsidR="00DC0141">
        <w:rPr>
          <w:lang w:val="en-GB"/>
        </w:rPr>
        <w:t xml:space="preserve">gs of </w:t>
      </w:r>
      <w:r w:rsidR="00077733">
        <w:rPr>
          <w:lang w:val="en-GB"/>
        </w:rPr>
        <w:t>violation</w:t>
      </w:r>
      <w:r w:rsidR="00DC0141">
        <w:rPr>
          <w:lang w:val="en-GB"/>
        </w:rPr>
        <w:t>s</w:t>
      </w:r>
      <w:r w:rsidRPr="00D730B7">
        <w:rPr>
          <w:lang w:val="en-GB"/>
        </w:rPr>
        <w:t>.</w:t>
      </w:r>
    </w:p>
    <w:p w:rsidRPr="00D730B7"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278</w:t>
      </w:r>
      <w:r w:rsidRPr="00C2011C">
        <w:fldChar w:fldCharType="end"/>
      </w:r>
      <w:r w:rsidRPr="00853ACF">
        <w:rPr>
          <w:lang w:val="en-GB"/>
        </w:rPr>
        <w:t>.  </w:t>
      </w:r>
      <w:r w:rsidRPr="00D730B7" w:rsidR="00D730B7">
        <w:rPr>
          <w:lang w:val="en-GB"/>
        </w:rPr>
        <w:t>Having regard to the facts of the case, and ruling on an equitable basis</w:t>
      </w:r>
      <w:r w:rsidRPr="00D730B7">
        <w:rPr>
          <w:lang w:val="en-GB"/>
        </w:rPr>
        <w:t xml:space="preserve">, </w:t>
      </w:r>
      <w:r w:rsidRPr="00D730B7" w:rsidR="00D730B7">
        <w:rPr>
          <w:lang w:val="en-GB"/>
        </w:rPr>
        <w:t>the</w:t>
      </w:r>
      <w:r w:rsidRPr="00D730B7">
        <w:rPr>
          <w:lang w:val="en-GB"/>
        </w:rPr>
        <w:t xml:space="preserve"> Cour</w:t>
      </w:r>
      <w:r w:rsidRPr="00D730B7" w:rsidR="00D730B7">
        <w:rPr>
          <w:lang w:val="en-GB"/>
        </w:rPr>
        <w:t>t award</w:t>
      </w:r>
      <w:r w:rsidR="00D730B7">
        <w:rPr>
          <w:lang w:val="en-GB"/>
        </w:rPr>
        <w:t>s the applicants</w:t>
      </w:r>
      <w:r w:rsidRPr="00D730B7">
        <w:rPr>
          <w:lang w:val="en-GB"/>
        </w:rPr>
        <w:t xml:space="preserve"> </w:t>
      </w:r>
      <w:r w:rsidR="00D730B7">
        <w:rPr>
          <w:lang w:val="en-GB"/>
        </w:rPr>
        <w:t>EUR</w:t>
      </w:r>
      <w:r w:rsidR="009E14C6">
        <w:rPr>
          <w:lang w:val="en-GB"/>
        </w:rPr>
        <w:t xml:space="preserve"> </w:t>
      </w:r>
      <w:r w:rsidRPr="00D730B7">
        <w:rPr>
          <w:lang w:val="en-GB"/>
        </w:rPr>
        <w:t>1</w:t>
      </w:r>
      <w:r w:rsidR="00D730B7">
        <w:rPr>
          <w:lang w:val="en-GB"/>
        </w:rPr>
        <w:t>,000 each under this head, that is, a total of</w:t>
      </w:r>
      <w:r w:rsidR="00967E1F">
        <w:rPr>
          <w:lang w:val="en-GB"/>
        </w:rPr>
        <w:t xml:space="preserve"> </w:t>
      </w:r>
      <w:r w:rsidRPr="00D730B7" w:rsidR="00D730B7">
        <w:rPr>
          <w:lang w:val="en-GB"/>
        </w:rPr>
        <w:t xml:space="preserve">EUR </w:t>
      </w:r>
      <w:r w:rsidR="00D730B7">
        <w:rPr>
          <w:lang w:val="en-GB"/>
        </w:rPr>
        <w:t>4,000</w:t>
      </w:r>
      <w:r w:rsidR="00523915">
        <w:rPr>
          <w:lang w:val="en-GB"/>
        </w:rPr>
        <w:t>,</w:t>
      </w:r>
      <w:r w:rsidRPr="00523915" w:rsidR="00523915">
        <w:rPr>
          <w:lang w:val="en-GB"/>
        </w:rPr>
        <w:t xml:space="preserve"> </w:t>
      </w:r>
      <w:r w:rsidRPr="00F753A4" w:rsidR="00523915">
        <w:rPr>
          <w:lang w:val="en-GB"/>
        </w:rPr>
        <w:t>plus any</w:t>
      </w:r>
      <w:r w:rsidR="00523915">
        <w:rPr>
          <w:lang w:val="en-GB"/>
        </w:rPr>
        <w:t xml:space="preserve"> tax that may be chargeable on that amount</w:t>
      </w:r>
      <w:r w:rsidRPr="00D730B7">
        <w:rPr>
          <w:lang w:val="en-GB"/>
        </w:rPr>
        <w:t>.</w:t>
      </w:r>
    </w:p>
    <w:p w:rsidRPr="00F259A9" w:rsidR="00EA5DBF" w:rsidP="00124007" w:rsidRDefault="001A4894">
      <w:pPr>
        <w:pStyle w:val="JuH1"/>
        <w:outlineLvl w:val="0"/>
        <w:rPr>
          <w:lang w:val="en-GB"/>
        </w:rPr>
      </w:pPr>
      <w:r w:rsidRPr="00F259A9">
        <w:rPr>
          <w:lang w:val="en-GB"/>
        </w:rPr>
        <w:t>4</w:t>
      </w:r>
      <w:r w:rsidRPr="00F259A9" w:rsidR="00EA5DBF">
        <w:rPr>
          <w:lang w:val="en-GB"/>
        </w:rPr>
        <w:t>.  </w:t>
      </w:r>
      <w:r w:rsidRPr="00F259A9" w:rsidR="00D730B7">
        <w:rPr>
          <w:lang w:val="en-GB"/>
        </w:rPr>
        <w:t>Costs and expenses</w:t>
      </w:r>
    </w:p>
    <w:p w:rsidRPr="00F259A9" w:rsidR="00EA5DBF" w:rsidP="00EB4591" w:rsidRDefault="00C5575E">
      <w:pPr>
        <w:pStyle w:val="JuHa"/>
        <w:rPr>
          <w:lang w:val="en-GB"/>
        </w:rPr>
      </w:pPr>
      <w:r>
        <w:rPr>
          <w:lang w:val="en-GB"/>
        </w:rPr>
        <w:t>(</w:t>
      </w:r>
      <w:r w:rsidRPr="00F259A9" w:rsidR="00EB4591">
        <w:rPr>
          <w:lang w:val="en-GB"/>
        </w:rPr>
        <w:t>a</w:t>
      </w:r>
      <w:r>
        <w:rPr>
          <w:lang w:val="en-GB"/>
        </w:rPr>
        <w:t>)</w:t>
      </w:r>
      <w:r w:rsidRPr="00F259A9" w:rsidR="00EA5DBF">
        <w:rPr>
          <w:lang w:val="en-GB"/>
        </w:rPr>
        <w:t>  </w:t>
      </w:r>
      <w:r w:rsidRPr="00F259A9" w:rsidR="00D730B7">
        <w:rPr>
          <w:lang w:val="en-GB"/>
        </w:rPr>
        <w:t>The Chamber judgment</w:t>
      </w:r>
    </w:p>
    <w:p w:rsidRPr="00D730B7"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279</w:t>
      </w:r>
      <w:r w:rsidRPr="00C2011C">
        <w:fldChar w:fldCharType="end"/>
      </w:r>
      <w:r w:rsidRPr="00853ACF">
        <w:rPr>
          <w:lang w:val="en-GB"/>
        </w:rPr>
        <w:t>.  </w:t>
      </w:r>
      <w:r w:rsidRPr="00D730B7" w:rsidR="00D730B7">
        <w:rPr>
          <w:lang w:val="en-GB"/>
        </w:rPr>
        <w:t>The Chamber reserved the question of just satisfaction on this</w:t>
      </w:r>
      <w:r w:rsidRPr="00D730B7">
        <w:rPr>
          <w:lang w:val="en-GB"/>
        </w:rPr>
        <w:t xml:space="preserve"> point.</w:t>
      </w:r>
    </w:p>
    <w:p w:rsidRPr="00D7315C" w:rsidR="00632F8E" w:rsidP="00D7315C" w:rsidRDefault="00C5575E">
      <w:pPr>
        <w:pStyle w:val="JuHa"/>
        <w:rPr>
          <w:lang w:val="en-GB"/>
        </w:rPr>
      </w:pPr>
      <w:r w:rsidRPr="00D7315C">
        <w:rPr>
          <w:lang w:val="en-GB"/>
        </w:rPr>
        <w:t>(</w:t>
      </w:r>
      <w:r w:rsidRPr="00D7315C" w:rsidR="00EB4591">
        <w:rPr>
          <w:lang w:val="en-GB"/>
        </w:rPr>
        <w:t>b</w:t>
      </w:r>
      <w:r w:rsidRPr="00D7315C">
        <w:rPr>
          <w:lang w:val="en-GB"/>
        </w:rPr>
        <w:t>)</w:t>
      </w:r>
      <w:r w:rsidRPr="00D7315C" w:rsidR="00EA5DBF">
        <w:rPr>
          <w:lang w:val="en-GB"/>
        </w:rPr>
        <w:t>  </w:t>
      </w:r>
      <w:r w:rsidR="00DC0141">
        <w:rPr>
          <w:lang w:val="en-GB"/>
        </w:rPr>
        <w:t>Submissions</w:t>
      </w:r>
      <w:r w:rsidRPr="00D7315C" w:rsidR="00D730B7">
        <w:rPr>
          <w:lang w:val="en-GB"/>
        </w:rPr>
        <w:t xml:space="preserve"> of those appearing before the Court</w:t>
      </w:r>
    </w:p>
    <w:p w:rsidRPr="00285346" w:rsidR="00EA5DBF" w:rsidP="00967E1F" w:rsidRDefault="00C5575E">
      <w:pPr>
        <w:pStyle w:val="JuHi"/>
        <w:rPr>
          <w:lang w:val="en-GB"/>
        </w:rPr>
      </w:pPr>
      <w:r>
        <w:rPr>
          <w:lang w:val="en-GB"/>
        </w:rPr>
        <w:t>(</w:t>
      </w:r>
      <w:r w:rsidRPr="00285346" w:rsidR="00EB4591">
        <w:rPr>
          <w:lang w:val="en-GB"/>
        </w:rPr>
        <w:t>i</w:t>
      </w:r>
      <w:r>
        <w:rPr>
          <w:lang w:val="en-GB"/>
        </w:rPr>
        <w:t>)</w:t>
      </w:r>
      <w:r w:rsidRPr="00285346" w:rsidR="00EA5DBF">
        <w:rPr>
          <w:lang w:val="en-GB"/>
        </w:rPr>
        <w:t>  </w:t>
      </w:r>
      <w:r w:rsidRPr="00285346" w:rsidR="00D730B7">
        <w:rPr>
          <w:lang w:val="en-GB"/>
        </w:rPr>
        <w:t xml:space="preserve">The </w:t>
      </w:r>
      <w:r w:rsidRPr="00967E1F" w:rsidR="00D730B7">
        <w:rPr>
          <w:lang w:val="en-GB"/>
        </w:rPr>
        <w:t>applicants</w:t>
      </w:r>
    </w:p>
    <w:p w:rsidRPr="008725C2"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280</w:t>
      </w:r>
      <w:r w:rsidRPr="00C2011C">
        <w:fldChar w:fldCharType="end"/>
      </w:r>
      <w:r w:rsidRPr="00853ACF">
        <w:rPr>
          <w:lang w:val="en-GB"/>
        </w:rPr>
        <w:t>.  </w:t>
      </w:r>
      <w:r w:rsidRPr="008725C2" w:rsidR="008725C2">
        <w:rPr>
          <w:lang w:val="en-GB"/>
        </w:rPr>
        <w:t>Submitting documentary evidence</w:t>
      </w:r>
      <w:r w:rsidR="00077733">
        <w:rPr>
          <w:lang w:val="en-GB"/>
        </w:rPr>
        <w:t xml:space="preserve"> in support of their claim</w:t>
      </w:r>
      <w:r w:rsidRPr="008725C2">
        <w:rPr>
          <w:lang w:val="en-GB"/>
        </w:rPr>
        <w:t xml:space="preserve">, </w:t>
      </w:r>
      <w:r w:rsidRPr="008725C2" w:rsidR="008725C2">
        <w:rPr>
          <w:lang w:val="en-GB"/>
        </w:rPr>
        <w:t>the applicants assessed at</w:t>
      </w:r>
      <w:r w:rsidRPr="008725C2">
        <w:rPr>
          <w:lang w:val="en-GB"/>
        </w:rPr>
        <w:t xml:space="preserve"> </w:t>
      </w:r>
      <w:r w:rsidRPr="008725C2" w:rsidR="008725C2">
        <w:rPr>
          <w:lang w:val="en-GB"/>
        </w:rPr>
        <w:t>EUR</w:t>
      </w:r>
      <w:r w:rsidR="009E14C6">
        <w:rPr>
          <w:lang w:val="en-GB"/>
        </w:rPr>
        <w:t xml:space="preserve"> </w:t>
      </w:r>
      <w:r w:rsidRPr="008725C2">
        <w:rPr>
          <w:lang w:val="en-GB"/>
        </w:rPr>
        <w:t>16</w:t>
      </w:r>
      <w:r w:rsidRPr="008725C2" w:rsidR="008725C2">
        <w:rPr>
          <w:lang w:val="en-GB"/>
        </w:rPr>
        <w:t>,</w:t>
      </w:r>
      <w:r w:rsidRPr="008725C2">
        <w:rPr>
          <w:lang w:val="en-GB"/>
        </w:rPr>
        <w:t>355</w:t>
      </w:r>
      <w:r w:rsidRPr="008725C2" w:rsidR="008725C2">
        <w:rPr>
          <w:lang w:val="en-GB"/>
        </w:rPr>
        <w:t>.99</w:t>
      </w:r>
      <w:r w:rsidRPr="008725C2">
        <w:rPr>
          <w:lang w:val="en-GB"/>
        </w:rPr>
        <w:t xml:space="preserve"> </w:t>
      </w:r>
      <w:r w:rsidRPr="008725C2" w:rsidR="008725C2">
        <w:rPr>
          <w:lang w:val="en-GB"/>
        </w:rPr>
        <w:t>the costs and expenses incurred in the domestic proceedings</w:t>
      </w:r>
      <w:r w:rsidRPr="008725C2">
        <w:rPr>
          <w:lang w:val="en-GB"/>
        </w:rPr>
        <w:t xml:space="preserve">, </w:t>
      </w:r>
      <w:r w:rsidRPr="008725C2" w:rsidR="008725C2">
        <w:rPr>
          <w:lang w:val="en-GB"/>
        </w:rPr>
        <w:t>of which EUR 1,500</w:t>
      </w:r>
      <w:r w:rsidRPr="008725C2">
        <w:rPr>
          <w:lang w:val="en-GB"/>
        </w:rPr>
        <w:t xml:space="preserve"> corresponde</w:t>
      </w:r>
      <w:r w:rsidRPr="008725C2" w:rsidR="008725C2">
        <w:rPr>
          <w:lang w:val="en-GB"/>
        </w:rPr>
        <w:t>d to the part of the cost</w:t>
      </w:r>
      <w:r w:rsidR="008725C2">
        <w:rPr>
          <w:lang w:val="en-GB"/>
        </w:rPr>
        <w:t>s payable by them in the</w:t>
      </w:r>
      <w:r w:rsidR="007E6554">
        <w:rPr>
          <w:lang w:val="en-GB"/>
        </w:rPr>
        <w:t xml:space="preserve"> proceedings brought under the </w:t>
      </w:r>
      <w:r w:rsidR="008725C2">
        <w:rPr>
          <w:lang w:val="en-GB"/>
        </w:rPr>
        <w:t>Pinto Act</w:t>
      </w:r>
      <w:r w:rsidRPr="008725C2">
        <w:rPr>
          <w:lang w:val="en-GB"/>
        </w:rPr>
        <w:t xml:space="preserve"> (</w:t>
      </w:r>
      <w:r w:rsidR="008725C2">
        <w:rPr>
          <w:lang w:val="en-GB"/>
        </w:rPr>
        <w:t xml:space="preserve">see </w:t>
      </w:r>
      <w:r w:rsidRPr="008725C2">
        <w:rPr>
          <w:lang w:val="en-GB"/>
        </w:rPr>
        <w:t>paragra</w:t>
      </w:r>
      <w:r w:rsidR="008725C2">
        <w:rPr>
          <w:lang w:val="en-GB"/>
        </w:rPr>
        <w:t>ph</w:t>
      </w:r>
      <w:r w:rsidRPr="008725C2">
        <w:rPr>
          <w:lang w:val="en-GB"/>
        </w:rPr>
        <w:t xml:space="preserve"> 45 </w:t>
      </w:r>
      <w:r w:rsidR="008725C2">
        <w:rPr>
          <w:lang w:val="en-GB"/>
        </w:rPr>
        <w:t>above</w:t>
      </w:r>
      <w:r w:rsidRPr="008725C2">
        <w:rPr>
          <w:lang w:val="en-GB"/>
        </w:rPr>
        <w:t>).</w:t>
      </w:r>
    </w:p>
    <w:p w:rsidRPr="008725C2"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281</w:t>
      </w:r>
      <w:r w:rsidRPr="00C2011C">
        <w:fldChar w:fldCharType="end"/>
      </w:r>
      <w:r w:rsidRPr="00853ACF">
        <w:rPr>
          <w:lang w:val="en-GB"/>
        </w:rPr>
        <w:t>.  </w:t>
      </w:r>
      <w:r w:rsidRPr="008725C2" w:rsidR="008725C2">
        <w:rPr>
          <w:lang w:val="en-GB"/>
        </w:rPr>
        <w:t>With regard to the costs incurred in the proceedings before the Court,</w:t>
      </w:r>
      <w:r w:rsidRPr="008725C2">
        <w:rPr>
          <w:lang w:val="en-GB"/>
        </w:rPr>
        <w:t xml:space="preserve"> </w:t>
      </w:r>
      <w:r w:rsidRPr="008725C2" w:rsidR="008725C2">
        <w:rPr>
          <w:lang w:val="en-GB"/>
        </w:rPr>
        <w:t>the applicants</w:t>
      </w:r>
      <w:r w:rsidRPr="008725C2">
        <w:rPr>
          <w:lang w:val="en-GB"/>
        </w:rPr>
        <w:t xml:space="preserve"> </w:t>
      </w:r>
      <w:r w:rsidRPr="008725C2" w:rsidR="008725C2">
        <w:rPr>
          <w:lang w:val="en-GB"/>
        </w:rPr>
        <w:t xml:space="preserve">submitted a bill of costs </w:t>
      </w:r>
      <w:r w:rsidR="00077733">
        <w:rPr>
          <w:lang w:val="en-GB"/>
        </w:rPr>
        <w:t xml:space="preserve">and expenses </w:t>
      </w:r>
      <w:r w:rsidRPr="008725C2" w:rsidR="008725C2">
        <w:rPr>
          <w:lang w:val="en-GB"/>
        </w:rPr>
        <w:t>drawn up on the b</w:t>
      </w:r>
      <w:r w:rsidR="008725C2">
        <w:rPr>
          <w:lang w:val="en-GB"/>
        </w:rPr>
        <w:t>asis</w:t>
      </w:r>
      <w:r w:rsidRPr="008725C2">
        <w:rPr>
          <w:lang w:val="en-GB"/>
        </w:rPr>
        <w:t xml:space="preserve"> </w:t>
      </w:r>
      <w:r w:rsidRPr="008725C2" w:rsidR="008725C2">
        <w:rPr>
          <w:lang w:val="en-GB"/>
        </w:rPr>
        <w:t xml:space="preserve">of the applicable national rates and sought reimbursement </w:t>
      </w:r>
      <w:r w:rsidR="008725C2">
        <w:rPr>
          <w:lang w:val="en-GB"/>
        </w:rPr>
        <w:t xml:space="preserve">of </w:t>
      </w:r>
      <w:r w:rsidRPr="008725C2" w:rsidR="008725C2">
        <w:rPr>
          <w:lang w:val="en-GB"/>
        </w:rPr>
        <w:t>EUR</w:t>
      </w:r>
      <w:r w:rsidR="00077733">
        <w:rPr>
          <w:lang w:val="en-GB"/>
        </w:rPr>
        <w:t> </w:t>
      </w:r>
      <w:r w:rsidR="008725C2">
        <w:rPr>
          <w:lang w:val="en-GB"/>
        </w:rPr>
        <w:t>46,</w:t>
      </w:r>
      <w:r w:rsidRPr="008725C2">
        <w:rPr>
          <w:lang w:val="en-GB"/>
        </w:rPr>
        <w:t>3</w:t>
      </w:r>
      <w:r w:rsidR="008725C2">
        <w:rPr>
          <w:lang w:val="en-GB"/>
        </w:rPr>
        <w:t>13.70</w:t>
      </w:r>
      <w:r w:rsidRPr="008725C2">
        <w:rPr>
          <w:lang w:val="en-GB"/>
        </w:rPr>
        <w:t xml:space="preserve"> </w:t>
      </w:r>
      <w:r w:rsidR="008725C2">
        <w:rPr>
          <w:lang w:val="en-GB"/>
        </w:rPr>
        <w:t xml:space="preserve">for the proceedings up </w:t>
      </w:r>
      <w:r w:rsidR="00077733">
        <w:rPr>
          <w:lang w:val="en-GB"/>
        </w:rPr>
        <w:t>to</w:t>
      </w:r>
      <w:r w:rsidR="008725C2">
        <w:rPr>
          <w:lang w:val="en-GB"/>
        </w:rPr>
        <w:t xml:space="preserve"> </w:t>
      </w:r>
      <w:r w:rsidR="00077733">
        <w:rPr>
          <w:lang w:val="en-GB"/>
        </w:rPr>
        <w:t>adoption</w:t>
      </w:r>
      <w:r w:rsidR="008725C2">
        <w:rPr>
          <w:lang w:val="en-GB"/>
        </w:rPr>
        <w:t xml:space="preserve"> of the Chamber judgment</w:t>
      </w:r>
      <w:r w:rsidRPr="008725C2">
        <w:rPr>
          <w:lang w:val="en-GB"/>
        </w:rPr>
        <w:t xml:space="preserve">. </w:t>
      </w:r>
      <w:r w:rsidRPr="008725C2" w:rsidR="008725C2">
        <w:rPr>
          <w:lang w:val="en-GB"/>
        </w:rPr>
        <w:t>To that sum should be added EUR 19,</w:t>
      </w:r>
      <w:r w:rsidRPr="008725C2">
        <w:rPr>
          <w:lang w:val="en-GB"/>
        </w:rPr>
        <w:t>705</w:t>
      </w:r>
      <w:r w:rsidR="008725C2">
        <w:rPr>
          <w:lang w:val="en-GB"/>
        </w:rPr>
        <w:t>,</w:t>
      </w:r>
      <w:r w:rsidR="009E14C6">
        <w:rPr>
          <w:lang w:val="en-GB"/>
        </w:rPr>
        <w:t xml:space="preserve"> </w:t>
      </w:r>
      <w:r w:rsidRPr="008725C2" w:rsidR="008725C2">
        <w:rPr>
          <w:lang w:val="en-GB"/>
        </w:rPr>
        <w:t xml:space="preserve">including </w:t>
      </w:r>
      <w:r w:rsidR="008725C2">
        <w:rPr>
          <w:lang w:val="en-GB"/>
        </w:rPr>
        <w:t>the costs and expenses incurred before the</w:t>
      </w:r>
      <w:r w:rsidRPr="008725C2">
        <w:rPr>
          <w:lang w:val="en-GB"/>
        </w:rPr>
        <w:t xml:space="preserve"> Grand Chamb</w:t>
      </w:r>
      <w:r w:rsidR="008725C2">
        <w:rPr>
          <w:lang w:val="en-GB"/>
        </w:rPr>
        <w:t>er</w:t>
      </w:r>
      <w:r w:rsidRPr="008725C2">
        <w:rPr>
          <w:lang w:val="en-GB"/>
        </w:rPr>
        <w:t>.</w:t>
      </w:r>
    </w:p>
    <w:p w:rsidRPr="00967E1F" w:rsidR="00EA5DBF" w:rsidP="00124007" w:rsidRDefault="00C5575E">
      <w:pPr>
        <w:pStyle w:val="JuHi"/>
        <w:outlineLvl w:val="0"/>
        <w:rPr>
          <w:lang w:val="en-GB"/>
        </w:rPr>
      </w:pPr>
      <w:r>
        <w:rPr>
          <w:lang w:val="en-GB"/>
        </w:rPr>
        <w:t>(</w:t>
      </w:r>
      <w:r w:rsidRPr="00967E1F" w:rsidR="00EB4591">
        <w:rPr>
          <w:lang w:val="en-GB"/>
        </w:rPr>
        <w:t>ii</w:t>
      </w:r>
      <w:r>
        <w:rPr>
          <w:lang w:val="en-GB"/>
        </w:rPr>
        <w:t>)</w:t>
      </w:r>
      <w:r w:rsidRPr="00967E1F" w:rsidR="00EA5DBF">
        <w:rPr>
          <w:lang w:val="en-GB"/>
        </w:rPr>
        <w:t>  </w:t>
      </w:r>
      <w:r w:rsidRPr="00967E1F" w:rsidR="008725C2">
        <w:rPr>
          <w:lang w:val="en-GB"/>
        </w:rPr>
        <w:t>The Government</w:t>
      </w:r>
    </w:p>
    <w:p w:rsidR="00967E1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282</w:t>
      </w:r>
      <w:r w:rsidRPr="00C2011C">
        <w:fldChar w:fldCharType="end"/>
      </w:r>
      <w:r w:rsidRPr="00853ACF">
        <w:rPr>
          <w:lang w:val="en-GB"/>
        </w:rPr>
        <w:t>.  </w:t>
      </w:r>
      <w:r w:rsidRPr="008725C2" w:rsidR="008725C2">
        <w:rPr>
          <w:lang w:val="en-GB"/>
        </w:rPr>
        <w:t>The Government confined themselves to observing that in the proceedings instituted under the</w:t>
      </w:r>
      <w:r w:rsidRPr="008725C2">
        <w:rPr>
          <w:lang w:val="en-GB"/>
        </w:rPr>
        <w:t xml:space="preserve"> Pinto</w:t>
      </w:r>
      <w:r w:rsidRPr="008725C2" w:rsidR="008725C2">
        <w:rPr>
          <w:lang w:val="en-GB"/>
        </w:rPr>
        <w:t xml:space="preserve"> Act</w:t>
      </w:r>
      <w:r w:rsidRPr="008725C2">
        <w:rPr>
          <w:lang w:val="en-GB"/>
        </w:rPr>
        <w:t xml:space="preserve"> </w:t>
      </w:r>
      <w:r w:rsidRPr="008725C2" w:rsidR="008725C2">
        <w:rPr>
          <w:lang w:val="en-GB"/>
        </w:rPr>
        <w:t>the applicants had to bear some of the costs</w:t>
      </w:r>
      <w:r w:rsidR="008725C2">
        <w:rPr>
          <w:lang w:val="en-GB"/>
        </w:rPr>
        <w:t xml:space="preserve"> on account of taking legal action against a defendant who should not have been a party to the proceedings</w:t>
      </w:r>
      <w:r w:rsidRPr="008725C2">
        <w:rPr>
          <w:lang w:val="en-GB"/>
        </w:rPr>
        <w:t>.</w:t>
      </w:r>
    </w:p>
    <w:p w:rsidR="00967E1F" w:rsidP="00124007" w:rsidRDefault="00C5575E">
      <w:pPr>
        <w:pStyle w:val="JuHa"/>
        <w:outlineLvl w:val="0"/>
        <w:rPr>
          <w:lang w:val="en-GB"/>
        </w:rPr>
      </w:pPr>
      <w:r>
        <w:rPr>
          <w:lang w:val="en-GB"/>
        </w:rPr>
        <w:t>(c)</w:t>
      </w:r>
      <w:r w:rsidRPr="00EB4591" w:rsidR="00EA5DBF">
        <w:rPr>
          <w:lang w:val="en-GB"/>
        </w:rPr>
        <w:t>  </w:t>
      </w:r>
      <w:r w:rsidRPr="00EB4591" w:rsidR="008725C2">
        <w:rPr>
          <w:lang w:val="en-GB"/>
        </w:rPr>
        <w:t>The Court</w:t>
      </w:r>
      <w:r w:rsidR="00E6191D">
        <w:rPr>
          <w:lang w:val="en-GB"/>
        </w:rPr>
        <w:t>’</w:t>
      </w:r>
      <w:r w:rsidRPr="00EB4591" w:rsidR="008725C2">
        <w:rPr>
          <w:lang w:val="en-GB"/>
        </w:rPr>
        <w:t>s assessment</w:t>
      </w:r>
    </w:p>
    <w:p w:rsidRPr="00077733" w:rsidR="00EA5DBF" w:rsidP="00077733" w:rsidRDefault="00EA5DBF">
      <w:pPr>
        <w:pStyle w:val="JuPara"/>
        <w:rPr>
          <w:lang w:val="en-GB" w:eastAsia="en-US"/>
        </w:rPr>
      </w:pPr>
      <w:r w:rsidRPr="00C2011C">
        <w:fldChar w:fldCharType="begin"/>
      </w:r>
      <w:r w:rsidRPr="00DA15E2">
        <w:rPr>
          <w:lang w:val="en-GB"/>
        </w:rPr>
        <w:instrText xml:space="preserve"> SEQ level0 \*arabic </w:instrText>
      </w:r>
      <w:r w:rsidRPr="00C2011C">
        <w:fldChar w:fldCharType="separate"/>
      </w:r>
      <w:r w:rsidR="008B3B68">
        <w:rPr>
          <w:noProof/>
          <w:lang w:val="en-GB"/>
        </w:rPr>
        <w:t>283</w:t>
      </w:r>
      <w:r w:rsidRPr="00C2011C">
        <w:fldChar w:fldCharType="end"/>
      </w:r>
      <w:r w:rsidRPr="00DA15E2">
        <w:rPr>
          <w:lang w:val="en-GB"/>
        </w:rPr>
        <w:t>.  </w:t>
      </w:r>
      <w:r w:rsidRPr="00DA15E2" w:rsidR="008725C2">
        <w:rPr>
          <w:lang w:val="en-GB"/>
        </w:rPr>
        <w:t>According to the Court</w:t>
      </w:r>
      <w:r w:rsidR="00E6191D">
        <w:rPr>
          <w:lang w:val="en-GB"/>
        </w:rPr>
        <w:t>’</w:t>
      </w:r>
      <w:r w:rsidRPr="00DA15E2" w:rsidR="008725C2">
        <w:rPr>
          <w:lang w:val="en-GB"/>
        </w:rPr>
        <w:t>s settled case-law</w:t>
      </w:r>
      <w:r w:rsidRPr="00DA15E2">
        <w:rPr>
          <w:lang w:val="en-GB"/>
        </w:rPr>
        <w:t xml:space="preserve">, </w:t>
      </w:r>
      <w:r w:rsidRPr="00DA15E2" w:rsidR="008725C2">
        <w:rPr>
          <w:lang w:val="en-GB"/>
        </w:rPr>
        <w:t xml:space="preserve">costs and expenses will not be awarded under Article 41 unless it is established that they were actually incurred, were necessarily incurred and </w:t>
      </w:r>
      <w:r w:rsidR="00E00A80">
        <w:rPr>
          <w:lang w:val="en-GB"/>
        </w:rPr>
        <w:t>are</w:t>
      </w:r>
      <w:r w:rsidRPr="00DA15E2" w:rsidR="008725C2">
        <w:rPr>
          <w:lang w:val="en-GB"/>
        </w:rPr>
        <w:t xml:space="preserve"> also reasonable as to quantum. </w:t>
      </w:r>
      <w:r w:rsidRPr="00077733" w:rsidR="008725C2">
        <w:rPr>
          <w:lang w:val="en-GB"/>
        </w:rPr>
        <w:t xml:space="preserve">Furthermore, legal costs are only recoverable in so far as they relate to the violation found </w:t>
      </w:r>
      <w:r w:rsidRPr="00077733">
        <w:rPr>
          <w:lang w:val="en-GB"/>
        </w:rPr>
        <w:t>(</w:t>
      </w:r>
      <w:r w:rsidRPr="00077733" w:rsidR="008725C2">
        <w:rPr>
          <w:lang w:val="en-GB"/>
        </w:rPr>
        <w:t>see</w:t>
      </w:r>
      <w:r w:rsidRPr="00077733">
        <w:rPr>
          <w:lang w:val="en-GB"/>
        </w:rPr>
        <w:t xml:space="preserve">, </w:t>
      </w:r>
      <w:r w:rsidRPr="00077733" w:rsidR="008725C2">
        <w:rPr>
          <w:lang w:val="en-GB"/>
        </w:rPr>
        <w:t>for</w:t>
      </w:r>
      <w:r w:rsidRPr="00077733">
        <w:rPr>
          <w:lang w:val="en-GB"/>
        </w:rPr>
        <w:t xml:space="preserve"> ex</w:t>
      </w:r>
      <w:r w:rsidRPr="00077733" w:rsidR="008725C2">
        <w:rPr>
          <w:lang w:val="en-GB"/>
        </w:rPr>
        <w:t>a</w:t>
      </w:r>
      <w:r w:rsidRPr="00077733">
        <w:rPr>
          <w:lang w:val="en-GB"/>
        </w:rPr>
        <w:t xml:space="preserve">mple, </w:t>
      </w:r>
      <w:r w:rsidRPr="00077733" w:rsidR="00077733">
        <w:rPr>
          <w:i/>
          <w:lang w:val="en-GB"/>
        </w:rPr>
        <w:t>Beyeler v. Italy</w:t>
      </w:r>
      <w:r w:rsidRPr="00077733" w:rsidR="00077733">
        <w:rPr>
          <w:lang w:val="en-GB"/>
        </w:rPr>
        <w:t xml:space="preserve"> (just satisfaction) [GC], no. 33202/96, § 27, </w:t>
      </w:r>
      <w:smartTag w:uri="urn:schemas-microsoft-com:office:smarttags" w:element="date">
        <w:smartTagPr>
          <w:attr w:name="Month" w:val="5"/>
          <w:attr w:name="Day" w:val="28"/>
          <w:attr w:name="Year" w:val="2002"/>
        </w:smartTagPr>
        <w:r w:rsidR="00077733" w:rsidRPr="00077733">
          <w:rPr>
            <w:lang w:val="en-GB"/>
          </w:rPr>
          <w:t>28 May 2002</w:t>
        </w:r>
      </w:smartTag>
      <w:r w:rsidRPr="00077733" w:rsidR="00077733">
        <w:rPr>
          <w:lang w:val="en-GB"/>
        </w:rPr>
        <w:t>, and</w:t>
      </w:r>
      <w:r w:rsidRPr="00077733">
        <w:rPr>
          <w:lang w:val="en-GB" w:eastAsia="en-US"/>
        </w:rPr>
        <w:t xml:space="preserve"> </w:t>
      </w:r>
      <w:r w:rsidRPr="00077733" w:rsidR="00077733">
        <w:rPr>
          <w:i/>
          <w:lang w:val="en-GB"/>
        </w:rPr>
        <w:t xml:space="preserve">Sahin v. Germany </w:t>
      </w:r>
      <w:r w:rsidRPr="00077733" w:rsidR="00077733">
        <w:rPr>
          <w:lang w:val="en-GB"/>
        </w:rPr>
        <w:t>[GC],</w:t>
      </w:r>
      <w:r w:rsidRPr="00077733" w:rsidR="00077733">
        <w:rPr>
          <w:i/>
          <w:lang w:val="en-GB"/>
        </w:rPr>
        <w:t xml:space="preserve"> </w:t>
      </w:r>
      <w:r w:rsidRPr="00077733" w:rsidR="00077733">
        <w:rPr>
          <w:lang w:val="en-GB"/>
        </w:rPr>
        <w:t xml:space="preserve">no. 30943/96, § </w:t>
      </w:r>
      <w:r w:rsidR="00077733">
        <w:rPr>
          <w:lang w:val="en-GB"/>
        </w:rPr>
        <w:t>105</w:t>
      </w:r>
      <w:r w:rsidRPr="00077733" w:rsidR="00077733">
        <w:rPr>
          <w:lang w:val="en-GB"/>
        </w:rPr>
        <w:t>, ECHR 2003</w:t>
      </w:r>
      <w:r w:rsidRPr="00077733" w:rsidR="00077733">
        <w:rPr>
          <w:lang w:val="en-GB"/>
        </w:rPr>
        <w:noBreakHyphen/>
        <w:t>VIII</w:t>
      </w:r>
      <w:r w:rsidRPr="00077733">
        <w:rPr>
          <w:lang w:val="en-GB" w:eastAsia="en-US"/>
        </w:rPr>
        <w:t>).</w:t>
      </w:r>
    </w:p>
    <w:p w:rsidRPr="008725C2" w:rsidR="00EA5DB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284</w:t>
      </w:r>
      <w:r w:rsidRPr="00C2011C">
        <w:fldChar w:fldCharType="end"/>
      </w:r>
      <w:r w:rsidRPr="00853ACF">
        <w:rPr>
          <w:lang w:val="en-GB"/>
        </w:rPr>
        <w:t>.  </w:t>
      </w:r>
      <w:r w:rsidRPr="008725C2" w:rsidR="008725C2">
        <w:rPr>
          <w:lang w:val="en-GB"/>
        </w:rPr>
        <w:t>A</w:t>
      </w:r>
      <w:r w:rsidR="008725C2">
        <w:rPr>
          <w:lang w:val="en-GB"/>
        </w:rPr>
        <w:t>s the applicant</w:t>
      </w:r>
      <w:r w:rsidRPr="008725C2" w:rsidR="008725C2">
        <w:rPr>
          <w:lang w:val="en-GB"/>
        </w:rPr>
        <w:t>s</w:t>
      </w:r>
      <w:r w:rsidR="00E6191D">
        <w:rPr>
          <w:lang w:val="en-GB"/>
        </w:rPr>
        <w:t>’</w:t>
      </w:r>
      <w:r w:rsidRPr="008725C2" w:rsidR="008725C2">
        <w:rPr>
          <w:lang w:val="en-GB"/>
        </w:rPr>
        <w:t xml:space="preserve"> case before the </w:t>
      </w:r>
      <w:r w:rsidR="008725C2">
        <w:rPr>
          <w:lang w:val="en-GB"/>
        </w:rPr>
        <w:t>domestic courts</w:t>
      </w:r>
      <w:r w:rsidRPr="008725C2" w:rsidR="008725C2">
        <w:rPr>
          <w:lang w:val="en-GB"/>
        </w:rPr>
        <w:t xml:space="preserve"> </w:t>
      </w:r>
      <w:r w:rsidR="00B84D46">
        <w:rPr>
          <w:lang w:val="en-GB"/>
        </w:rPr>
        <w:t xml:space="preserve">was </w:t>
      </w:r>
      <w:r w:rsidRPr="008725C2" w:rsidR="008725C2">
        <w:rPr>
          <w:lang w:val="en-GB"/>
        </w:rPr>
        <w:t xml:space="preserve">essentially </w:t>
      </w:r>
      <w:r w:rsidR="00B84D46">
        <w:rPr>
          <w:lang w:val="en-GB"/>
        </w:rPr>
        <w:t xml:space="preserve">aimed at </w:t>
      </w:r>
      <w:r w:rsidRPr="008725C2" w:rsidR="008725C2">
        <w:rPr>
          <w:lang w:val="en-GB"/>
        </w:rPr>
        <w:t>remedy</w:t>
      </w:r>
      <w:r w:rsidR="00B84D46">
        <w:rPr>
          <w:lang w:val="en-GB"/>
        </w:rPr>
        <w:t>ing</w:t>
      </w:r>
      <w:r w:rsidRPr="008725C2" w:rsidR="008725C2">
        <w:rPr>
          <w:lang w:val="en-GB"/>
        </w:rPr>
        <w:t xml:space="preserve"> the violations of the Convention alleged before the Court, these domestic </w:t>
      </w:r>
      <w:r w:rsidR="00B84D46">
        <w:rPr>
          <w:lang w:val="en-GB"/>
        </w:rPr>
        <w:t>legal costs</w:t>
      </w:r>
      <w:r w:rsidRPr="008725C2" w:rsidR="008725C2">
        <w:rPr>
          <w:lang w:val="en-GB"/>
        </w:rPr>
        <w:t xml:space="preserve"> may be taken into account in assess</w:t>
      </w:r>
      <w:r w:rsidR="00B84D46">
        <w:rPr>
          <w:lang w:val="en-GB"/>
        </w:rPr>
        <w:t>ing</w:t>
      </w:r>
      <w:r w:rsidRPr="008725C2" w:rsidR="008725C2">
        <w:rPr>
          <w:lang w:val="en-GB"/>
        </w:rPr>
        <w:t xml:space="preserve"> the claim</w:t>
      </w:r>
      <w:r w:rsidR="00B84D46">
        <w:rPr>
          <w:lang w:val="en-GB"/>
        </w:rPr>
        <w:t xml:space="preserve"> for</w:t>
      </w:r>
      <w:r w:rsidRPr="00B84D46" w:rsidR="00B84D46">
        <w:rPr>
          <w:lang w:val="en-GB"/>
        </w:rPr>
        <w:t xml:space="preserve"> </w:t>
      </w:r>
      <w:r w:rsidRPr="008725C2" w:rsidR="00B84D46">
        <w:rPr>
          <w:lang w:val="en-GB"/>
        </w:rPr>
        <w:t>costs</w:t>
      </w:r>
      <w:r w:rsidRPr="008725C2">
        <w:rPr>
          <w:lang w:val="en-GB"/>
        </w:rPr>
        <w:t xml:space="preserve">. </w:t>
      </w:r>
      <w:r w:rsidRPr="008725C2" w:rsidR="008725C2">
        <w:rPr>
          <w:lang w:val="en-GB"/>
        </w:rPr>
        <w:t>However, the Court considers the amount claimed in fe</w:t>
      </w:r>
      <w:r w:rsidR="008725C2">
        <w:rPr>
          <w:lang w:val="en-GB"/>
        </w:rPr>
        <w:t>es to be too high</w:t>
      </w:r>
      <w:r w:rsidRPr="008725C2">
        <w:rPr>
          <w:lang w:val="en-GB"/>
        </w:rPr>
        <w:t>.</w:t>
      </w:r>
    </w:p>
    <w:p w:rsidR="00967E1F" w:rsidP="00EA5DBF"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285</w:t>
      </w:r>
      <w:r w:rsidRPr="00C2011C">
        <w:fldChar w:fldCharType="end"/>
      </w:r>
      <w:r w:rsidRPr="00853ACF">
        <w:rPr>
          <w:lang w:val="en-GB"/>
        </w:rPr>
        <w:t>.  </w:t>
      </w:r>
      <w:r w:rsidRPr="008725C2" w:rsidR="008725C2">
        <w:rPr>
          <w:lang w:val="en-GB"/>
        </w:rPr>
        <w:t>As regards the costs and expenses incurred in the</w:t>
      </w:r>
      <w:r w:rsidRPr="008725C2">
        <w:rPr>
          <w:lang w:val="en-GB"/>
        </w:rPr>
        <w:t xml:space="preserve"> Strasbourg</w:t>
      </w:r>
      <w:r w:rsidRPr="008725C2" w:rsidR="008725C2">
        <w:rPr>
          <w:lang w:val="en-GB"/>
        </w:rPr>
        <w:t xml:space="preserve"> proceedings</w:t>
      </w:r>
      <w:r w:rsidRPr="008725C2">
        <w:rPr>
          <w:lang w:val="en-GB"/>
        </w:rPr>
        <w:t>,</w:t>
      </w:r>
      <w:r w:rsidRPr="008725C2" w:rsidR="008725C2">
        <w:rPr>
          <w:lang w:val="en-GB"/>
        </w:rPr>
        <w:t xml:space="preserve"> the Court has found a</w:t>
      </w:r>
      <w:r w:rsidRPr="008725C2">
        <w:rPr>
          <w:lang w:val="en-GB"/>
        </w:rPr>
        <w:t xml:space="preserve"> violation</w:t>
      </w:r>
      <w:r w:rsidRPr="008725C2" w:rsidR="008725C2">
        <w:rPr>
          <w:lang w:val="en-GB"/>
        </w:rPr>
        <w:t xml:space="preserve"> of A</w:t>
      </w:r>
      <w:r w:rsidRPr="008725C2">
        <w:rPr>
          <w:lang w:val="en-GB"/>
        </w:rPr>
        <w:t xml:space="preserve">rticle 1 </w:t>
      </w:r>
      <w:r w:rsidRPr="008725C2" w:rsidR="008725C2">
        <w:rPr>
          <w:lang w:val="en-GB"/>
        </w:rPr>
        <w:t>of</w:t>
      </w:r>
      <w:r w:rsidRPr="008725C2">
        <w:rPr>
          <w:lang w:val="en-GB"/>
        </w:rPr>
        <w:t xml:space="preserve"> Protocol</w:t>
      </w:r>
      <w:r w:rsidRPr="008725C2" w:rsidR="008725C2">
        <w:rPr>
          <w:lang w:val="en-GB"/>
        </w:rPr>
        <w:t xml:space="preserve"> No.</w:t>
      </w:r>
      <w:r w:rsidRPr="008725C2">
        <w:rPr>
          <w:lang w:val="en-GB"/>
        </w:rPr>
        <w:t xml:space="preserve"> 1 </w:t>
      </w:r>
      <w:r w:rsidRPr="008725C2" w:rsidR="008725C2">
        <w:rPr>
          <w:lang w:val="en-GB"/>
        </w:rPr>
        <w:t xml:space="preserve">and a </w:t>
      </w:r>
      <w:r w:rsidRPr="008725C2">
        <w:rPr>
          <w:lang w:val="en-GB"/>
        </w:rPr>
        <w:t>double violation</w:t>
      </w:r>
      <w:r w:rsidRPr="008725C2" w:rsidR="008725C2">
        <w:rPr>
          <w:lang w:val="en-GB"/>
        </w:rPr>
        <w:t xml:space="preserve"> o</w:t>
      </w:r>
      <w:r w:rsidR="008725C2">
        <w:rPr>
          <w:lang w:val="en-GB"/>
        </w:rPr>
        <w:t>f A</w:t>
      </w:r>
      <w:r w:rsidRPr="008725C2">
        <w:rPr>
          <w:lang w:val="en-GB"/>
        </w:rPr>
        <w:t xml:space="preserve">rticle 6 § 1 </w:t>
      </w:r>
      <w:r w:rsidR="008725C2">
        <w:rPr>
          <w:lang w:val="en-GB"/>
        </w:rPr>
        <w:t xml:space="preserve">of the </w:t>
      </w:r>
      <w:r w:rsidRPr="008725C2">
        <w:rPr>
          <w:lang w:val="en-GB"/>
        </w:rPr>
        <w:t xml:space="preserve">Convention, </w:t>
      </w:r>
      <w:r w:rsidR="008725C2">
        <w:rPr>
          <w:lang w:val="en-GB"/>
        </w:rPr>
        <w:t xml:space="preserve">thus </w:t>
      </w:r>
      <w:r w:rsidR="00B84D46">
        <w:rPr>
          <w:lang w:val="en-GB"/>
        </w:rPr>
        <w:t>agreeing with</w:t>
      </w:r>
      <w:r w:rsidR="008725C2">
        <w:rPr>
          <w:lang w:val="en-GB"/>
        </w:rPr>
        <w:t xml:space="preserve"> the applicants</w:t>
      </w:r>
      <w:r w:rsidR="00E6191D">
        <w:rPr>
          <w:lang w:val="en-GB"/>
        </w:rPr>
        <w:t>’</w:t>
      </w:r>
      <w:r w:rsidR="008725C2">
        <w:rPr>
          <w:lang w:val="en-GB"/>
        </w:rPr>
        <w:t xml:space="preserve"> submissions</w:t>
      </w:r>
      <w:r w:rsidRPr="008725C2">
        <w:rPr>
          <w:lang w:val="en-GB"/>
        </w:rPr>
        <w:t>.</w:t>
      </w:r>
    </w:p>
    <w:p w:rsidR="00967E1F" w:rsidP="00EA5DBF" w:rsidRDefault="008725C2">
      <w:pPr>
        <w:pStyle w:val="JuParaChar1"/>
        <w:rPr>
          <w:lang w:val="en-GB"/>
        </w:rPr>
      </w:pPr>
      <w:r w:rsidRPr="008725C2">
        <w:rPr>
          <w:lang w:val="en-GB"/>
        </w:rPr>
        <w:t>Whilst the Court does not doubt that the costs claimed were necessarily and actually incurred</w:t>
      </w:r>
      <w:r w:rsidRPr="008725C2" w:rsidR="00EA5DBF">
        <w:rPr>
          <w:lang w:val="en-GB"/>
        </w:rPr>
        <w:t xml:space="preserve">, </w:t>
      </w:r>
      <w:r w:rsidRPr="008725C2">
        <w:rPr>
          <w:lang w:val="en-GB"/>
        </w:rPr>
        <w:t>and acknowledges the length an</w:t>
      </w:r>
      <w:r>
        <w:rPr>
          <w:lang w:val="en-GB"/>
        </w:rPr>
        <w:t>d pre</w:t>
      </w:r>
      <w:r w:rsidRPr="008725C2" w:rsidR="00EA5DBF">
        <w:rPr>
          <w:lang w:val="en-GB"/>
        </w:rPr>
        <w:t xml:space="preserve">cision </w:t>
      </w:r>
      <w:r>
        <w:rPr>
          <w:lang w:val="en-GB"/>
        </w:rPr>
        <w:t>of the pleadings submitted by the applicants and the large amount of work done on their behalf, it does however find</w:t>
      </w:r>
      <w:r w:rsidRPr="008725C2" w:rsidR="00EA5DBF">
        <w:rPr>
          <w:lang w:val="en-GB"/>
        </w:rPr>
        <w:t xml:space="preserve"> </w:t>
      </w:r>
      <w:r>
        <w:rPr>
          <w:lang w:val="en-GB"/>
        </w:rPr>
        <w:t xml:space="preserve">the fees claimed to be excessive. </w:t>
      </w:r>
      <w:r w:rsidRPr="008725C2">
        <w:rPr>
          <w:lang w:val="en-GB"/>
        </w:rPr>
        <w:t>The Court therefore considers that they should be reimbursed only in part</w:t>
      </w:r>
      <w:r w:rsidRPr="008725C2" w:rsidR="00EA5DBF">
        <w:rPr>
          <w:lang w:val="en-GB"/>
        </w:rPr>
        <w:t>.</w:t>
      </w:r>
    </w:p>
    <w:p w:rsidRPr="008725C2" w:rsidR="00EA5DBF" w:rsidP="00EA5DBF" w:rsidRDefault="00EA5DBF">
      <w:pPr>
        <w:pStyle w:val="JuParaChar1"/>
        <w:rPr>
          <w:b/>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286</w:t>
      </w:r>
      <w:r w:rsidRPr="00C2011C">
        <w:fldChar w:fldCharType="end"/>
      </w:r>
      <w:r w:rsidRPr="00853ACF">
        <w:rPr>
          <w:lang w:val="en-GB"/>
        </w:rPr>
        <w:t>.  </w:t>
      </w:r>
      <w:r w:rsidRPr="008725C2" w:rsidR="008725C2">
        <w:rPr>
          <w:lang w:val="en-GB"/>
        </w:rPr>
        <w:t xml:space="preserve">Having regard to the </w:t>
      </w:r>
      <w:r w:rsidR="008252F8">
        <w:rPr>
          <w:lang w:val="en-GB"/>
        </w:rPr>
        <w:t>facts</w:t>
      </w:r>
      <w:r w:rsidRPr="008725C2" w:rsidR="008252F8">
        <w:rPr>
          <w:lang w:val="en-GB"/>
        </w:rPr>
        <w:t xml:space="preserve"> </w:t>
      </w:r>
      <w:r w:rsidRPr="008725C2" w:rsidR="008725C2">
        <w:rPr>
          <w:lang w:val="en-GB"/>
        </w:rPr>
        <w:t>of the case</w:t>
      </w:r>
      <w:r w:rsidRPr="008725C2">
        <w:rPr>
          <w:lang w:val="en-GB"/>
        </w:rPr>
        <w:t xml:space="preserve">, </w:t>
      </w:r>
      <w:r w:rsidRPr="008725C2" w:rsidR="008725C2">
        <w:rPr>
          <w:lang w:val="en-GB"/>
        </w:rPr>
        <w:t>the</w:t>
      </w:r>
      <w:r w:rsidRPr="008725C2">
        <w:rPr>
          <w:lang w:val="en-GB"/>
        </w:rPr>
        <w:t xml:space="preserve"> Cour</w:t>
      </w:r>
      <w:r w:rsidRPr="008725C2" w:rsidR="008725C2">
        <w:rPr>
          <w:lang w:val="en-GB"/>
        </w:rPr>
        <w:t>t awards the applicants</w:t>
      </w:r>
      <w:r w:rsidRPr="008725C2">
        <w:rPr>
          <w:lang w:val="en-GB"/>
        </w:rPr>
        <w:t xml:space="preserve"> </w:t>
      </w:r>
      <w:r w:rsidRPr="008725C2" w:rsidR="008725C2">
        <w:rPr>
          <w:lang w:val="en-GB"/>
        </w:rPr>
        <w:t xml:space="preserve">EUR </w:t>
      </w:r>
      <w:r w:rsidRPr="008725C2">
        <w:rPr>
          <w:lang w:val="en-GB"/>
        </w:rPr>
        <w:t>50</w:t>
      </w:r>
      <w:r w:rsidRPr="008725C2" w:rsidR="008725C2">
        <w:rPr>
          <w:lang w:val="en-GB"/>
        </w:rPr>
        <w:t>,</w:t>
      </w:r>
      <w:r w:rsidRPr="008725C2">
        <w:rPr>
          <w:lang w:val="en-GB"/>
        </w:rPr>
        <w:t>000</w:t>
      </w:r>
      <w:r w:rsidRPr="008725C2" w:rsidR="008725C2">
        <w:rPr>
          <w:lang w:val="en-GB"/>
        </w:rPr>
        <w:t xml:space="preserve"> in </w:t>
      </w:r>
      <w:r w:rsidR="00731B65">
        <w:rPr>
          <w:lang w:val="en-GB"/>
        </w:rPr>
        <w:t xml:space="preserve">total for </w:t>
      </w:r>
      <w:r w:rsidRPr="008725C2" w:rsidR="008725C2">
        <w:rPr>
          <w:lang w:val="en-GB"/>
        </w:rPr>
        <w:t>all</w:t>
      </w:r>
      <w:r w:rsidR="00B84D46">
        <w:rPr>
          <w:lang w:val="en-GB"/>
        </w:rPr>
        <w:t xml:space="preserve"> the</w:t>
      </w:r>
      <w:r w:rsidRPr="008725C2" w:rsidR="008725C2">
        <w:rPr>
          <w:lang w:val="en-GB"/>
        </w:rPr>
        <w:t xml:space="preserve"> costs incurred before the dome</w:t>
      </w:r>
      <w:r w:rsidR="008725C2">
        <w:rPr>
          <w:lang w:val="en-GB"/>
        </w:rPr>
        <w:t>stic courts and in</w:t>
      </w:r>
      <w:r w:rsidRPr="008725C2">
        <w:rPr>
          <w:lang w:val="en-GB"/>
        </w:rPr>
        <w:t xml:space="preserve"> Strasbourg, plus </w:t>
      </w:r>
      <w:r w:rsidR="008725C2">
        <w:rPr>
          <w:lang w:val="en-GB"/>
        </w:rPr>
        <w:t>any tax that may be chargeable</w:t>
      </w:r>
      <w:r w:rsidR="001A4894">
        <w:rPr>
          <w:lang w:val="en-GB"/>
        </w:rPr>
        <w:t xml:space="preserve"> on that amount</w:t>
      </w:r>
      <w:r w:rsidRPr="008725C2">
        <w:rPr>
          <w:lang w:val="en-GB"/>
        </w:rPr>
        <w:t>.</w:t>
      </w:r>
    </w:p>
    <w:p w:rsidRPr="00F259A9" w:rsidR="00EA5DBF" w:rsidP="00124007" w:rsidRDefault="00D52829">
      <w:pPr>
        <w:pStyle w:val="JuH1"/>
        <w:outlineLvl w:val="0"/>
        <w:rPr>
          <w:lang w:val="en-GB"/>
        </w:rPr>
      </w:pPr>
      <w:r w:rsidRPr="00F259A9">
        <w:rPr>
          <w:lang w:val="en-GB"/>
        </w:rPr>
        <w:t>5</w:t>
      </w:r>
      <w:r w:rsidRPr="00F259A9" w:rsidR="00EA5DBF">
        <w:rPr>
          <w:lang w:val="en-GB"/>
        </w:rPr>
        <w:t>.  </w:t>
      </w:r>
      <w:r w:rsidRPr="00F259A9" w:rsidR="00731B65">
        <w:rPr>
          <w:lang w:val="en-GB"/>
        </w:rPr>
        <w:t>Default interest</w:t>
      </w:r>
    </w:p>
    <w:p w:rsidR="00EA5DBF" w:rsidP="00DD5582" w:rsidRDefault="00EA5DBF">
      <w:pPr>
        <w:pStyle w:val="JuParaChar1"/>
        <w:rPr>
          <w:lang w:val="en-GB"/>
        </w:rPr>
      </w:pPr>
      <w:r w:rsidRPr="00C2011C">
        <w:fldChar w:fldCharType="begin"/>
      </w:r>
      <w:r w:rsidRPr="00853ACF">
        <w:rPr>
          <w:lang w:val="en-GB"/>
        </w:rPr>
        <w:instrText xml:space="preserve"> SEQ level0 \*arabic </w:instrText>
      </w:r>
      <w:r w:rsidRPr="00C2011C">
        <w:fldChar w:fldCharType="separate"/>
      </w:r>
      <w:r w:rsidR="008B3B68">
        <w:rPr>
          <w:noProof/>
          <w:lang w:val="en-GB"/>
        </w:rPr>
        <w:t>287</w:t>
      </w:r>
      <w:r w:rsidRPr="00C2011C">
        <w:fldChar w:fldCharType="end"/>
      </w:r>
      <w:r w:rsidRPr="00853ACF">
        <w:rPr>
          <w:lang w:val="en-GB"/>
        </w:rPr>
        <w:t>.  </w:t>
      </w:r>
      <w:r w:rsidRPr="00731B65" w:rsidR="00731B65">
        <w:rPr>
          <w:lang w:val="en-GB"/>
        </w:rPr>
        <w:t>The Court considers it appropriate that the default interest should be based on the marginal lending rate of the European Central Bank, to which should be added three percentage points</w:t>
      </w:r>
      <w:r w:rsidRPr="00731B65">
        <w:rPr>
          <w:lang w:val="en-GB"/>
        </w:rPr>
        <w:t>.</w:t>
      </w:r>
    </w:p>
    <w:p w:rsidR="00CD5E4D" w:rsidP="00124007" w:rsidRDefault="00CD5E4D">
      <w:pPr>
        <w:pStyle w:val="JuHHead"/>
        <w:outlineLvl w:val="0"/>
      </w:pPr>
    </w:p>
    <w:p w:rsidRPr="008213D8" w:rsidR="00731B65" w:rsidP="00124007" w:rsidRDefault="00AE3A2D">
      <w:pPr>
        <w:pStyle w:val="JuHHead"/>
        <w:outlineLvl w:val="0"/>
      </w:pPr>
      <w:r>
        <w:t xml:space="preserve">FOR THESE REASONS, THE COURT </w:t>
      </w:r>
      <w:r w:rsidRPr="008213D8" w:rsidR="00731B65">
        <w:t>UNANIMOUSLY</w:t>
      </w:r>
    </w:p>
    <w:p w:rsidR="00731B65" w:rsidP="00731B65" w:rsidRDefault="00B84D46">
      <w:pPr>
        <w:pStyle w:val="JuList"/>
      </w:pPr>
      <w:r>
        <w:t>1</w:t>
      </w:r>
      <w:r w:rsidRPr="008213D8" w:rsidR="00731B65">
        <w:t>.  </w:t>
      </w:r>
      <w:r w:rsidRPr="008213D8" w:rsidR="00731B65">
        <w:rPr>
          <w:i/>
        </w:rPr>
        <w:t>Holds</w:t>
      </w:r>
      <w:r w:rsidR="00AE3A2D">
        <w:t xml:space="preserve"> </w:t>
      </w:r>
      <w:r w:rsidRPr="008213D8" w:rsidR="00731B65">
        <w:t>that there has been a violation of Article</w:t>
      </w:r>
      <w:r w:rsidR="00523915">
        <w:t xml:space="preserve"> 1 of Protocol No. 1 </w:t>
      </w:r>
      <w:r>
        <w:t>on account of the inadequate amount of compensation for expropriation</w:t>
      </w:r>
      <w:r w:rsidRPr="008213D8" w:rsidR="00731B65">
        <w:t>;</w:t>
      </w:r>
    </w:p>
    <w:p w:rsidR="00731B65" w:rsidP="00731B65" w:rsidRDefault="00731B65">
      <w:pPr>
        <w:pStyle w:val="JuList"/>
      </w:pPr>
    </w:p>
    <w:p w:rsidR="00731B65" w:rsidP="00731B65" w:rsidRDefault="00B84D46">
      <w:pPr>
        <w:pStyle w:val="JuList"/>
      </w:pPr>
      <w:r>
        <w:t>2</w:t>
      </w:r>
      <w:r w:rsidR="00731B65">
        <w:t>.</w:t>
      </w:r>
      <w:r w:rsidR="00984167">
        <w:t>  </w:t>
      </w:r>
      <w:r w:rsidRPr="0036259B" w:rsidR="00731B65">
        <w:rPr>
          <w:i/>
        </w:rPr>
        <w:t>Holds</w:t>
      </w:r>
      <w:r w:rsidR="00AE3A2D">
        <w:rPr>
          <w:i/>
        </w:rPr>
        <w:t xml:space="preserve"> </w:t>
      </w:r>
      <w:r w:rsidR="00731B65">
        <w:t>that the</w:t>
      </w:r>
      <w:r>
        <w:t xml:space="preserve">re is no need to examine under </w:t>
      </w:r>
      <w:r w:rsidRPr="008213D8">
        <w:t>Article</w:t>
      </w:r>
      <w:r>
        <w:t xml:space="preserve"> 1 of Protocol No. 1 the complaint based on the retrospective application to the present case of section 5 </w:t>
      </w:r>
      <w:r w:rsidRPr="00152D42">
        <w:rPr>
          <w:i/>
        </w:rPr>
        <w:t>bis</w:t>
      </w:r>
      <w:r>
        <w:t xml:space="preserve"> of Law no. 359/1992</w:t>
      </w:r>
      <w:r w:rsidR="00731B65">
        <w:t>;</w:t>
      </w:r>
    </w:p>
    <w:p w:rsidR="00B84D46" w:rsidP="00731B65" w:rsidRDefault="00B84D46">
      <w:pPr>
        <w:pStyle w:val="JuList"/>
      </w:pPr>
    </w:p>
    <w:p w:rsidR="00B84D46" w:rsidP="00731B65" w:rsidRDefault="00B84D46">
      <w:pPr>
        <w:pStyle w:val="JuList"/>
      </w:pPr>
      <w:r>
        <w:t>3.</w:t>
      </w:r>
      <w:r w:rsidR="00984167">
        <w:t>  </w:t>
      </w:r>
      <w:r w:rsidRPr="00B84D46">
        <w:rPr>
          <w:i/>
        </w:rPr>
        <w:t>Holds</w:t>
      </w:r>
      <w:r>
        <w:rPr>
          <w:i/>
        </w:rPr>
        <w:t xml:space="preserve"> </w:t>
      </w:r>
      <w:r w:rsidRPr="008213D8">
        <w:t>that there has been a violation of Article</w:t>
      </w:r>
      <w:r>
        <w:t xml:space="preserve"> 6 § 1 </w:t>
      </w:r>
      <w:r w:rsidR="00DC0141">
        <w:t xml:space="preserve">of the Convention </w:t>
      </w:r>
      <w:r>
        <w:t>on account of the</w:t>
      </w:r>
      <w:r w:rsidRPr="00B84D46">
        <w:t xml:space="preserve"> </w:t>
      </w:r>
      <w:r>
        <w:t xml:space="preserve">application to the present case of section 5 </w:t>
      </w:r>
      <w:r w:rsidRPr="00152D42">
        <w:rPr>
          <w:i/>
        </w:rPr>
        <w:t>bis</w:t>
      </w:r>
      <w:r>
        <w:t xml:space="preserve"> of Law no. 359/1992;</w:t>
      </w:r>
    </w:p>
    <w:p w:rsidR="00B84D46" w:rsidP="00731B65" w:rsidRDefault="00B84D46">
      <w:pPr>
        <w:pStyle w:val="JuList"/>
      </w:pPr>
    </w:p>
    <w:p w:rsidR="00B84D46" w:rsidP="00B84D46" w:rsidRDefault="00B84D46">
      <w:pPr>
        <w:pStyle w:val="JuList"/>
      </w:pPr>
      <w:r>
        <w:t>4</w:t>
      </w:r>
      <w:r w:rsidRPr="008213D8">
        <w:t>.  </w:t>
      </w:r>
      <w:r w:rsidRPr="008213D8">
        <w:rPr>
          <w:i/>
        </w:rPr>
        <w:t>Dismisses</w:t>
      </w:r>
      <w:r w:rsidR="00AE3A2D">
        <w:t xml:space="preserve"> </w:t>
      </w:r>
      <w:r w:rsidRPr="008213D8">
        <w:t>the Government</w:t>
      </w:r>
      <w:r w:rsidR="00E6191D">
        <w:t>’</w:t>
      </w:r>
      <w:r>
        <w:t xml:space="preserve">s preliminary objection as to the non-exhaustion of domestic remedies in respect of the complaint </w:t>
      </w:r>
      <w:r w:rsidR="00152D42">
        <w:t>about</w:t>
      </w:r>
      <w:r>
        <w:t xml:space="preserve"> the length of the proceedings</w:t>
      </w:r>
      <w:r w:rsidRPr="008213D8">
        <w:t>;</w:t>
      </w:r>
    </w:p>
    <w:p w:rsidR="00B84D46" w:rsidP="00B84D46" w:rsidRDefault="00B84D46">
      <w:pPr>
        <w:pStyle w:val="JuList"/>
      </w:pPr>
    </w:p>
    <w:p w:rsidRPr="008213D8" w:rsidR="00B84D46" w:rsidP="00B84D46" w:rsidRDefault="00B84D46">
      <w:pPr>
        <w:pStyle w:val="JuList"/>
      </w:pPr>
      <w:r>
        <w:t>5.</w:t>
      </w:r>
      <w:r w:rsidR="00984167">
        <w:t>  </w:t>
      </w:r>
      <w:r w:rsidRPr="00B84D46">
        <w:rPr>
          <w:i/>
        </w:rPr>
        <w:t>Holds</w:t>
      </w:r>
      <w:r>
        <w:t xml:space="preserve"> </w:t>
      </w:r>
      <w:r w:rsidRPr="008213D8">
        <w:t>that the</w:t>
      </w:r>
      <w:r>
        <w:t xml:space="preserve"> applicants can claim to be “victims”, for the purposes of Article 34 of the Convention, of a violation of the “reasonable</w:t>
      </w:r>
      <w:r w:rsidR="00842436">
        <w:t xml:space="preserve"> </w:t>
      </w:r>
      <w:r>
        <w:t>time” principle</w:t>
      </w:r>
      <w:r w:rsidR="00152D42">
        <w:t>;</w:t>
      </w:r>
    </w:p>
    <w:p w:rsidR="00B84D46" w:rsidP="00731B65" w:rsidRDefault="00B84D46">
      <w:pPr>
        <w:pStyle w:val="JuList"/>
      </w:pPr>
    </w:p>
    <w:p w:rsidR="00731B65" w:rsidP="00731B65" w:rsidRDefault="00B84D46">
      <w:pPr>
        <w:pStyle w:val="JuList"/>
      </w:pPr>
      <w:r>
        <w:t>6</w:t>
      </w:r>
      <w:r w:rsidR="00731B65">
        <w:t>.</w:t>
      </w:r>
      <w:r w:rsidR="00984167">
        <w:t>  </w:t>
      </w:r>
      <w:r w:rsidRPr="00B84D46">
        <w:rPr>
          <w:i/>
        </w:rPr>
        <w:t>Holds</w:t>
      </w:r>
      <w:r w:rsidRPr="008213D8">
        <w:t xml:space="preserve"> that there has been a violation of Article</w:t>
      </w:r>
      <w:r>
        <w:t xml:space="preserve"> 6 § 1 </w:t>
      </w:r>
      <w:r w:rsidR="00E00A80">
        <w:t xml:space="preserve">of the Convention </w:t>
      </w:r>
      <w:r>
        <w:t>on account of the</w:t>
      </w:r>
      <w:r w:rsidRPr="00B84D46">
        <w:t xml:space="preserve"> </w:t>
      </w:r>
      <w:r>
        <w:t>length of the proceedings</w:t>
      </w:r>
      <w:r w:rsidR="00731B65">
        <w:t>;</w:t>
      </w:r>
    </w:p>
    <w:p w:rsidRPr="008213D8" w:rsidR="00731B65" w:rsidP="00731B65" w:rsidRDefault="00731B65">
      <w:pPr>
        <w:pStyle w:val="JuList"/>
      </w:pPr>
    </w:p>
    <w:p w:rsidRPr="008213D8" w:rsidR="00731B65" w:rsidP="00731B65" w:rsidRDefault="00B84D46">
      <w:pPr>
        <w:pStyle w:val="JuList"/>
      </w:pPr>
      <w:r>
        <w:t>7</w:t>
      </w:r>
      <w:r w:rsidRPr="008213D8" w:rsidR="00731B65">
        <w:t>.  </w:t>
      </w:r>
      <w:r w:rsidRPr="008213D8" w:rsidR="00731B65">
        <w:rPr>
          <w:i/>
        </w:rPr>
        <w:t>Holds</w:t>
      </w:r>
    </w:p>
    <w:p w:rsidRPr="008213D8" w:rsidR="00731B65" w:rsidP="00731B65" w:rsidRDefault="00731B65">
      <w:pPr>
        <w:pStyle w:val="JuLista"/>
      </w:pPr>
      <w:r w:rsidRPr="008213D8">
        <w:t>(a)  that the respondent State is to pay the applicant</w:t>
      </w:r>
      <w:r w:rsidR="00B84D46">
        <w:t>s</w:t>
      </w:r>
      <w:r w:rsidRPr="008213D8">
        <w:t>, within three months, the following amounts:</w:t>
      </w:r>
    </w:p>
    <w:p w:rsidRPr="008213D8" w:rsidR="00731B65" w:rsidP="00731B65" w:rsidRDefault="00731B65">
      <w:pPr>
        <w:pStyle w:val="JuListi"/>
      </w:pPr>
      <w:r w:rsidRPr="008213D8">
        <w:t xml:space="preserve">(i)  EUR </w:t>
      </w:r>
      <w:r>
        <w:t>5</w:t>
      </w:r>
      <w:r w:rsidR="00B84D46">
        <w:t>80,0</w:t>
      </w:r>
      <w:r>
        <w:t>00</w:t>
      </w:r>
      <w:r w:rsidRPr="008213D8">
        <w:t xml:space="preserve"> (</w:t>
      </w:r>
      <w:r>
        <w:t xml:space="preserve">five </w:t>
      </w:r>
      <w:r w:rsidR="00B84D46">
        <w:t>hundred and eight</w:t>
      </w:r>
      <w:r w:rsidR="00152D42">
        <w:t>y</w:t>
      </w:r>
      <w:r w:rsidR="00B84D46">
        <w:t xml:space="preserve"> thousand </w:t>
      </w:r>
      <w:r w:rsidRPr="008213D8">
        <w:t>euros) in respect of pecuniary damage;</w:t>
      </w:r>
    </w:p>
    <w:p w:rsidR="00731B65" w:rsidP="00512FB4" w:rsidRDefault="00731B65">
      <w:pPr>
        <w:pStyle w:val="JuListi"/>
      </w:pPr>
      <w:r w:rsidRPr="00DE0F7A">
        <w:t xml:space="preserve">(ii)  EUR </w:t>
      </w:r>
      <w:r w:rsidR="00AE3A2D">
        <w:t>8,400 (eight</w:t>
      </w:r>
      <w:r w:rsidRPr="00DE0F7A">
        <w:t xml:space="preserve"> thousand</w:t>
      </w:r>
      <w:r w:rsidRPr="00DE0F7A" w:rsidR="008D6C3F">
        <w:t xml:space="preserve"> </w:t>
      </w:r>
      <w:r w:rsidR="00AE3A2D">
        <w:t>four</w:t>
      </w:r>
      <w:r w:rsidRPr="00DE0F7A" w:rsidR="008D6C3F">
        <w:t xml:space="preserve"> hundred </w:t>
      </w:r>
      <w:r w:rsidR="00AE3A2D">
        <w:t>euros</w:t>
      </w:r>
      <w:r w:rsidRPr="00DE0F7A" w:rsidR="00DE0F7A">
        <w:t>)</w:t>
      </w:r>
      <w:r w:rsidRPr="00DE0F7A" w:rsidR="008D6C3F">
        <w:t xml:space="preserve"> </w:t>
      </w:r>
      <w:r w:rsidR="008D6C3F">
        <w:t xml:space="preserve">plus EUR 4,000 </w:t>
      </w:r>
      <w:r w:rsidRPr="00C2011C" w:rsidR="008D6C3F">
        <w:t>(</w:t>
      </w:r>
      <w:r w:rsidR="008D6C3F">
        <w:t xml:space="preserve">four thousand euros), that is, </w:t>
      </w:r>
      <w:r w:rsidR="00750BC1">
        <w:t>a</w:t>
      </w:r>
      <w:r w:rsidR="008D6C3F">
        <w:t xml:space="preserve"> total </w:t>
      </w:r>
      <w:r w:rsidR="00750BC1">
        <w:t xml:space="preserve">of </w:t>
      </w:r>
      <w:r w:rsidR="00387ED3">
        <w:t>EUR</w:t>
      </w:r>
      <w:r w:rsidR="009E14C6">
        <w:t xml:space="preserve"> </w:t>
      </w:r>
      <w:r w:rsidR="00387ED3">
        <w:t>12,400 (twelve thousand four hundred</w:t>
      </w:r>
      <w:r w:rsidR="008D6C3F">
        <w:t xml:space="preserve"> </w:t>
      </w:r>
      <w:r w:rsidR="00911922">
        <w:t>euros) for non</w:t>
      </w:r>
      <w:r w:rsidR="00911922">
        <w:noBreakHyphen/>
      </w:r>
      <w:r w:rsidR="00750BC1">
        <w:t>pecuniary damage</w:t>
      </w:r>
      <w:r w:rsidRPr="008213D8">
        <w:t>;</w:t>
      </w:r>
    </w:p>
    <w:p w:rsidRPr="008213D8" w:rsidR="00750BC1" w:rsidP="00731B65" w:rsidRDefault="00750BC1">
      <w:pPr>
        <w:pStyle w:val="JuListi"/>
      </w:pPr>
      <w:r>
        <w:t>(iii)</w:t>
      </w:r>
      <w:r w:rsidR="00DC0141">
        <w:t>  </w:t>
      </w:r>
      <w:r>
        <w:t>EUR</w:t>
      </w:r>
      <w:r w:rsidR="009E14C6">
        <w:t xml:space="preserve"> </w:t>
      </w:r>
      <w:r>
        <w:t>50,000 (fifty thousand euros) for costs and expenses;</w:t>
      </w:r>
    </w:p>
    <w:p w:rsidRPr="008213D8" w:rsidR="00731B65" w:rsidP="00731B65" w:rsidRDefault="00731B65">
      <w:pPr>
        <w:pStyle w:val="JuListi"/>
      </w:pPr>
      <w:r w:rsidRPr="008213D8">
        <w:t>(i</w:t>
      </w:r>
      <w:r w:rsidR="00750BC1">
        <w:t>v</w:t>
      </w:r>
      <w:r w:rsidRPr="008213D8">
        <w:t>)  any tax that may be chargeable on the above amounts;</w:t>
      </w:r>
    </w:p>
    <w:p w:rsidRPr="008213D8" w:rsidR="00731B65" w:rsidP="00731B65" w:rsidRDefault="00731B65">
      <w:pPr>
        <w:pStyle w:val="JuLista"/>
      </w:pPr>
      <w:r w:rsidRPr="008213D8">
        <w:t>(b)  that from the expiry of the above-mentioned three months until settlement simple interest shall be payabl</w:t>
      </w:r>
      <w:r>
        <w:t>e on the above amount</w:t>
      </w:r>
      <w:r w:rsidRPr="008213D8">
        <w:t>s at a rate equal to the marginal lending rate of the European Central Bank during the default period plus three percentage points;</w:t>
      </w:r>
    </w:p>
    <w:p w:rsidRPr="008213D8" w:rsidR="00731B65" w:rsidP="00731B65" w:rsidRDefault="00731B65">
      <w:pPr>
        <w:pStyle w:val="JuList"/>
      </w:pPr>
    </w:p>
    <w:p w:rsidRPr="008213D8" w:rsidR="00731B65" w:rsidP="00731B65" w:rsidRDefault="00104E6D">
      <w:pPr>
        <w:pStyle w:val="JuList"/>
      </w:pPr>
      <w:r>
        <w:t>8</w:t>
      </w:r>
      <w:r w:rsidRPr="008213D8" w:rsidR="00731B65">
        <w:t>.  </w:t>
      </w:r>
      <w:r w:rsidRPr="008213D8" w:rsidR="00731B65">
        <w:rPr>
          <w:i/>
        </w:rPr>
        <w:t>Dismisses</w:t>
      </w:r>
      <w:r w:rsidRPr="008213D8" w:rsidR="00731B65">
        <w:t xml:space="preserve"> the remainder of the applicants</w:t>
      </w:r>
      <w:r w:rsidR="00E6191D">
        <w:t>’</w:t>
      </w:r>
      <w:r w:rsidRPr="008213D8" w:rsidR="00731B65">
        <w:t xml:space="preserve"> claim for just satisfaction.</w:t>
      </w:r>
    </w:p>
    <w:p w:rsidR="00BE0920" w:rsidP="00731B65" w:rsidRDefault="00BE0920">
      <w:pPr>
        <w:pStyle w:val="JuParaLast"/>
      </w:pPr>
    </w:p>
    <w:p w:rsidR="00BE0920" w:rsidP="00731B65" w:rsidRDefault="00BE0920">
      <w:pPr>
        <w:pStyle w:val="JuParaLast"/>
      </w:pPr>
    </w:p>
    <w:p w:rsidRPr="008213D8" w:rsidR="00731B65" w:rsidP="00731B65" w:rsidRDefault="00731B65">
      <w:pPr>
        <w:pStyle w:val="JuParaLast"/>
      </w:pPr>
      <w:r w:rsidRPr="008213D8">
        <w:t xml:space="preserve">Done in </w:t>
      </w:r>
      <w:r w:rsidR="00523915">
        <w:t>English</w:t>
      </w:r>
      <w:r>
        <w:t xml:space="preserve"> and in </w:t>
      </w:r>
      <w:r w:rsidR="00523915">
        <w:t>French</w:t>
      </w:r>
      <w:r w:rsidRPr="008213D8">
        <w:t xml:space="preserve">, and delivered at a public hearing in the Human Rights Building, </w:t>
      </w:r>
      <w:smartTag w:uri="urn:schemas-microsoft-com:office:smarttags" w:element="place">
        <w:smartTag w:uri="urn:schemas-microsoft-com:office:smarttags" w:element="City">
          <w:r w:rsidRPr="008213D8">
            <w:t>Strasbourg</w:t>
          </w:r>
        </w:smartTag>
      </w:smartTag>
      <w:r w:rsidRPr="008213D8">
        <w:t xml:space="preserve">, on </w:t>
      </w:r>
      <w:smartTag w:uri="urn:schemas-microsoft-com:office:smarttags" w:element="date">
        <w:smartTagPr>
          <w:attr w:name="Month" w:val="3"/>
          <w:attr w:name="Day" w:val="29"/>
          <w:attr w:name="Year" w:val="2006"/>
        </w:smartTagPr>
        <w:r w:rsidR="00523915">
          <w:t>29 March 2006</w:t>
        </w:r>
      </w:smartTag>
      <w:r w:rsidR="00523915">
        <w:t>.</w:t>
      </w:r>
    </w:p>
    <w:p w:rsidR="00F7226C" w:rsidP="00F7226C" w:rsidRDefault="00731B65">
      <w:pPr>
        <w:pStyle w:val="JuSigned"/>
        <w:keepNext/>
        <w:keepLines/>
        <w:rPr>
          <w:rStyle w:val="JuNames"/>
        </w:rPr>
      </w:pPr>
      <w:r w:rsidRPr="008213D8">
        <w:tab/>
      </w:r>
      <w:r w:rsidR="00BE0920">
        <w:t xml:space="preserve"> </w:t>
      </w:r>
      <w:smartTag w:uri="urn:schemas-microsoft-com:office:smarttags" w:element="City">
        <w:smartTag w:uri="urn:schemas-microsoft-com:office:smarttags" w:element="place">
          <w:r w:rsidR="00BE0920">
            <w:t>Lawrence</w:t>
          </w:r>
        </w:smartTag>
      </w:smartTag>
      <w:r w:rsidRPr="008213D8" w:rsidR="00F7226C">
        <w:t xml:space="preserve"> </w:t>
      </w:r>
      <w:r w:rsidRPr="008213D8" w:rsidR="00F7226C">
        <w:rPr>
          <w:rStyle w:val="JuNames"/>
        </w:rPr>
        <w:t>E</w:t>
      </w:r>
      <w:r w:rsidRPr="00BE0920" w:rsidR="00F7226C">
        <w:rPr>
          <w:rStyle w:val="JuNames"/>
          <w:rFonts w:ascii="Times New (W1)" w:hAnsi="Times New (W1)"/>
          <w:smallCaps w:val="0"/>
        </w:rPr>
        <w:t>arly</w:t>
      </w:r>
      <w:r w:rsidRPr="008213D8">
        <w:tab/>
        <w:t xml:space="preserve">Luzius </w:t>
      </w:r>
      <w:r w:rsidRPr="008213D8">
        <w:rPr>
          <w:rStyle w:val="JuNames"/>
        </w:rPr>
        <w:t>W</w:t>
      </w:r>
      <w:r w:rsidRPr="00BE0920">
        <w:rPr>
          <w:rStyle w:val="JuNames"/>
          <w:rFonts w:ascii="Times New (W1)" w:hAnsi="Times New (W1)"/>
          <w:smallCaps w:val="0"/>
        </w:rPr>
        <w:t>ildhaber</w:t>
      </w:r>
      <w:r w:rsidRPr="008213D8">
        <w:rPr>
          <w:rStyle w:val="JuNames"/>
        </w:rPr>
        <w:br/>
      </w:r>
      <w:r w:rsidRPr="008213D8">
        <w:rPr>
          <w:rStyle w:val="JuNames"/>
        </w:rPr>
        <w:tab/>
      </w:r>
      <w:r w:rsidRPr="008213D8" w:rsidR="00F7226C">
        <w:t>Deputy Registrar</w:t>
      </w:r>
      <w:r w:rsidR="00F7226C">
        <w:tab/>
      </w:r>
      <w:r w:rsidRPr="008213D8" w:rsidR="00F7226C">
        <w:t>President</w:t>
      </w:r>
    </w:p>
    <w:sectPr w:rsidR="00F7226C" w:rsidSect="008056BB">
      <w:headerReference w:type="even" r:id="rId8"/>
      <w:headerReference w:type="default" r:id="rId9"/>
      <w:footnotePr>
        <w:numRestart w:val="eachPage"/>
      </w:footnotePr>
      <w:pgSz w:w="11906" w:h="16838"/>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A5F" w:rsidRDefault="00525A5F">
      <w:r>
        <w:separator/>
      </w:r>
    </w:p>
  </w:endnote>
  <w:endnote w:type="continuationSeparator" w:id="0">
    <w:p w:rsidR="00525A5F" w:rsidRDefault="00525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A5F" w:rsidRDefault="00525A5F">
      <w:r>
        <w:separator/>
      </w:r>
    </w:p>
  </w:footnote>
  <w:footnote w:type="continuationSeparator" w:id="0">
    <w:p w:rsidR="00525A5F" w:rsidRDefault="00525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A5F" w:rsidRDefault="00525A5F">
    <w:pPr>
      <w:pStyle w:val="Header"/>
    </w:pPr>
    <w:r>
      <w:rPr>
        <w:rStyle w:val="PageNumber"/>
      </w:rPr>
      <w:fldChar w:fldCharType="begin"/>
    </w:r>
    <w:r>
      <w:rPr>
        <w:rStyle w:val="PageNumber"/>
      </w:rPr>
      <w:instrText xml:space="preserve"> PAGE </w:instrText>
    </w:r>
    <w:r>
      <w:rPr>
        <w:rStyle w:val="PageNumber"/>
      </w:rPr>
      <w:fldChar w:fldCharType="separate"/>
    </w:r>
    <w:r w:rsidR="00E6191D">
      <w:rPr>
        <w:rStyle w:val="PageNumber"/>
        <w:noProof/>
      </w:rPr>
      <w:t>68</w:t>
    </w:r>
    <w:r>
      <w:rPr>
        <w:rStyle w:val="PageNumber"/>
      </w:rPr>
      <w:fldChar w:fldCharType="end"/>
    </w:r>
    <w:r>
      <w:tab/>
      <w:t xml:space="preserve">SCORDINO v. </w:t>
    </w:r>
    <w:smartTag w:uri="urn:schemas-microsoft-com:office:smarttags" w:element="place">
      <w:smartTag w:uri="urn:schemas-microsoft-com:office:smarttags" w:element="country-region">
        <w:r>
          <w:t>ITALY</w:t>
        </w:r>
      </w:smartTag>
    </w:smartTag>
    <w:r>
      <w:t xml:space="preserve"> (No. 1) JUDGMENT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A5F" w:rsidRDefault="00525A5F">
    <w:pPr>
      <w:pStyle w:val="Header"/>
    </w:pPr>
    <w:r>
      <w:tab/>
      <w:t xml:space="preserve">SCORDINO v. </w:t>
    </w:r>
    <w:smartTag w:uri="urn:schemas-microsoft-com:office:smarttags" w:element="place">
      <w:smartTag w:uri="urn:schemas-microsoft-com:office:smarttags" w:element="country-region">
        <w:r>
          <w:t>ITALY</w:t>
        </w:r>
      </w:smartTag>
    </w:smartTag>
    <w:r>
      <w:t xml:space="preserve"> (No. 1) JUDGMENT</w:t>
    </w:r>
    <w:r>
      <w:tab/>
    </w:r>
    <w:r>
      <w:rPr>
        <w:rStyle w:val="PageNumber"/>
      </w:rPr>
      <w:fldChar w:fldCharType="begin"/>
    </w:r>
    <w:r>
      <w:rPr>
        <w:rStyle w:val="PageNumber"/>
      </w:rPr>
      <w:instrText xml:space="preserve"> PAGE </w:instrText>
    </w:r>
    <w:r>
      <w:rPr>
        <w:rStyle w:val="PageNumber"/>
      </w:rPr>
      <w:fldChar w:fldCharType="separate"/>
    </w:r>
    <w:r w:rsidR="00E6191D">
      <w:rPr>
        <w:rStyle w:val="PageNumber"/>
        <w:noProof/>
      </w:rPr>
      <w:t>67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4043"/>
    <w:multiLevelType w:val="hybridMultilevel"/>
    <w:tmpl w:val="74009840"/>
    <w:lvl w:ilvl="0" w:tplc="FE2A2D40">
      <w:start w:val="2"/>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1">
    <w:nsid w:val="192859CB"/>
    <w:multiLevelType w:val="hybridMultilevel"/>
    <w:tmpl w:val="81CA9E0A"/>
    <w:lvl w:ilvl="0" w:tplc="7876CBE4">
      <w:start w:val="3"/>
      <w:numFmt w:val="lowerRoman"/>
      <w:lvlText w:val="%1."/>
      <w:lvlJc w:val="left"/>
      <w:pPr>
        <w:tabs>
          <w:tab w:val="num" w:pos="1553"/>
        </w:tabs>
        <w:ind w:left="1553" w:hanging="720"/>
      </w:pPr>
      <w:rPr>
        <w:rFonts w:hint="default"/>
      </w:rPr>
    </w:lvl>
    <w:lvl w:ilvl="1" w:tplc="040C0019" w:tentative="1">
      <w:start w:val="1"/>
      <w:numFmt w:val="lowerLetter"/>
      <w:lvlText w:val="%2."/>
      <w:lvlJc w:val="left"/>
      <w:pPr>
        <w:tabs>
          <w:tab w:val="num" w:pos="1913"/>
        </w:tabs>
        <w:ind w:left="1913" w:hanging="360"/>
      </w:pPr>
    </w:lvl>
    <w:lvl w:ilvl="2" w:tplc="040C001B" w:tentative="1">
      <w:start w:val="1"/>
      <w:numFmt w:val="lowerRoman"/>
      <w:lvlText w:val="%3."/>
      <w:lvlJc w:val="right"/>
      <w:pPr>
        <w:tabs>
          <w:tab w:val="num" w:pos="2633"/>
        </w:tabs>
        <w:ind w:left="2633" w:hanging="180"/>
      </w:pPr>
    </w:lvl>
    <w:lvl w:ilvl="3" w:tplc="040C000F" w:tentative="1">
      <w:start w:val="1"/>
      <w:numFmt w:val="decimal"/>
      <w:lvlText w:val="%4."/>
      <w:lvlJc w:val="left"/>
      <w:pPr>
        <w:tabs>
          <w:tab w:val="num" w:pos="3353"/>
        </w:tabs>
        <w:ind w:left="3353" w:hanging="360"/>
      </w:pPr>
    </w:lvl>
    <w:lvl w:ilvl="4" w:tplc="040C0019" w:tentative="1">
      <w:start w:val="1"/>
      <w:numFmt w:val="lowerLetter"/>
      <w:lvlText w:val="%5."/>
      <w:lvlJc w:val="left"/>
      <w:pPr>
        <w:tabs>
          <w:tab w:val="num" w:pos="4073"/>
        </w:tabs>
        <w:ind w:left="4073" w:hanging="360"/>
      </w:pPr>
    </w:lvl>
    <w:lvl w:ilvl="5" w:tplc="040C001B" w:tentative="1">
      <w:start w:val="1"/>
      <w:numFmt w:val="lowerRoman"/>
      <w:lvlText w:val="%6."/>
      <w:lvlJc w:val="right"/>
      <w:pPr>
        <w:tabs>
          <w:tab w:val="num" w:pos="4793"/>
        </w:tabs>
        <w:ind w:left="4793" w:hanging="180"/>
      </w:pPr>
    </w:lvl>
    <w:lvl w:ilvl="6" w:tplc="040C000F" w:tentative="1">
      <w:start w:val="1"/>
      <w:numFmt w:val="decimal"/>
      <w:lvlText w:val="%7."/>
      <w:lvlJc w:val="left"/>
      <w:pPr>
        <w:tabs>
          <w:tab w:val="num" w:pos="5513"/>
        </w:tabs>
        <w:ind w:left="5513" w:hanging="360"/>
      </w:pPr>
    </w:lvl>
    <w:lvl w:ilvl="7" w:tplc="040C0019" w:tentative="1">
      <w:start w:val="1"/>
      <w:numFmt w:val="lowerLetter"/>
      <w:lvlText w:val="%8."/>
      <w:lvlJc w:val="left"/>
      <w:pPr>
        <w:tabs>
          <w:tab w:val="num" w:pos="6233"/>
        </w:tabs>
        <w:ind w:left="6233" w:hanging="360"/>
      </w:pPr>
    </w:lvl>
    <w:lvl w:ilvl="8" w:tplc="040C001B" w:tentative="1">
      <w:start w:val="1"/>
      <w:numFmt w:val="lowerRoman"/>
      <w:lvlText w:val="%9."/>
      <w:lvlJc w:val="right"/>
      <w:pPr>
        <w:tabs>
          <w:tab w:val="num" w:pos="6953"/>
        </w:tabs>
        <w:ind w:left="6953" w:hanging="180"/>
      </w:pPr>
    </w:lvl>
  </w:abstractNum>
  <w:abstractNum w:abstractNumId="2">
    <w:nsid w:val="1A055FDA"/>
    <w:multiLevelType w:val="hybridMultilevel"/>
    <w:tmpl w:val="202A7572"/>
    <w:lvl w:ilvl="0" w:tplc="55680C9C">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3">
    <w:nsid w:val="257B114D"/>
    <w:multiLevelType w:val="hybridMultilevel"/>
    <w:tmpl w:val="37F4068C"/>
    <w:lvl w:ilvl="0" w:tplc="13BEB55C">
      <w:start w:val="2"/>
      <w:numFmt w:val="lowerLetter"/>
      <w:lvlText w:val="%1)"/>
      <w:lvlJc w:val="left"/>
      <w:pPr>
        <w:tabs>
          <w:tab w:val="num" w:pos="995"/>
        </w:tabs>
        <w:ind w:left="995" w:hanging="360"/>
      </w:pPr>
      <w:rPr>
        <w:rFonts w:hint="default"/>
      </w:rPr>
    </w:lvl>
    <w:lvl w:ilvl="1" w:tplc="040C0019" w:tentative="1">
      <w:start w:val="1"/>
      <w:numFmt w:val="lowerLetter"/>
      <w:lvlText w:val="%2."/>
      <w:lvlJc w:val="left"/>
      <w:pPr>
        <w:tabs>
          <w:tab w:val="num" w:pos="1715"/>
        </w:tabs>
        <w:ind w:left="1715" w:hanging="360"/>
      </w:pPr>
    </w:lvl>
    <w:lvl w:ilvl="2" w:tplc="040C001B" w:tentative="1">
      <w:start w:val="1"/>
      <w:numFmt w:val="lowerRoman"/>
      <w:lvlText w:val="%3."/>
      <w:lvlJc w:val="right"/>
      <w:pPr>
        <w:tabs>
          <w:tab w:val="num" w:pos="2435"/>
        </w:tabs>
        <w:ind w:left="2435" w:hanging="180"/>
      </w:pPr>
    </w:lvl>
    <w:lvl w:ilvl="3" w:tplc="040C000F" w:tentative="1">
      <w:start w:val="1"/>
      <w:numFmt w:val="decimal"/>
      <w:lvlText w:val="%4."/>
      <w:lvlJc w:val="left"/>
      <w:pPr>
        <w:tabs>
          <w:tab w:val="num" w:pos="3155"/>
        </w:tabs>
        <w:ind w:left="3155" w:hanging="360"/>
      </w:pPr>
    </w:lvl>
    <w:lvl w:ilvl="4" w:tplc="040C0019" w:tentative="1">
      <w:start w:val="1"/>
      <w:numFmt w:val="lowerLetter"/>
      <w:lvlText w:val="%5."/>
      <w:lvlJc w:val="left"/>
      <w:pPr>
        <w:tabs>
          <w:tab w:val="num" w:pos="3875"/>
        </w:tabs>
        <w:ind w:left="3875" w:hanging="360"/>
      </w:pPr>
    </w:lvl>
    <w:lvl w:ilvl="5" w:tplc="040C001B" w:tentative="1">
      <w:start w:val="1"/>
      <w:numFmt w:val="lowerRoman"/>
      <w:lvlText w:val="%6."/>
      <w:lvlJc w:val="right"/>
      <w:pPr>
        <w:tabs>
          <w:tab w:val="num" w:pos="4595"/>
        </w:tabs>
        <w:ind w:left="4595" w:hanging="180"/>
      </w:pPr>
    </w:lvl>
    <w:lvl w:ilvl="6" w:tplc="040C000F" w:tentative="1">
      <w:start w:val="1"/>
      <w:numFmt w:val="decimal"/>
      <w:lvlText w:val="%7."/>
      <w:lvlJc w:val="left"/>
      <w:pPr>
        <w:tabs>
          <w:tab w:val="num" w:pos="5315"/>
        </w:tabs>
        <w:ind w:left="5315" w:hanging="360"/>
      </w:pPr>
    </w:lvl>
    <w:lvl w:ilvl="7" w:tplc="040C0019" w:tentative="1">
      <w:start w:val="1"/>
      <w:numFmt w:val="lowerLetter"/>
      <w:lvlText w:val="%8."/>
      <w:lvlJc w:val="left"/>
      <w:pPr>
        <w:tabs>
          <w:tab w:val="num" w:pos="6035"/>
        </w:tabs>
        <w:ind w:left="6035" w:hanging="360"/>
      </w:pPr>
    </w:lvl>
    <w:lvl w:ilvl="8" w:tplc="040C001B" w:tentative="1">
      <w:start w:val="1"/>
      <w:numFmt w:val="lowerRoman"/>
      <w:lvlText w:val="%9."/>
      <w:lvlJc w:val="right"/>
      <w:pPr>
        <w:tabs>
          <w:tab w:val="num" w:pos="6755"/>
        </w:tabs>
        <w:ind w:left="6755" w:hanging="180"/>
      </w:pPr>
    </w:lvl>
  </w:abstractNum>
  <w:abstractNum w:abstractNumId="4">
    <w:nsid w:val="28546B54"/>
    <w:multiLevelType w:val="hybridMultilevel"/>
    <w:tmpl w:val="80908EE8"/>
    <w:lvl w:ilvl="0" w:tplc="D1BE066A">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5">
    <w:nsid w:val="2E28701D"/>
    <w:multiLevelType w:val="hybridMultilevel"/>
    <w:tmpl w:val="941EA830"/>
    <w:lvl w:ilvl="0" w:tplc="FA86A8F6">
      <w:start w:val="3"/>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37351914"/>
    <w:multiLevelType w:val="singleLevel"/>
    <w:tmpl w:val="AEB835EC"/>
    <w:lvl w:ilvl="0">
      <w:start w:val="1"/>
      <w:numFmt w:val="bullet"/>
      <w:lvlText w:val=""/>
      <w:lvlJc w:val="left"/>
      <w:pPr>
        <w:tabs>
          <w:tab w:val="num" w:pos="360"/>
        </w:tabs>
        <w:ind w:left="357" w:hanging="357"/>
      </w:pPr>
      <w:rPr>
        <w:rFonts w:ascii="Symbol" w:hAnsi="Symbol" w:hint="default"/>
        <w:b w:val="0"/>
        <w:i w:val="0"/>
        <w:sz w:val="16"/>
      </w:rPr>
    </w:lvl>
  </w:abstractNum>
  <w:abstractNum w:abstractNumId="7">
    <w:nsid w:val="3B0B4A92"/>
    <w:multiLevelType w:val="hybridMultilevel"/>
    <w:tmpl w:val="42262D84"/>
    <w:lvl w:ilvl="0" w:tplc="48D0EBEC">
      <w:start w:val="3"/>
      <w:numFmt w:val="decimal"/>
      <w:lvlText w:val="%1."/>
      <w:lvlJc w:val="left"/>
      <w:pPr>
        <w:tabs>
          <w:tab w:val="num" w:pos="791"/>
        </w:tabs>
        <w:ind w:left="791" w:hanging="360"/>
      </w:pPr>
      <w:rPr>
        <w:rFonts w:hint="default"/>
      </w:rPr>
    </w:lvl>
    <w:lvl w:ilvl="1" w:tplc="040C0019" w:tentative="1">
      <w:start w:val="1"/>
      <w:numFmt w:val="lowerLetter"/>
      <w:lvlText w:val="%2."/>
      <w:lvlJc w:val="left"/>
      <w:pPr>
        <w:tabs>
          <w:tab w:val="num" w:pos="1511"/>
        </w:tabs>
        <w:ind w:left="1511" w:hanging="360"/>
      </w:pPr>
    </w:lvl>
    <w:lvl w:ilvl="2" w:tplc="040C001B" w:tentative="1">
      <w:start w:val="1"/>
      <w:numFmt w:val="lowerRoman"/>
      <w:lvlText w:val="%3."/>
      <w:lvlJc w:val="right"/>
      <w:pPr>
        <w:tabs>
          <w:tab w:val="num" w:pos="2231"/>
        </w:tabs>
        <w:ind w:left="2231" w:hanging="180"/>
      </w:pPr>
    </w:lvl>
    <w:lvl w:ilvl="3" w:tplc="040C000F" w:tentative="1">
      <w:start w:val="1"/>
      <w:numFmt w:val="decimal"/>
      <w:lvlText w:val="%4."/>
      <w:lvlJc w:val="left"/>
      <w:pPr>
        <w:tabs>
          <w:tab w:val="num" w:pos="2951"/>
        </w:tabs>
        <w:ind w:left="2951" w:hanging="360"/>
      </w:pPr>
    </w:lvl>
    <w:lvl w:ilvl="4" w:tplc="040C0019" w:tentative="1">
      <w:start w:val="1"/>
      <w:numFmt w:val="lowerLetter"/>
      <w:lvlText w:val="%5."/>
      <w:lvlJc w:val="left"/>
      <w:pPr>
        <w:tabs>
          <w:tab w:val="num" w:pos="3671"/>
        </w:tabs>
        <w:ind w:left="3671" w:hanging="360"/>
      </w:pPr>
    </w:lvl>
    <w:lvl w:ilvl="5" w:tplc="040C001B" w:tentative="1">
      <w:start w:val="1"/>
      <w:numFmt w:val="lowerRoman"/>
      <w:lvlText w:val="%6."/>
      <w:lvlJc w:val="right"/>
      <w:pPr>
        <w:tabs>
          <w:tab w:val="num" w:pos="4391"/>
        </w:tabs>
        <w:ind w:left="4391" w:hanging="180"/>
      </w:pPr>
    </w:lvl>
    <w:lvl w:ilvl="6" w:tplc="040C000F" w:tentative="1">
      <w:start w:val="1"/>
      <w:numFmt w:val="decimal"/>
      <w:lvlText w:val="%7."/>
      <w:lvlJc w:val="left"/>
      <w:pPr>
        <w:tabs>
          <w:tab w:val="num" w:pos="5111"/>
        </w:tabs>
        <w:ind w:left="5111" w:hanging="360"/>
      </w:pPr>
    </w:lvl>
    <w:lvl w:ilvl="7" w:tplc="040C0019" w:tentative="1">
      <w:start w:val="1"/>
      <w:numFmt w:val="lowerLetter"/>
      <w:lvlText w:val="%8."/>
      <w:lvlJc w:val="left"/>
      <w:pPr>
        <w:tabs>
          <w:tab w:val="num" w:pos="5831"/>
        </w:tabs>
        <w:ind w:left="5831" w:hanging="360"/>
      </w:pPr>
    </w:lvl>
    <w:lvl w:ilvl="8" w:tplc="040C001B" w:tentative="1">
      <w:start w:val="1"/>
      <w:numFmt w:val="lowerRoman"/>
      <w:lvlText w:val="%9."/>
      <w:lvlJc w:val="right"/>
      <w:pPr>
        <w:tabs>
          <w:tab w:val="num" w:pos="6551"/>
        </w:tabs>
        <w:ind w:left="6551" w:hanging="180"/>
      </w:pPr>
    </w:lvl>
  </w:abstractNum>
  <w:abstractNum w:abstractNumId="8">
    <w:nsid w:val="3E626E9E"/>
    <w:multiLevelType w:val="singleLevel"/>
    <w:tmpl w:val="E484225C"/>
    <w:lvl w:ilvl="0">
      <w:numFmt w:val="bullet"/>
      <w:lvlText w:val="–"/>
      <w:lvlJc w:val="left"/>
      <w:pPr>
        <w:tabs>
          <w:tab w:val="num" w:pos="360"/>
        </w:tabs>
        <w:ind w:left="360" w:hanging="360"/>
      </w:pPr>
      <w:rPr>
        <w:rFonts w:hint="default"/>
      </w:rPr>
    </w:lvl>
  </w:abstractNum>
  <w:abstractNum w:abstractNumId="9">
    <w:nsid w:val="487D2846"/>
    <w:multiLevelType w:val="hybridMultilevel"/>
    <w:tmpl w:val="AC2487D2"/>
    <w:lvl w:ilvl="0" w:tplc="1D5828A6">
      <w:start w:val="2"/>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10">
    <w:nsid w:val="504A6469"/>
    <w:multiLevelType w:val="hybridMultilevel"/>
    <w:tmpl w:val="1DA217EC"/>
    <w:lvl w:ilvl="0" w:tplc="864A5FE4">
      <w:start w:val="1"/>
      <w:numFmt w:val="decimal"/>
      <w:lvlText w:val="%1."/>
      <w:lvlJc w:val="left"/>
      <w:pPr>
        <w:tabs>
          <w:tab w:val="num" w:pos="791"/>
        </w:tabs>
        <w:ind w:left="791" w:hanging="360"/>
      </w:pPr>
      <w:rPr>
        <w:rFonts w:hint="default"/>
      </w:rPr>
    </w:lvl>
    <w:lvl w:ilvl="1" w:tplc="040C0019" w:tentative="1">
      <w:start w:val="1"/>
      <w:numFmt w:val="lowerLetter"/>
      <w:lvlText w:val="%2."/>
      <w:lvlJc w:val="left"/>
      <w:pPr>
        <w:tabs>
          <w:tab w:val="num" w:pos="1511"/>
        </w:tabs>
        <w:ind w:left="1511" w:hanging="360"/>
      </w:pPr>
    </w:lvl>
    <w:lvl w:ilvl="2" w:tplc="040C001B" w:tentative="1">
      <w:start w:val="1"/>
      <w:numFmt w:val="lowerRoman"/>
      <w:lvlText w:val="%3."/>
      <w:lvlJc w:val="right"/>
      <w:pPr>
        <w:tabs>
          <w:tab w:val="num" w:pos="2231"/>
        </w:tabs>
        <w:ind w:left="2231" w:hanging="180"/>
      </w:pPr>
    </w:lvl>
    <w:lvl w:ilvl="3" w:tplc="040C000F" w:tentative="1">
      <w:start w:val="1"/>
      <w:numFmt w:val="decimal"/>
      <w:lvlText w:val="%4."/>
      <w:lvlJc w:val="left"/>
      <w:pPr>
        <w:tabs>
          <w:tab w:val="num" w:pos="2951"/>
        </w:tabs>
        <w:ind w:left="2951" w:hanging="360"/>
      </w:pPr>
    </w:lvl>
    <w:lvl w:ilvl="4" w:tplc="040C0019" w:tentative="1">
      <w:start w:val="1"/>
      <w:numFmt w:val="lowerLetter"/>
      <w:lvlText w:val="%5."/>
      <w:lvlJc w:val="left"/>
      <w:pPr>
        <w:tabs>
          <w:tab w:val="num" w:pos="3671"/>
        </w:tabs>
        <w:ind w:left="3671" w:hanging="360"/>
      </w:pPr>
    </w:lvl>
    <w:lvl w:ilvl="5" w:tplc="040C001B" w:tentative="1">
      <w:start w:val="1"/>
      <w:numFmt w:val="lowerRoman"/>
      <w:lvlText w:val="%6."/>
      <w:lvlJc w:val="right"/>
      <w:pPr>
        <w:tabs>
          <w:tab w:val="num" w:pos="4391"/>
        </w:tabs>
        <w:ind w:left="4391" w:hanging="180"/>
      </w:pPr>
    </w:lvl>
    <w:lvl w:ilvl="6" w:tplc="040C000F" w:tentative="1">
      <w:start w:val="1"/>
      <w:numFmt w:val="decimal"/>
      <w:lvlText w:val="%7."/>
      <w:lvlJc w:val="left"/>
      <w:pPr>
        <w:tabs>
          <w:tab w:val="num" w:pos="5111"/>
        </w:tabs>
        <w:ind w:left="5111" w:hanging="360"/>
      </w:pPr>
    </w:lvl>
    <w:lvl w:ilvl="7" w:tplc="040C0019" w:tentative="1">
      <w:start w:val="1"/>
      <w:numFmt w:val="lowerLetter"/>
      <w:lvlText w:val="%8."/>
      <w:lvlJc w:val="left"/>
      <w:pPr>
        <w:tabs>
          <w:tab w:val="num" w:pos="5831"/>
        </w:tabs>
        <w:ind w:left="5831" w:hanging="360"/>
      </w:pPr>
    </w:lvl>
    <w:lvl w:ilvl="8" w:tplc="040C001B" w:tentative="1">
      <w:start w:val="1"/>
      <w:numFmt w:val="lowerRoman"/>
      <w:lvlText w:val="%9."/>
      <w:lvlJc w:val="right"/>
      <w:pPr>
        <w:tabs>
          <w:tab w:val="num" w:pos="6551"/>
        </w:tabs>
        <w:ind w:left="6551" w:hanging="180"/>
      </w:pPr>
    </w:lvl>
  </w:abstractNum>
  <w:abstractNum w:abstractNumId="11">
    <w:nsid w:val="6AC377F2"/>
    <w:multiLevelType w:val="hybridMultilevel"/>
    <w:tmpl w:val="32624A78"/>
    <w:lvl w:ilvl="0" w:tplc="FE7EEF3A">
      <w:start w:val="3"/>
      <w:numFmt w:val="lowerRoman"/>
      <w:lvlText w:val="%1)"/>
      <w:lvlJc w:val="left"/>
      <w:pPr>
        <w:tabs>
          <w:tab w:val="num" w:pos="1553"/>
        </w:tabs>
        <w:ind w:left="1553" w:hanging="720"/>
      </w:pPr>
      <w:rPr>
        <w:rFonts w:hint="default"/>
      </w:rPr>
    </w:lvl>
    <w:lvl w:ilvl="1" w:tplc="040C0019" w:tentative="1">
      <w:start w:val="1"/>
      <w:numFmt w:val="lowerLetter"/>
      <w:lvlText w:val="%2."/>
      <w:lvlJc w:val="left"/>
      <w:pPr>
        <w:tabs>
          <w:tab w:val="num" w:pos="1913"/>
        </w:tabs>
        <w:ind w:left="1913" w:hanging="360"/>
      </w:pPr>
    </w:lvl>
    <w:lvl w:ilvl="2" w:tplc="040C001B" w:tentative="1">
      <w:start w:val="1"/>
      <w:numFmt w:val="lowerRoman"/>
      <w:lvlText w:val="%3."/>
      <w:lvlJc w:val="right"/>
      <w:pPr>
        <w:tabs>
          <w:tab w:val="num" w:pos="2633"/>
        </w:tabs>
        <w:ind w:left="2633" w:hanging="180"/>
      </w:pPr>
    </w:lvl>
    <w:lvl w:ilvl="3" w:tplc="040C000F" w:tentative="1">
      <w:start w:val="1"/>
      <w:numFmt w:val="decimal"/>
      <w:lvlText w:val="%4."/>
      <w:lvlJc w:val="left"/>
      <w:pPr>
        <w:tabs>
          <w:tab w:val="num" w:pos="3353"/>
        </w:tabs>
        <w:ind w:left="3353" w:hanging="360"/>
      </w:pPr>
    </w:lvl>
    <w:lvl w:ilvl="4" w:tplc="040C0019" w:tentative="1">
      <w:start w:val="1"/>
      <w:numFmt w:val="lowerLetter"/>
      <w:lvlText w:val="%5."/>
      <w:lvlJc w:val="left"/>
      <w:pPr>
        <w:tabs>
          <w:tab w:val="num" w:pos="4073"/>
        </w:tabs>
        <w:ind w:left="4073" w:hanging="360"/>
      </w:pPr>
    </w:lvl>
    <w:lvl w:ilvl="5" w:tplc="040C001B" w:tentative="1">
      <w:start w:val="1"/>
      <w:numFmt w:val="lowerRoman"/>
      <w:lvlText w:val="%6."/>
      <w:lvlJc w:val="right"/>
      <w:pPr>
        <w:tabs>
          <w:tab w:val="num" w:pos="4793"/>
        </w:tabs>
        <w:ind w:left="4793" w:hanging="180"/>
      </w:pPr>
    </w:lvl>
    <w:lvl w:ilvl="6" w:tplc="040C000F" w:tentative="1">
      <w:start w:val="1"/>
      <w:numFmt w:val="decimal"/>
      <w:lvlText w:val="%7."/>
      <w:lvlJc w:val="left"/>
      <w:pPr>
        <w:tabs>
          <w:tab w:val="num" w:pos="5513"/>
        </w:tabs>
        <w:ind w:left="5513" w:hanging="360"/>
      </w:pPr>
    </w:lvl>
    <w:lvl w:ilvl="7" w:tplc="040C0019" w:tentative="1">
      <w:start w:val="1"/>
      <w:numFmt w:val="lowerLetter"/>
      <w:lvlText w:val="%8."/>
      <w:lvlJc w:val="left"/>
      <w:pPr>
        <w:tabs>
          <w:tab w:val="num" w:pos="6233"/>
        </w:tabs>
        <w:ind w:left="6233" w:hanging="360"/>
      </w:pPr>
    </w:lvl>
    <w:lvl w:ilvl="8" w:tplc="040C001B" w:tentative="1">
      <w:start w:val="1"/>
      <w:numFmt w:val="lowerRoman"/>
      <w:lvlText w:val="%9."/>
      <w:lvlJc w:val="right"/>
      <w:pPr>
        <w:tabs>
          <w:tab w:val="num" w:pos="6953"/>
        </w:tabs>
        <w:ind w:left="6953" w:hanging="180"/>
      </w:pPr>
    </w:lvl>
  </w:abstractNum>
  <w:abstractNum w:abstractNumId="12">
    <w:nsid w:val="713F4ABB"/>
    <w:multiLevelType w:val="hybridMultilevel"/>
    <w:tmpl w:val="D2524A78"/>
    <w:lvl w:ilvl="0" w:tplc="534C13FA">
      <w:start w:val="2"/>
      <w:numFmt w:val="lowerLetter"/>
      <w:lvlText w:val="%1)"/>
      <w:lvlJc w:val="left"/>
      <w:pPr>
        <w:tabs>
          <w:tab w:val="num" w:pos="995"/>
        </w:tabs>
        <w:ind w:left="995" w:hanging="360"/>
      </w:pPr>
      <w:rPr>
        <w:rFonts w:hint="default"/>
      </w:rPr>
    </w:lvl>
    <w:lvl w:ilvl="1" w:tplc="040C0019" w:tentative="1">
      <w:start w:val="1"/>
      <w:numFmt w:val="lowerLetter"/>
      <w:lvlText w:val="%2."/>
      <w:lvlJc w:val="left"/>
      <w:pPr>
        <w:tabs>
          <w:tab w:val="num" w:pos="1715"/>
        </w:tabs>
        <w:ind w:left="1715" w:hanging="360"/>
      </w:pPr>
    </w:lvl>
    <w:lvl w:ilvl="2" w:tplc="040C001B" w:tentative="1">
      <w:start w:val="1"/>
      <w:numFmt w:val="lowerRoman"/>
      <w:lvlText w:val="%3."/>
      <w:lvlJc w:val="right"/>
      <w:pPr>
        <w:tabs>
          <w:tab w:val="num" w:pos="2435"/>
        </w:tabs>
        <w:ind w:left="2435" w:hanging="180"/>
      </w:pPr>
    </w:lvl>
    <w:lvl w:ilvl="3" w:tplc="040C000F" w:tentative="1">
      <w:start w:val="1"/>
      <w:numFmt w:val="decimal"/>
      <w:lvlText w:val="%4."/>
      <w:lvlJc w:val="left"/>
      <w:pPr>
        <w:tabs>
          <w:tab w:val="num" w:pos="3155"/>
        </w:tabs>
        <w:ind w:left="3155" w:hanging="360"/>
      </w:pPr>
    </w:lvl>
    <w:lvl w:ilvl="4" w:tplc="040C0019" w:tentative="1">
      <w:start w:val="1"/>
      <w:numFmt w:val="lowerLetter"/>
      <w:lvlText w:val="%5."/>
      <w:lvlJc w:val="left"/>
      <w:pPr>
        <w:tabs>
          <w:tab w:val="num" w:pos="3875"/>
        </w:tabs>
        <w:ind w:left="3875" w:hanging="360"/>
      </w:pPr>
    </w:lvl>
    <w:lvl w:ilvl="5" w:tplc="040C001B" w:tentative="1">
      <w:start w:val="1"/>
      <w:numFmt w:val="lowerRoman"/>
      <w:lvlText w:val="%6."/>
      <w:lvlJc w:val="right"/>
      <w:pPr>
        <w:tabs>
          <w:tab w:val="num" w:pos="4595"/>
        </w:tabs>
        <w:ind w:left="4595" w:hanging="180"/>
      </w:pPr>
    </w:lvl>
    <w:lvl w:ilvl="6" w:tplc="040C000F" w:tentative="1">
      <w:start w:val="1"/>
      <w:numFmt w:val="decimal"/>
      <w:lvlText w:val="%7."/>
      <w:lvlJc w:val="left"/>
      <w:pPr>
        <w:tabs>
          <w:tab w:val="num" w:pos="5315"/>
        </w:tabs>
        <w:ind w:left="5315" w:hanging="360"/>
      </w:pPr>
    </w:lvl>
    <w:lvl w:ilvl="7" w:tplc="040C0019" w:tentative="1">
      <w:start w:val="1"/>
      <w:numFmt w:val="lowerLetter"/>
      <w:lvlText w:val="%8."/>
      <w:lvlJc w:val="left"/>
      <w:pPr>
        <w:tabs>
          <w:tab w:val="num" w:pos="6035"/>
        </w:tabs>
        <w:ind w:left="6035" w:hanging="360"/>
      </w:pPr>
    </w:lvl>
    <w:lvl w:ilvl="8" w:tplc="040C001B" w:tentative="1">
      <w:start w:val="1"/>
      <w:numFmt w:val="lowerRoman"/>
      <w:lvlText w:val="%9."/>
      <w:lvlJc w:val="right"/>
      <w:pPr>
        <w:tabs>
          <w:tab w:val="num" w:pos="6755"/>
        </w:tabs>
        <w:ind w:left="6755" w:hanging="180"/>
      </w:pPr>
    </w:lvl>
  </w:abstractNum>
  <w:abstractNum w:abstractNumId="13">
    <w:nsid w:val="74F65ACB"/>
    <w:multiLevelType w:val="hybridMultilevel"/>
    <w:tmpl w:val="71F8B41E"/>
    <w:lvl w:ilvl="0" w:tplc="FD765C82">
      <w:start w:val="2"/>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14">
    <w:nsid w:val="75EF1AEB"/>
    <w:multiLevelType w:val="hybridMultilevel"/>
    <w:tmpl w:val="D054B3EE"/>
    <w:lvl w:ilvl="0" w:tplc="B7804E72">
      <w:start w:val="3"/>
      <w:numFmt w:val="lowerLetter"/>
      <w:lvlText w:val="%1)"/>
      <w:lvlJc w:val="left"/>
      <w:pPr>
        <w:tabs>
          <w:tab w:val="num" w:pos="995"/>
        </w:tabs>
        <w:ind w:left="995" w:hanging="360"/>
      </w:pPr>
      <w:rPr>
        <w:rFonts w:hint="default"/>
      </w:rPr>
    </w:lvl>
    <w:lvl w:ilvl="1" w:tplc="040C0019" w:tentative="1">
      <w:start w:val="1"/>
      <w:numFmt w:val="lowerLetter"/>
      <w:lvlText w:val="%2."/>
      <w:lvlJc w:val="left"/>
      <w:pPr>
        <w:tabs>
          <w:tab w:val="num" w:pos="1715"/>
        </w:tabs>
        <w:ind w:left="1715" w:hanging="360"/>
      </w:pPr>
    </w:lvl>
    <w:lvl w:ilvl="2" w:tplc="040C001B" w:tentative="1">
      <w:start w:val="1"/>
      <w:numFmt w:val="lowerRoman"/>
      <w:lvlText w:val="%3."/>
      <w:lvlJc w:val="right"/>
      <w:pPr>
        <w:tabs>
          <w:tab w:val="num" w:pos="2435"/>
        </w:tabs>
        <w:ind w:left="2435" w:hanging="180"/>
      </w:pPr>
    </w:lvl>
    <w:lvl w:ilvl="3" w:tplc="040C000F" w:tentative="1">
      <w:start w:val="1"/>
      <w:numFmt w:val="decimal"/>
      <w:lvlText w:val="%4."/>
      <w:lvlJc w:val="left"/>
      <w:pPr>
        <w:tabs>
          <w:tab w:val="num" w:pos="3155"/>
        </w:tabs>
        <w:ind w:left="3155" w:hanging="360"/>
      </w:pPr>
    </w:lvl>
    <w:lvl w:ilvl="4" w:tplc="040C0019" w:tentative="1">
      <w:start w:val="1"/>
      <w:numFmt w:val="lowerLetter"/>
      <w:lvlText w:val="%5."/>
      <w:lvlJc w:val="left"/>
      <w:pPr>
        <w:tabs>
          <w:tab w:val="num" w:pos="3875"/>
        </w:tabs>
        <w:ind w:left="3875" w:hanging="360"/>
      </w:pPr>
    </w:lvl>
    <w:lvl w:ilvl="5" w:tplc="040C001B" w:tentative="1">
      <w:start w:val="1"/>
      <w:numFmt w:val="lowerRoman"/>
      <w:lvlText w:val="%6."/>
      <w:lvlJc w:val="right"/>
      <w:pPr>
        <w:tabs>
          <w:tab w:val="num" w:pos="4595"/>
        </w:tabs>
        <w:ind w:left="4595" w:hanging="180"/>
      </w:pPr>
    </w:lvl>
    <w:lvl w:ilvl="6" w:tplc="040C000F" w:tentative="1">
      <w:start w:val="1"/>
      <w:numFmt w:val="decimal"/>
      <w:lvlText w:val="%7."/>
      <w:lvlJc w:val="left"/>
      <w:pPr>
        <w:tabs>
          <w:tab w:val="num" w:pos="5315"/>
        </w:tabs>
        <w:ind w:left="5315" w:hanging="360"/>
      </w:pPr>
    </w:lvl>
    <w:lvl w:ilvl="7" w:tplc="040C0019" w:tentative="1">
      <w:start w:val="1"/>
      <w:numFmt w:val="lowerLetter"/>
      <w:lvlText w:val="%8."/>
      <w:lvlJc w:val="left"/>
      <w:pPr>
        <w:tabs>
          <w:tab w:val="num" w:pos="6035"/>
        </w:tabs>
        <w:ind w:left="6035" w:hanging="360"/>
      </w:pPr>
    </w:lvl>
    <w:lvl w:ilvl="8" w:tplc="040C001B" w:tentative="1">
      <w:start w:val="1"/>
      <w:numFmt w:val="lowerRoman"/>
      <w:lvlText w:val="%9."/>
      <w:lvlJc w:val="right"/>
      <w:pPr>
        <w:tabs>
          <w:tab w:val="num" w:pos="6755"/>
        </w:tabs>
        <w:ind w:left="6755" w:hanging="180"/>
      </w:pPr>
    </w:lvl>
  </w:abstractNum>
  <w:abstractNum w:abstractNumId="15">
    <w:nsid w:val="799404BF"/>
    <w:multiLevelType w:val="hybridMultilevel"/>
    <w:tmpl w:val="F0FC7BBE"/>
    <w:lvl w:ilvl="0" w:tplc="271478BA">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num w:numId="1">
    <w:abstractNumId w:val="6"/>
  </w:num>
  <w:num w:numId="2">
    <w:abstractNumId w:val="8"/>
  </w:num>
  <w:num w:numId="3">
    <w:abstractNumId w:val="2"/>
  </w:num>
  <w:num w:numId="4">
    <w:abstractNumId w:val="15"/>
  </w:num>
  <w:num w:numId="5">
    <w:abstractNumId w:val="4"/>
  </w:num>
  <w:num w:numId="6">
    <w:abstractNumId w:val="1"/>
  </w:num>
  <w:num w:numId="7">
    <w:abstractNumId w:val="7"/>
  </w:num>
  <w:num w:numId="8">
    <w:abstractNumId w:val="5"/>
  </w:num>
  <w:num w:numId="9">
    <w:abstractNumId w:val="12"/>
  </w:num>
  <w:num w:numId="10">
    <w:abstractNumId w:val="11"/>
  </w:num>
  <w:num w:numId="11">
    <w:abstractNumId w:val="10"/>
  </w:num>
  <w:num w:numId="12">
    <w:abstractNumId w:val="3"/>
  </w:num>
  <w:num w:numId="13">
    <w:abstractNumId w:val="13"/>
  </w:num>
  <w:num w:numId="14">
    <w:abstractNumId w:val="0"/>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6E2C"/>
    <w:rsid w:val="00004E42"/>
    <w:rsid w:val="00005917"/>
    <w:rsid w:val="00006B2F"/>
    <w:rsid w:val="00007045"/>
    <w:rsid w:val="00010C19"/>
    <w:rsid w:val="000244FE"/>
    <w:rsid w:val="00024D9E"/>
    <w:rsid w:val="00026CBF"/>
    <w:rsid w:val="000456BB"/>
    <w:rsid w:val="00050182"/>
    <w:rsid w:val="00052AAB"/>
    <w:rsid w:val="000565F1"/>
    <w:rsid w:val="000662C9"/>
    <w:rsid w:val="00066B44"/>
    <w:rsid w:val="000703F6"/>
    <w:rsid w:val="00075856"/>
    <w:rsid w:val="00075DBE"/>
    <w:rsid w:val="00077733"/>
    <w:rsid w:val="00083076"/>
    <w:rsid w:val="00083128"/>
    <w:rsid w:val="000842EC"/>
    <w:rsid w:val="00085CBC"/>
    <w:rsid w:val="00087AB0"/>
    <w:rsid w:val="00090C8D"/>
    <w:rsid w:val="00092C8C"/>
    <w:rsid w:val="00094BBF"/>
    <w:rsid w:val="00096409"/>
    <w:rsid w:val="000976E6"/>
    <w:rsid w:val="000A01C9"/>
    <w:rsid w:val="000A17C4"/>
    <w:rsid w:val="000A4086"/>
    <w:rsid w:val="000A4A55"/>
    <w:rsid w:val="000A55A4"/>
    <w:rsid w:val="000B01A7"/>
    <w:rsid w:val="000B07B9"/>
    <w:rsid w:val="000B14EE"/>
    <w:rsid w:val="000C119D"/>
    <w:rsid w:val="000C4F8F"/>
    <w:rsid w:val="000C575D"/>
    <w:rsid w:val="000C60DC"/>
    <w:rsid w:val="000D015F"/>
    <w:rsid w:val="000D0EA8"/>
    <w:rsid w:val="000D0F06"/>
    <w:rsid w:val="000D12FB"/>
    <w:rsid w:val="000D73AA"/>
    <w:rsid w:val="000E7E5D"/>
    <w:rsid w:val="000F1321"/>
    <w:rsid w:val="000F5AAA"/>
    <w:rsid w:val="000F5C89"/>
    <w:rsid w:val="00104E6D"/>
    <w:rsid w:val="00107245"/>
    <w:rsid w:val="00117786"/>
    <w:rsid w:val="0012116B"/>
    <w:rsid w:val="001229F9"/>
    <w:rsid w:val="00123F0F"/>
    <w:rsid w:val="00124007"/>
    <w:rsid w:val="00126D84"/>
    <w:rsid w:val="00126F30"/>
    <w:rsid w:val="00127720"/>
    <w:rsid w:val="00137783"/>
    <w:rsid w:val="00143E15"/>
    <w:rsid w:val="00147349"/>
    <w:rsid w:val="00152D42"/>
    <w:rsid w:val="001530ED"/>
    <w:rsid w:val="00153E15"/>
    <w:rsid w:val="001566A1"/>
    <w:rsid w:val="00157B36"/>
    <w:rsid w:val="00160877"/>
    <w:rsid w:val="00163565"/>
    <w:rsid w:val="00175C67"/>
    <w:rsid w:val="0017660B"/>
    <w:rsid w:val="00176B14"/>
    <w:rsid w:val="001802DD"/>
    <w:rsid w:val="00180602"/>
    <w:rsid w:val="00181414"/>
    <w:rsid w:val="0018382F"/>
    <w:rsid w:val="001861AD"/>
    <w:rsid w:val="0018692A"/>
    <w:rsid w:val="00187E0D"/>
    <w:rsid w:val="00195E36"/>
    <w:rsid w:val="001A4894"/>
    <w:rsid w:val="001A7C64"/>
    <w:rsid w:val="001B50C0"/>
    <w:rsid w:val="001B7384"/>
    <w:rsid w:val="001C1BC1"/>
    <w:rsid w:val="001D033F"/>
    <w:rsid w:val="001E34B0"/>
    <w:rsid w:val="002050E4"/>
    <w:rsid w:val="00210E54"/>
    <w:rsid w:val="00216886"/>
    <w:rsid w:val="002233D3"/>
    <w:rsid w:val="00223B98"/>
    <w:rsid w:val="00225501"/>
    <w:rsid w:val="00226A31"/>
    <w:rsid w:val="002277E8"/>
    <w:rsid w:val="002300BB"/>
    <w:rsid w:val="00234732"/>
    <w:rsid w:val="002437BA"/>
    <w:rsid w:val="00252B28"/>
    <w:rsid w:val="00256982"/>
    <w:rsid w:val="00261C61"/>
    <w:rsid w:val="00262063"/>
    <w:rsid w:val="00263E84"/>
    <w:rsid w:val="0026658D"/>
    <w:rsid w:val="00266E09"/>
    <w:rsid w:val="00266F9B"/>
    <w:rsid w:val="00266FC0"/>
    <w:rsid w:val="00267B7D"/>
    <w:rsid w:val="00271C55"/>
    <w:rsid w:val="00272636"/>
    <w:rsid w:val="00274DBE"/>
    <w:rsid w:val="00275D09"/>
    <w:rsid w:val="00275E18"/>
    <w:rsid w:val="00285346"/>
    <w:rsid w:val="002905F4"/>
    <w:rsid w:val="0029356D"/>
    <w:rsid w:val="002957B5"/>
    <w:rsid w:val="0029763B"/>
    <w:rsid w:val="00297C2F"/>
    <w:rsid w:val="00297CD8"/>
    <w:rsid w:val="002A0715"/>
    <w:rsid w:val="002A347E"/>
    <w:rsid w:val="002A4615"/>
    <w:rsid w:val="002B236F"/>
    <w:rsid w:val="002B2DB4"/>
    <w:rsid w:val="002B6DC0"/>
    <w:rsid w:val="002C33BD"/>
    <w:rsid w:val="002C63BA"/>
    <w:rsid w:val="002D0B75"/>
    <w:rsid w:val="002D2707"/>
    <w:rsid w:val="002D478B"/>
    <w:rsid w:val="002D5CE8"/>
    <w:rsid w:val="002E19D8"/>
    <w:rsid w:val="002E2B9D"/>
    <w:rsid w:val="002F1443"/>
    <w:rsid w:val="002F646A"/>
    <w:rsid w:val="00300430"/>
    <w:rsid w:val="00303974"/>
    <w:rsid w:val="00305558"/>
    <w:rsid w:val="00311492"/>
    <w:rsid w:val="00314CA4"/>
    <w:rsid w:val="0031506D"/>
    <w:rsid w:val="00325C12"/>
    <w:rsid w:val="00325C52"/>
    <w:rsid w:val="00326788"/>
    <w:rsid w:val="00331DE9"/>
    <w:rsid w:val="00331E69"/>
    <w:rsid w:val="00332E65"/>
    <w:rsid w:val="00336901"/>
    <w:rsid w:val="0034141E"/>
    <w:rsid w:val="003466E7"/>
    <w:rsid w:val="003508D2"/>
    <w:rsid w:val="003514BC"/>
    <w:rsid w:val="00353285"/>
    <w:rsid w:val="003606EB"/>
    <w:rsid w:val="003611AE"/>
    <w:rsid w:val="0036220C"/>
    <w:rsid w:val="0036445F"/>
    <w:rsid w:val="003647D0"/>
    <w:rsid w:val="00365A93"/>
    <w:rsid w:val="00380FBF"/>
    <w:rsid w:val="00384B54"/>
    <w:rsid w:val="00387ED3"/>
    <w:rsid w:val="00391E26"/>
    <w:rsid w:val="003A05F5"/>
    <w:rsid w:val="003A6576"/>
    <w:rsid w:val="003C3A9D"/>
    <w:rsid w:val="003C3C7F"/>
    <w:rsid w:val="003C64CC"/>
    <w:rsid w:val="003C7528"/>
    <w:rsid w:val="003D3B64"/>
    <w:rsid w:val="003D5DEE"/>
    <w:rsid w:val="003D5F84"/>
    <w:rsid w:val="003D64AD"/>
    <w:rsid w:val="003E2A4A"/>
    <w:rsid w:val="003E3541"/>
    <w:rsid w:val="003E3A76"/>
    <w:rsid w:val="003E412B"/>
    <w:rsid w:val="003E5004"/>
    <w:rsid w:val="003E71B4"/>
    <w:rsid w:val="003F0F41"/>
    <w:rsid w:val="003F5C96"/>
    <w:rsid w:val="00403939"/>
    <w:rsid w:val="00404B4A"/>
    <w:rsid w:val="00407812"/>
    <w:rsid w:val="00415950"/>
    <w:rsid w:val="004348D0"/>
    <w:rsid w:val="004506C9"/>
    <w:rsid w:val="00451D1A"/>
    <w:rsid w:val="00455FD9"/>
    <w:rsid w:val="004569A6"/>
    <w:rsid w:val="00465FC6"/>
    <w:rsid w:val="00467EBF"/>
    <w:rsid w:val="004719CE"/>
    <w:rsid w:val="004778CC"/>
    <w:rsid w:val="00480B0A"/>
    <w:rsid w:val="004836E1"/>
    <w:rsid w:val="0048583E"/>
    <w:rsid w:val="00486B77"/>
    <w:rsid w:val="00486F5A"/>
    <w:rsid w:val="004872CA"/>
    <w:rsid w:val="00492DA9"/>
    <w:rsid w:val="004948EF"/>
    <w:rsid w:val="004951F3"/>
    <w:rsid w:val="00495DFA"/>
    <w:rsid w:val="004A4DFB"/>
    <w:rsid w:val="004A79D1"/>
    <w:rsid w:val="004B16CF"/>
    <w:rsid w:val="004B4040"/>
    <w:rsid w:val="004B53E0"/>
    <w:rsid w:val="004B5691"/>
    <w:rsid w:val="004C1AB2"/>
    <w:rsid w:val="004C51EE"/>
    <w:rsid w:val="004D02B7"/>
    <w:rsid w:val="004D0793"/>
    <w:rsid w:val="004D12A8"/>
    <w:rsid w:val="004D14DA"/>
    <w:rsid w:val="004D34E5"/>
    <w:rsid w:val="004D664D"/>
    <w:rsid w:val="004E3118"/>
    <w:rsid w:val="004E77DA"/>
    <w:rsid w:val="004E7A92"/>
    <w:rsid w:val="004F0A29"/>
    <w:rsid w:val="00507681"/>
    <w:rsid w:val="00512FB4"/>
    <w:rsid w:val="00523915"/>
    <w:rsid w:val="0052412A"/>
    <w:rsid w:val="005242D8"/>
    <w:rsid w:val="00525A5F"/>
    <w:rsid w:val="00526C5E"/>
    <w:rsid w:val="00530F6F"/>
    <w:rsid w:val="005313AC"/>
    <w:rsid w:val="0053329A"/>
    <w:rsid w:val="005347B8"/>
    <w:rsid w:val="00536E81"/>
    <w:rsid w:val="00543910"/>
    <w:rsid w:val="005455DC"/>
    <w:rsid w:val="0054684F"/>
    <w:rsid w:val="00566BA5"/>
    <w:rsid w:val="00567473"/>
    <w:rsid w:val="005674E5"/>
    <w:rsid w:val="005734CC"/>
    <w:rsid w:val="005814F3"/>
    <w:rsid w:val="005942C6"/>
    <w:rsid w:val="00594B4F"/>
    <w:rsid w:val="0059514D"/>
    <w:rsid w:val="00597327"/>
    <w:rsid w:val="005A2A87"/>
    <w:rsid w:val="005A47DF"/>
    <w:rsid w:val="005A575D"/>
    <w:rsid w:val="005B0532"/>
    <w:rsid w:val="005B1083"/>
    <w:rsid w:val="005B5E33"/>
    <w:rsid w:val="005C48E9"/>
    <w:rsid w:val="005C4D42"/>
    <w:rsid w:val="005C715F"/>
    <w:rsid w:val="005D1478"/>
    <w:rsid w:val="005F3D63"/>
    <w:rsid w:val="005F49EB"/>
    <w:rsid w:val="00621C00"/>
    <w:rsid w:val="00623350"/>
    <w:rsid w:val="0062795A"/>
    <w:rsid w:val="00632F8E"/>
    <w:rsid w:val="00635EE7"/>
    <w:rsid w:val="00640B24"/>
    <w:rsid w:val="0064102B"/>
    <w:rsid w:val="006450CA"/>
    <w:rsid w:val="00647CE6"/>
    <w:rsid w:val="00647F35"/>
    <w:rsid w:val="0065547A"/>
    <w:rsid w:val="006618D2"/>
    <w:rsid w:val="0066479C"/>
    <w:rsid w:val="00666F8C"/>
    <w:rsid w:val="00671729"/>
    <w:rsid w:val="006740E2"/>
    <w:rsid w:val="00675415"/>
    <w:rsid w:val="00681536"/>
    <w:rsid w:val="006839F9"/>
    <w:rsid w:val="00683EEB"/>
    <w:rsid w:val="00685BED"/>
    <w:rsid w:val="006924DE"/>
    <w:rsid w:val="00695DF1"/>
    <w:rsid w:val="00696446"/>
    <w:rsid w:val="00697885"/>
    <w:rsid w:val="006A048B"/>
    <w:rsid w:val="006A3807"/>
    <w:rsid w:val="006B064D"/>
    <w:rsid w:val="006B53CD"/>
    <w:rsid w:val="006C340C"/>
    <w:rsid w:val="006C3FE9"/>
    <w:rsid w:val="006C414B"/>
    <w:rsid w:val="006C4D4D"/>
    <w:rsid w:val="006D0ACB"/>
    <w:rsid w:val="006D116D"/>
    <w:rsid w:val="006D162B"/>
    <w:rsid w:val="006D3C44"/>
    <w:rsid w:val="006E06F1"/>
    <w:rsid w:val="006E0CF6"/>
    <w:rsid w:val="006F5FFA"/>
    <w:rsid w:val="00700346"/>
    <w:rsid w:val="0070494C"/>
    <w:rsid w:val="00710560"/>
    <w:rsid w:val="00710DEB"/>
    <w:rsid w:val="007157AF"/>
    <w:rsid w:val="007244DB"/>
    <w:rsid w:val="007248F4"/>
    <w:rsid w:val="00727270"/>
    <w:rsid w:val="00731B65"/>
    <w:rsid w:val="007331FE"/>
    <w:rsid w:val="0074250F"/>
    <w:rsid w:val="00745945"/>
    <w:rsid w:val="00746102"/>
    <w:rsid w:val="00750BC1"/>
    <w:rsid w:val="007557A8"/>
    <w:rsid w:val="00765BDE"/>
    <w:rsid w:val="0076757E"/>
    <w:rsid w:val="007741BF"/>
    <w:rsid w:val="00774840"/>
    <w:rsid w:val="0077557D"/>
    <w:rsid w:val="00776C77"/>
    <w:rsid w:val="007776B7"/>
    <w:rsid w:val="00780EE4"/>
    <w:rsid w:val="0078121C"/>
    <w:rsid w:val="00782AA6"/>
    <w:rsid w:val="00783B45"/>
    <w:rsid w:val="00783D47"/>
    <w:rsid w:val="00784FF1"/>
    <w:rsid w:val="007907E5"/>
    <w:rsid w:val="00795222"/>
    <w:rsid w:val="00795314"/>
    <w:rsid w:val="007A0EFB"/>
    <w:rsid w:val="007A6D55"/>
    <w:rsid w:val="007A6EB1"/>
    <w:rsid w:val="007A78DC"/>
    <w:rsid w:val="007B1142"/>
    <w:rsid w:val="007B3A06"/>
    <w:rsid w:val="007B3D7F"/>
    <w:rsid w:val="007B3E4E"/>
    <w:rsid w:val="007B5D41"/>
    <w:rsid w:val="007B70C8"/>
    <w:rsid w:val="007B75CA"/>
    <w:rsid w:val="007C08A9"/>
    <w:rsid w:val="007C7EB4"/>
    <w:rsid w:val="007D174F"/>
    <w:rsid w:val="007D4508"/>
    <w:rsid w:val="007D78B1"/>
    <w:rsid w:val="007E6554"/>
    <w:rsid w:val="007E7F66"/>
    <w:rsid w:val="007F1809"/>
    <w:rsid w:val="007F29C6"/>
    <w:rsid w:val="007F4217"/>
    <w:rsid w:val="007F710B"/>
    <w:rsid w:val="00802A2F"/>
    <w:rsid w:val="00805476"/>
    <w:rsid w:val="008054A7"/>
    <w:rsid w:val="008056BB"/>
    <w:rsid w:val="0081411F"/>
    <w:rsid w:val="008176D9"/>
    <w:rsid w:val="008205CD"/>
    <w:rsid w:val="00824B80"/>
    <w:rsid w:val="008252F8"/>
    <w:rsid w:val="008253D7"/>
    <w:rsid w:val="008321D7"/>
    <w:rsid w:val="00832C2A"/>
    <w:rsid w:val="0083341C"/>
    <w:rsid w:val="00836B25"/>
    <w:rsid w:val="0084078C"/>
    <w:rsid w:val="0084190B"/>
    <w:rsid w:val="00842436"/>
    <w:rsid w:val="00843585"/>
    <w:rsid w:val="00851F05"/>
    <w:rsid w:val="00853153"/>
    <w:rsid w:val="00853ACF"/>
    <w:rsid w:val="00853CC6"/>
    <w:rsid w:val="00857C00"/>
    <w:rsid w:val="00860A8D"/>
    <w:rsid w:val="00862488"/>
    <w:rsid w:val="008631BE"/>
    <w:rsid w:val="0086567F"/>
    <w:rsid w:val="008725C2"/>
    <w:rsid w:val="00873C59"/>
    <w:rsid w:val="00877728"/>
    <w:rsid w:val="0088352A"/>
    <w:rsid w:val="00884814"/>
    <w:rsid w:val="00890B94"/>
    <w:rsid w:val="008B3B33"/>
    <w:rsid w:val="008B3B68"/>
    <w:rsid w:val="008B6440"/>
    <w:rsid w:val="008C0F9B"/>
    <w:rsid w:val="008D4071"/>
    <w:rsid w:val="008D4EF3"/>
    <w:rsid w:val="008D5E4C"/>
    <w:rsid w:val="008D66F9"/>
    <w:rsid w:val="008D6C3F"/>
    <w:rsid w:val="008D6E5C"/>
    <w:rsid w:val="008E72A5"/>
    <w:rsid w:val="008F3716"/>
    <w:rsid w:val="008F5DFD"/>
    <w:rsid w:val="009047D8"/>
    <w:rsid w:val="00904D28"/>
    <w:rsid w:val="009071EF"/>
    <w:rsid w:val="00910962"/>
    <w:rsid w:val="00911922"/>
    <w:rsid w:val="00914B52"/>
    <w:rsid w:val="00914D6F"/>
    <w:rsid w:val="00916A59"/>
    <w:rsid w:val="00917F49"/>
    <w:rsid w:val="009206DE"/>
    <w:rsid w:val="009218A6"/>
    <w:rsid w:val="0092247A"/>
    <w:rsid w:val="00924643"/>
    <w:rsid w:val="00925484"/>
    <w:rsid w:val="009313EB"/>
    <w:rsid w:val="009318DD"/>
    <w:rsid w:val="00935681"/>
    <w:rsid w:val="00944F4D"/>
    <w:rsid w:val="00946159"/>
    <w:rsid w:val="009475BC"/>
    <w:rsid w:val="00950A47"/>
    <w:rsid w:val="00950FAA"/>
    <w:rsid w:val="009512BB"/>
    <w:rsid w:val="009527FE"/>
    <w:rsid w:val="009572A1"/>
    <w:rsid w:val="00963ECE"/>
    <w:rsid w:val="00967E1F"/>
    <w:rsid w:val="00971803"/>
    <w:rsid w:val="00971919"/>
    <w:rsid w:val="009739BA"/>
    <w:rsid w:val="009742DA"/>
    <w:rsid w:val="00977001"/>
    <w:rsid w:val="009814F0"/>
    <w:rsid w:val="00981AA1"/>
    <w:rsid w:val="00984167"/>
    <w:rsid w:val="00984BCF"/>
    <w:rsid w:val="00995B99"/>
    <w:rsid w:val="009A0953"/>
    <w:rsid w:val="009A1217"/>
    <w:rsid w:val="009A2466"/>
    <w:rsid w:val="009A391E"/>
    <w:rsid w:val="009B3D8A"/>
    <w:rsid w:val="009B3FA8"/>
    <w:rsid w:val="009D46A2"/>
    <w:rsid w:val="009D46B6"/>
    <w:rsid w:val="009D5FAC"/>
    <w:rsid w:val="009D601E"/>
    <w:rsid w:val="009E03DC"/>
    <w:rsid w:val="009E1426"/>
    <w:rsid w:val="009E14C6"/>
    <w:rsid w:val="009E355B"/>
    <w:rsid w:val="009E6C16"/>
    <w:rsid w:val="009F4EF8"/>
    <w:rsid w:val="009F528A"/>
    <w:rsid w:val="009F55EE"/>
    <w:rsid w:val="009F7DE8"/>
    <w:rsid w:val="00A02F91"/>
    <w:rsid w:val="00A030E6"/>
    <w:rsid w:val="00A07472"/>
    <w:rsid w:val="00A117D4"/>
    <w:rsid w:val="00A12D03"/>
    <w:rsid w:val="00A15B6C"/>
    <w:rsid w:val="00A1674B"/>
    <w:rsid w:val="00A20B92"/>
    <w:rsid w:val="00A265BC"/>
    <w:rsid w:val="00A302F9"/>
    <w:rsid w:val="00A33BB9"/>
    <w:rsid w:val="00A34CE9"/>
    <w:rsid w:val="00A35232"/>
    <w:rsid w:val="00A3566A"/>
    <w:rsid w:val="00A3598C"/>
    <w:rsid w:val="00A3623C"/>
    <w:rsid w:val="00A427C9"/>
    <w:rsid w:val="00A438AE"/>
    <w:rsid w:val="00A44731"/>
    <w:rsid w:val="00A44D49"/>
    <w:rsid w:val="00A4619B"/>
    <w:rsid w:val="00A5017F"/>
    <w:rsid w:val="00A70510"/>
    <w:rsid w:val="00A7281A"/>
    <w:rsid w:val="00A73DA4"/>
    <w:rsid w:val="00A82167"/>
    <w:rsid w:val="00A82178"/>
    <w:rsid w:val="00A84DCE"/>
    <w:rsid w:val="00AA1550"/>
    <w:rsid w:val="00AA1915"/>
    <w:rsid w:val="00AA31DC"/>
    <w:rsid w:val="00AA4493"/>
    <w:rsid w:val="00AA6278"/>
    <w:rsid w:val="00AB04DA"/>
    <w:rsid w:val="00AB176B"/>
    <w:rsid w:val="00AB1C8F"/>
    <w:rsid w:val="00AB23F5"/>
    <w:rsid w:val="00AC0EB2"/>
    <w:rsid w:val="00AC1BB5"/>
    <w:rsid w:val="00AD01DF"/>
    <w:rsid w:val="00AD16B3"/>
    <w:rsid w:val="00AD74FD"/>
    <w:rsid w:val="00AE3A2D"/>
    <w:rsid w:val="00AE454D"/>
    <w:rsid w:val="00AE7E2C"/>
    <w:rsid w:val="00AF0955"/>
    <w:rsid w:val="00AF0A1F"/>
    <w:rsid w:val="00AF19E3"/>
    <w:rsid w:val="00AF21C8"/>
    <w:rsid w:val="00AF379A"/>
    <w:rsid w:val="00AF4860"/>
    <w:rsid w:val="00B00C2B"/>
    <w:rsid w:val="00B011F5"/>
    <w:rsid w:val="00B049B0"/>
    <w:rsid w:val="00B04CAE"/>
    <w:rsid w:val="00B11952"/>
    <w:rsid w:val="00B20891"/>
    <w:rsid w:val="00B24AE8"/>
    <w:rsid w:val="00B30A1F"/>
    <w:rsid w:val="00B33F2C"/>
    <w:rsid w:val="00B34D0F"/>
    <w:rsid w:val="00B35576"/>
    <w:rsid w:val="00B40D2B"/>
    <w:rsid w:val="00B42E81"/>
    <w:rsid w:val="00B4482B"/>
    <w:rsid w:val="00B4487F"/>
    <w:rsid w:val="00B478AD"/>
    <w:rsid w:val="00B5210B"/>
    <w:rsid w:val="00B53889"/>
    <w:rsid w:val="00B56031"/>
    <w:rsid w:val="00B60EF7"/>
    <w:rsid w:val="00B625EA"/>
    <w:rsid w:val="00B6326E"/>
    <w:rsid w:val="00B700BD"/>
    <w:rsid w:val="00B7193F"/>
    <w:rsid w:val="00B7372C"/>
    <w:rsid w:val="00B767E4"/>
    <w:rsid w:val="00B7728B"/>
    <w:rsid w:val="00B815A4"/>
    <w:rsid w:val="00B82A6A"/>
    <w:rsid w:val="00B848F6"/>
    <w:rsid w:val="00B84D46"/>
    <w:rsid w:val="00B87C6D"/>
    <w:rsid w:val="00B910CA"/>
    <w:rsid w:val="00B9248D"/>
    <w:rsid w:val="00B92F8F"/>
    <w:rsid w:val="00BA1C8A"/>
    <w:rsid w:val="00BB0C71"/>
    <w:rsid w:val="00BB4C8C"/>
    <w:rsid w:val="00BB5CDF"/>
    <w:rsid w:val="00BB71C2"/>
    <w:rsid w:val="00BB721F"/>
    <w:rsid w:val="00BC371A"/>
    <w:rsid w:val="00BD06BB"/>
    <w:rsid w:val="00BD220B"/>
    <w:rsid w:val="00BD3B26"/>
    <w:rsid w:val="00BD3ECD"/>
    <w:rsid w:val="00BD4B36"/>
    <w:rsid w:val="00BD4F98"/>
    <w:rsid w:val="00BD55D9"/>
    <w:rsid w:val="00BE0920"/>
    <w:rsid w:val="00BE159A"/>
    <w:rsid w:val="00BE19BF"/>
    <w:rsid w:val="00BE1DF3"/>
    <w:rsid w:val="00BE6974"/>
    <w:rsid w:val="00BF642C"/>
    <w:rsid w:val="00BF6E2C"/>
    <w:rsid w:val="00C00660"/>
    <w:rsid w:val="00C038B1"/>
    <w:rsid w:val="00C07997"/>
    <w:rsid w:val="00C10796"/>
    <w:rsid w:val="00C13A48"/>
    <w:rsid w:val="00C1602D"/>
    <w:rsid w:val="00C20E2D"/>
    <w:rsid w:val="00C37358"/>
    <w:rsid w:val="00C418D6"/>
    <w:rsid w:val="00C45041"/>
    <w:rsid w:val="00C47343"/>
    <w:rsid w:val="00C47489"/>
    <w:rsid w:val="00C50DE6"/>
    <w:rsid w:val="00C53261"/>
    <w:rsid w:val="00C5575E"/>
    <w:rsid w:val="00C56636"/>
    <w:rsid w:val="00C5689B"/>
    <w:rsid w:val="00C65E64"/>
    <w:rsid w:val="00C66D6F"/>
    <w:rsid w:val="00C66EAF"/>
    <w:rsid w:val="00C73B7B"/>
    <w:rsid w:val="00C75767"/>
    <w:rsid w:val="00C806F9"/>
    <w:rsid w:val="00C820CE"/>
    <w:rsid w:val="00C844DD"/>
    <w:rsid w:val="00C86E12"/>
    <w:rsid w:val="00C86FC6"/>
    <w:rsid w:val="00C93C5C"/>
    <w:rsid w:val="00CA713C"/>
    <w:rsid w:val="00CA7421"/>
    <w:rsid w:val="00CB7C5F"/>
    <w:rsid w:val="00CC73A1"/>
    <w:rsid w:val="00CD2418"/>
    <w:rsid w:val="00CD403A"/>
    <w:rsid w:val="00CD5E4D"/>
    <w:rsid w:val="00CD690D"/>
    <w:rsid w:val="00CE08C6"/>
    <w:rsid w:val="00CF0001"/>
    <w:rsid w:val="00CF1235"/>
    <w:rsid w:val="00CF3C92"/>
    <w:rsid w:val="00D00526"/>
    <w:rsid w:val="00D03251"/>
    <w:rsid w:val="00D076AF"/>
    <w:rsid w:val="00D1089B"/>
    <w:rsid w:val="00D124D2"/>
    <w:rsid w:val="00D15E3C"/>
    <w:rsid w:val="00D204EE"/>
    <w:rsid w:val="00D239AD"/>
    <w:rsid w:val="00D24970"/>
    <w:rsid w:val="00D25202"/>
    <w:rsid w:val="00D26572"/>
    <w:rsid w:val="00D3111A"/>
    <w:rsid w:val="00D3292D"/>
    <w:rsid w:val="00D354E0"/>
    <w:rsid w:val="00D35E98"/>
    <w:rsid w:val="00D360E6"/>
    <w:rsid w:val="00D41473"/>
    <w:rsid w:val="00D41C0E"/>
    <w:rsid w:val="00D43243"/>
    <w:rsid w:val="00D52829"/>
    <w:rsid w:val="00D53770"/>
    <w:rsid w:val="00D54CA3"/>
    <w:rsid w:val="00D578AA"/>
    <w:rsid w:val="00D619DD"/>
    <w:rsid w:val="00D6594D"/>
    <w:rsid w:val="00D67478"/>
    <w:rsid w:val="00D728CE"/>
    <w:rsid w:val="00D730B7"/>
    <w:rsid w:val="00D7315C"/>
    <w:rsid w:val="00D74B17"/>
    <w:rsid w:val="00D74BD5"/>
    <w:rsid w:val="00D822B1"/>
    <w:rsid w:val="00D84354"/>
    <w:rsid w:val="00D92067"/>
    <w:rsid w:val="00D9249E"/>
    <w:rsid w:val="00D95BDE"/>
    <w:rsid w:val="00D97A57"/>
    <w:rsid w:val="00DA0900"/>
    <w:rsid w:val="00DA15E2"/>
    <w:rsid w:val="00DA1879"/>
    <w:rsid w:val="00DA1F6D"/>
    <w:rsid w:val="00DA3700"/>
    <w:rsid w:val="00DA4FD9"/>
    <w:rsid w:val="00DB016C"/>
    <w:rsid w:val="00DB27FE"/>
    <w:rsid w:val="00DB4460"/>
    <w:rsid w:val="00DB5975"/>
    <w:rsid w:val="00DC0141"/>
    <w:rsid w:val="00DC49C4"/>
    <w:rsid w:val="00DD13C9"/>
    <w:rsid w:val="00DD1C0A"/>
    <w:rsid w:val="00DD5335"/>
    <w:rsid w:val="00DD5582"/>
    <w:rsid w:val="00DD58EA"/>
    <w:rsid w:val="00DE0F7A"/>
    <w:rsid w:val="00DE1E64"/>
    <w:rsid w:val="00DE349D"/>
    <w:rsid w:val="00DE73E6"/>
    <w:rsid w:val="00DF3A8E"/>
    <w:rsid w:val="00DF67A2"/>
    <w:rsid w:val="00DF6FE7"/>
    <w:rsid w:val="00E003C6"/>
    <w:rsid w:val="00E00A80"/>
    <w:rsid w:val="00E0289F"/>
    <w:rsid w:val="00E07ECF"/>
    <w:rsid w:val="00E158A3"/>
    <w:rsid w:val="00E21B3A"/>
    <w:rsid w:val="00E22BB8"/>
    <w:rsid w:val="00E259EA"/>
    <w:rsid w:val="00E3121E"/>
    <w:rsid w:val="00E32190"/>
    <w:rsid w:val="00E3232A"/>
    <w:rsid w:val="00E336AA"/>
    <w:rsid w:val="00E41677"/>
    <w:rsid w:val="00E422EB"/>
    <w:rsid w:val="00E42D08"/>
    <w:rsid w:val="00E4735F"/>
    <w:rsid w:val="00E501B6"/>
    <w:rsid w:val="00E52428"/>
    <w:rsid w:val="00E528A8"/>
    <w:rsid w:val="00E53175"/>
    <w:rsid w:val="00E5329D"/>
    <w:rsid w:val="00E54656"/>
    <w:rsid w:val="00E560B0"/>
    <w:rsid w:val="00E57B74"/>
    <w:rsid w:val="00E6191D"/>
    <w:rsid w:val="00E6240A"/>
    <w:rsid w:val="00E63577"/>
    <w:rsid w:val="00E769D0"/>
    <w:rsid w:val="00E82990"/>
    <w:rsid w:val="00E879DF"/>
    <w:rsid w:val="00E87C15"/>
    <w:rsid w:val="00EA4691"/>
    <w:rsid w:val="00EA4F2C"/>
    <w:rsid w:val="00EA5DBF"/>
    <w:rsid w:val="00EB2978"/>
    <w:rsid w:val="00EB4591"/>
    <w:rsid w:val="00EB4E6E"/>
    <w:rsid w:val="00EC5801"/>
    <w:rsid w:val="00ED231B"/>
    <w:rsid w:val="00ED3DF1"/>
    <w:rsid w:val="00ED550C"/>
    <w:rsid w:val="00ED6430"/>
    <w:rsid w:val="00EE2A72"/>
    <w:rsid w:val="00EF44AB"/>
    <w:rsid w:val="00F01501"/>
    <w:rsid w:val="00F01D43"/>
    <w:rsid w:val="00F051D4"/>
    <w:rsid w:val="00F155D9"/>
    <w:rsid w:val="00F160FE"/>
    <w:rsid w:val="00F20EED"/>
    <w:rsid w:val="00F21968"/>
    <w:rsid w:val="00F259A9"/>
    <w:rsid w:val="00F2730B"/>
    <w:rsid w:val="00F343E5"/>
    <w:rsid w:val="00F376AA"/>
    <w:rsid w:val="00F41FC1"/>
    <w:rsid w:val="00F426FC"/>
    <w:rsid w:val="00F42C51"/>
    <w:rsid w:val="00F4648A"/>
    <w:rsid w:val="00F469EA"/>
    <w:rsid w:val="00F540E9"/>
    <w:rsid w:val="00F558FE"/>
    <w:rsid w:val="00F560C4"/>
    <w:rsid w:val="00F56B8D"/>
    <w:rsid w:val="00F57122"/>
    <w:rsid w:val="00F61464"/>
    <w:rsid w:val="00F62697"/>
    <w:rsid w:val="00F711F1"/>
    <w:rsid w:val="00F7226C"/>
    <w:rsid w:val="00F745A1"/>
    <w:rsid w:val="00F753A4"/>
    <w:rsid w:val="00F7744F"/>
    <w:rsid w:val="00F80FCB"/>
    <w:rsid w:val="00F82A86"/>
    <w:rsid w:val="00F8606D"/>
    <w:rsid w:val="00F87FB5"/>
    <w:rsid w:val="00F95C24"/>
    <w:rsid w:val="00FA4062"/>
    <w:rsid w:val="00FA580D"/>
    <w:rsid w:val="00FC03F9"/>
    <w:rsid w:val="00FE0ACB"/>
    <w:rsid w:val="00FE1514"/>
    <w:rsid w:val="00FE1F73"/>
    <w:rsid w:val="00FE2B89"/>
    <w:rsid w:val="00FE31F5"/>
    <w:rsid w:val="00FE4432"/>
    <w:rsid w:val="00FE4F7A"/>
    <w:rsid w:val="00FF46E8"/>
    <w:rsid w:val="00FF56AE"/>
    <w:rsid w:val="00FF60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date"/>
  <w:smartTagType w:namespaceuri="urn:schemas-microsoft-com:office:smarttags" w:name="PersonNam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en-GB" w:eastAsia="fr-FR"/>
    </w:rPr>
  </w:style>
  <w:style w:type="paragraph" w:styleId="Heading1">
    <w:name w:val="heading 1"/>
    <w:basedOn w:val="Normal"/>
    <w:next w:val="Normal"/>
    <w:qFormat/>
    <w:pPr>
      <w:keepNext/>
      <w:spacing w:before="360" w:after="240"/>
      <w:jc w:val="center"/>
      <w:outlineLvl w:val="0"/>
    </w:pPr>
    <w:rPr>
      <w:b/>
      <w:sz w:val="28"/>
    </w:rPr>
  </w:style>
  <w:style w:type="paragraph" w:styleId="Heading2">
    <w:name w:val="heading 2"/>
    <w:basedOn w:val="Normal"/>
    <w:next w:val="Normal"/>
    <w:qFormat/>
    <w:pPr>
      <w:keepNext/>
      <w:spacing w:before="240" w:after="120"/>
      <w:ind w:left="284" w:hanging="284"/>
      <w:outlineLvl w:val="1"/>
    </w:pPr>
    <w:rPr>
      <w:b/>
    </w:rPr>
  </w:style>
  <w:style w:type="paragraph" w:styleId="Heading3">
    <w:name w:val="heading 3"/>
    <w:basedOn w:val="Normal"/>
    <w:next w:val="Normal"/>
    <w:qFormat/>
    <w:pPr>
      <w:keepNext/>
      <w:spacing w:before="120" w:after="60"/>
      <w:ind w:left="1418" w:hanging="851"/>
      <w:outlineLvl w:val="2"/>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Char1Char">
    <w:name w:val="Ju_Para Char1 Char"/>
    <w:basedOn w:val="Normal"/>
    <w:link w:val="JuParaChar1CharChar"/>
    <w:pPr>
      <w:ind w:firstLine="284"/>
      <w:jc w:val="both"/>
    </w:pPr>
  </w:style>
  <w:style w:type="paragraph" w:customStyle="1" w:styleId="JuCase">
    <w:name w:val="Ju_Case"/>
    <w:basedOn w:val="JuParaChar1Char"/>
    <w:next w:val="JuParaChar1Char"/>
    <w:rPr>
      <w:b/>
    </w:rPr>
  </w:style>
  <w:style w:type="paragraph" w:customStyle="1" w:styleId="JuJudges">
    <w:name w:val="Ju_Judges"/>
    <w:basedOn w:val="Normal"/>
    <w:pPr>
      <w:tabs>
        <w:tab w:val="left" w:pos="567"/>
        <w:tab w:val="left" w:pos="1134"/>
      </w:tabs>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Head">
    <w:name w:val="Ju_H_Head"/>
    <w:basedOn w:val="Normal"/>
    <w:next w:val="JuParaChar1Char"/>
    <w:link w:val="JuHHeadChar"/>
    <w:pPr>
      <w:spacing w:before="720" w:after="240"/>
      <w:jc w:val="both"/>
    </w:pPr>
    <w:rPr>
      <w:sz w:val="28"/>
    </w:rPr>
  </w:style>
  <w:style w:type="paragraph" w:customStyle="1" w:styleId="JuHIRomanChar">
    <w:name w:val="Ju_H_I_Roman Char"/>
    <w:basedOn w:val="JuHHead"/>
    <w:next w:val="JuParaChar1Char"/>
    <w:link w:val="JuHIRomanCharChar"/>
    <w:pPr>
      <w:tabs>
        <w:tab w:val="left" w:pos="357"/>
      </w:tabs>
      <w:spacing w:before="360"/>
      <w:ind w:left="357" w:hanging="357"/>
    </w:pPr>
    <w:rPr>
      <w:sz w:val="24"/>
    </w:rPr>
  </w:style>
  <w:style w:type="paragraph" w:customStyle="1" w:styleId="JuHAChar">
    <w:name w:val="Ju_H_A Char"/>
    <w:basedOn w:val="JuHIRomanChar"/>
    <w:next w:val="JuParaChar1Char"/>
    <w:link w:val="JuHACharChar"/>
    <w:pPr>
      <w:tabs>
        <w:tab w:val="clear" w:pos="357"/>
        <w:tab w:val="left" w:pos="584"/>
      </w:tabs>
      <w:ind w:left="584" w:hanging="352"/>
    </w:pPr>
    <w:rPr>
      <w:b/>
    </w:rPr>
  </w:style>
  <w:style w:type="paragraph" w:customStyle="1" w:styleId="JuHaChar0">
    <w:name w:val="Ju_H_a Char"/>
    <w:basedOn w:val="JuH1Char1"/>
    <w:next w:val="JuParaChar1Char"/>
    <w:link w:val="JuHaCharChar0"/>
    <w:pPr>
      <w:tabs>
        <w:tab w:val="clear" w:pos="731"/>
        <w:tab w:val="left" w:pos="975"/>
      </w:tabs>
      <w:ind w:left="975" w:hanging="340"/>
    </w:pPr>
    <w:rPr>
      <w:b/>
      <w:i w:val="0"/>
      <w:sz w:val="20"/>
    </w:rPr>
  </w:style>
  <w:style w:type="paragraph" w:customStyle="1" w:styleId="JuH1Char1">
    <w:name w:val="Ju_H_1. Char1"/>
    <w:basedOn w:val="JuHAChar"/>
    <w:next w:val="JuParaChar1Char"/>
    <w:link w:val="JuH1Char1Char"/>
    <w:pPr>
      <w:tabs>
        <w:tab w:val="clear" w:pos="584"/>
        <w:tab w:val="left" w:pos="731"/>
      </w:tabs>
      <w:spacing w:before="240" w:after="120"/>
      <w:ind w:left="732" w:hanging="301"/>
    </w:pPr>
    <w:rPr>
      <w:b w:val="0"/>
      <w:i/>
    </w:rPr>
  </w:style>
  <w:style w:type="paragraph" w:customStyle="1" w:styleId="JuHiChar">
    <w:name w:val="Ju_H_i Char"/>
    <w:basedOn w:val="JuHaChar0"/>
    <w:next w:val="JuParaChar1Char"/>
    <w:link w:val="JuHiCharChar"/>
    <w:pPr>
      <w:tabs>
        <w:tab w:val="clear" w:pos="975"/>
        <w:tab w:val="left" w:pos="1191"/>
      </w:tabs>
      <w:ind w:left="1190" w:hanging="357"/>
    </w:pPr>
    <w:rPr>
      <w:b w:val="0"/>
      <w:i/>
    </w:rPr>
  </w:style>
  <w:style w:type="paragraph" w:customStyle="1" w:styleId="JuHalphaChar">
    <w:name w:val="Ju_H_alpha Char"/>
    <w:basedOn w:val="JuHiChar"/>
    <w:next w:val="JuParaChar1Char"/>
    <w:link w:val="JuHalphaCharChar"/>
    <w:pPr>
      <w:tabs>
        <w:tab w:val="clear" w:pos="1191"/>
        <w:tab w:val="left" w:pos="1372"/>
      </w:tabs>
      <w:ind w:left="1373" w:hanging="335"/>
    </w:pPr>
    <w:rPr>
      <w:i w:val="0"/>
    </w:rPr>
  </w:style>
  <w:style w:type="paragraph" w:customStyle="1" w:styleId="JuH">
    <w:name w:val="Ju_H_–"/>
    <w:basedOn w:val="JuHalphaChar"/>
    <w:next w:val="JuParaChar1Char"/>
    <w:link w:val="JuHChar"/>
    <w:pPr>
      <w:tabs>
        <w:tab w:val="clear" w:pos="1372"/>
      </w:tabs>
      <w:ind w:left="1236" w:firstLine="0"/>
    </w:pPr>
    <w:rPr>
      <w:i/>
    </w:rPr>
  </w:style>
  <w:style w:type="paragraph" w:customStyle="1" w:styleId="JuHQuot">
    <w:name w:val="Ju_H_Quot"/>
    <w:basedOn w:val="JuHaChar0"/>
    <w:next w:val="JuQuotChar1"/>
    <w:pPr>
      <w:ind w:left="0" w:firstLine="0"/>
      <w:jc w:val="center"/>
    </w:pPr>
  </w:style>
  <w:style w:type="paragraph" w:customStyle="1" w:styleId="JuQuotChar1">
    <w:name w:val="Ju_Quot Char1"/>
    <w:basedOn w:val="JuParaChar1Char"/>
    <w:link w:val="JuQuotChar1Char"/>
    <w:pPr>
      <w:spacing w:before="120" w:after="120"/>
      <w:ind w:left="425" w:firstLine="142"/>
    </w:pPr>
    <w:rPr>
      <w:sz w:val="20"/>
    </w:rPr>
  </w:style>
  <w:style w:type="character" w:styleId="CommentReference">
    <w:name w:val="annotation reference"/>
    <w:basedOn w:val="DefaultParagraphFont"/>
    <w:semiHidden/>
    <w:rPr>
      <w:sz w:val="16"/>
    </w:rPr>
  </w:style>
  <w:style w:type="paragraph" w:styleId="Header">
    <w:name w:val="header"/>
    <w:basedOn w:val="Normal"/>
    <w:pPr>
      <w:tabs>
        <w:tab w:val="center" w:pos="3686"/>
        <w:tab w:val="right" w:pos="7371"/>
      </w:tabs>
    </w:pPr>
    <w:rPr>
      <w:sz w:val="18"/>
    </w:rPr>
  </w:style>
  <w:style w:type="paragraph" w:customStyle="1" w:styleId="JuSigned">
    <w:name w:val="Ju_Signed"/>
    <w:basedOn w:val="Normal"/>
    <w:next w:val="JuParaLast"/>
    <w:pPr>
      <w:tabs>
        <w:tab w:val="center" w:pos="851"/>
        <w:tab w:val="center" w:pos="6521"/>
      </w:tabs>
      <w:spacing w:before="720"/>
    </w:pPr>
  </w:style>
  <w:style w:type="paragraph" w:customStyle="1" w:styleId="JuParaLast">
    <w:name w:val="Ju_Para_Last"/>
    <w:basedOn w:val="JuParaChar1Char"/>
    <w:next w:val="JuParaChar1Char"/>
    <w:pPr>
      <w:spacing w:before="240"/>
    </w:pPr>
  </w:style>
  <w:style w:type="paragraph" w:customStyle="1" w:styleId="JuInitialled">
    <w:name w:val="Ju_Initialled"/>
    <w:basedOn w:val="JuSigned"/>
    <w:pPr>
      <w:tabs>
        <w:tab w:val="clear" w:pos="851"/>
        <w:tab w:val="clear" w:pos="6521"/>
      </w:tabs>
      <w:jc w:val="right"/>
    </w:pPr>
  </w:style>
  <w:style w:type="paragraph" w:customStyle="1" w:styleId="JuList">
    <w:name w:val="Ju_List"/>
    <w:basedOn w:val="JuParaChar1Char"/>
    <w:pPr>
      <w:ind w:left="340" w:hanging="340"/>
    </w:pPr>
  </w:style>
  <w:style w:type="paragraph" w:customStyle="1" w:styleId="JuLista">
    <w:name w:val="Ju_List_a"/>
    <w:basedOn w:val="JuList"/>
    <w:pPr>
      <w:ind w:left="346" w:firstLine="0"/>
    </w:pPr>
  </w:style>
  <w:style w:type="paragraph" w:customStyle="1" w:styleId="JuListi">
    <w:name w:val="Ju_List_i"/>
    <w:basedOn w:val="JuLista"/>
    <w:pPr>
      <w:ind w:left="794"/>
    </w:pPr>
  </w:style>
  <w:style w:type="character" w:styleId="FootnoteReference">
    <w:name w:val="footnote reference"/>
    <w:basedOn w:val="DefaultParagraphFont"/>
    <w:semiHidden/>
    <w:rPr>
      <w:vertAlign w:val="superscript"/>
    </w:rPr>
  </w:style>
  <w:style w:type="paragraph" w:styleId="CommentText">
    <w:name w:val="annotation text"/>
    <w:basedOn w:val="Normal"/>
    <w:semiHidden/>
    <w:rPr>
      <w:sz w:val="20"/>
    </w:rPr>
  </w:style>
  <w:style w:type="paragraph" w:customStyle="1" w:styleId="OpiCommission">
    <w:name w:val="Opi_Commission"/>
    <w:basedOn w:val="JuJudges"/>
    <w:pPr>
      <w:tabs>
        <w:tab w:val="clear" w:pos="567"/>
        <w:tab w:val="clear" w:pos="1134"/>
        <w:tab w:val="left" w:pos="1814"/>
        <w:tab w:val="left" w:pos="2381"/>
        <w:tab w:val="left" w:pos="3119"/>
      </w:tabs>
      <w:ind w:left="1418"/>
    </w:pPr>
    <w:rPr>
      <w:sz w:val="20"/>
    </w:rPr>
  </w:style>
  <w:style w:type="paragraph" w:customStyle="1" w:styleId="OpiPara">
    <w:name w:val="Opi_Para"/>
    <w:basedOn w:val="JuParaChar1Char"/>
  </w:style>
  <w:style w:type="paragraph" w:customStyle="1" w:styleId="OpiConclusion">
    <w:name w:val="Opi_Conclusion"/>
    <w:basedOn w:val="OpiPara"/>
    <w:next w:val="OpiPara"/>
    <w:pPr>
      <w:spacing w:before="360" w:after="120"/>
      <w:ind w:firstLine="0"/>
    </w:pPr>
    <w:rPr>
      <w:i/>
    </w:rPr>
  </w:style>
  <w:style w:type="paragraph" w:customStyle="1" w:styleId="OpiHA">
    <w:name w:val="Opi_H_A"/>
    <w:basedOn w:val="JuHIRomanChar"/>
    <w:next w:val="OpiPara"/>
    <w:pPr>
      <w:tabs>
        <w:tab w:val="clear" w:pos="357"/>
      </w:tabs>
    </w:pPr>
    <w:rPr>
      <w:b/>
    </w:rPr>
  </w:style>
  <w:style w:type="paragraph" w:customStyle="1" w:styleId="OpiH1">
    <w:name w:val="Opi_H_1."/>
    <w:basedOn w:val="OpiHA"/>
    <w:next w:val="OpiPara"/>
    <w:pPr>
      <w:spacing w:before="240" w:after="120"/>
      <w:ind w:left="635"/>
    </w:pPr>
    <w:rPr>
      <w:b w:val="0"/>
      <w:i/>
    </w:rPr>
  </w:style>
  <w:style w:type="paragraph" w:customStyle="1" w:styleId="OpiHa0">
    <w:name w:val="Opi_H_a"/>
    <w:basedOn w:val="OpiH1"/>
    <w:next w:val="OpiPara"/>
    <w:pPr>
      <w:ind w:left="834"/>
    </w:pPr>
    <w:rPr>
      <w:b/>
      <w:i w:val="0"/>
      <w:sz w:val="20"/>
    </w:rPr>
  </w:style>
  <w:style w:type="paragraph" w:customStyle="1" w:styleId="OpiHHead">
    <w:name w:val="Opi_H_Head"/>
    <w:basedOn w:val="JuHHead"/>
    <w:next w:val="OpiPara"/>
    <w:pPr>
      <w:spacing w:before="0"/>
      <w:jc w:val="center"/>
    </w:pPr>
  </w:style>
  <w:style w:type="paragraph" w:customStyle="1" w:styleId="OpiTranslation">
    <w:name w:val="Opi_Translation"/>
    <w:basedOn w:val="OpiHHead"/>
    <w:next w:val="OpiPara"/>
    <w:rPr>
      <w:sz w:val="24"/>
    </w:rPr>
  </w:style>
  <w:style w:type="paragraph" w:customStyle="1" w:styleId="OpiHCommission">
    <w:name w:val="Opi_H_Commission"/>
    <w:basedOn w:val="OpiTranslation"/>
    <w:next w:val="OpiPara"/>
    <w:pPr>
      <w:spacing w:before="480"/>
      <w:ind w:left="1418"/>
      <w:jc w:val="left"/>
    </w:pPr>
    <w:rPr>
      <w:sz w:val="20"/>
    </w:rPr>
  </w:style>
  <w:style w:type="paragraph" w:customStyle="1" w:styleId="OpiHi">
    <w:name w:val="Opi_H_i"/>
    <w:basedOn w:val="OpiHa0"/>
    <w:next w:val="OpiPara"/>
    <w:pPr>
      <w:ind w:left="1038"/>
    </w:pPr>
    <w:rPr>
      <w:b w:val="0"/>
      <w:i/>
    </w:rPr>
  </w:style>
  <w:style w:type="paragraph" w:customStyle="1" w:styleId="OpiHOpinion">
    <w:name w:val="Opi_H_Opinion"/>
    <w:basedOn w:val="OpiHHead"/>
    <w:next w:val="OpiPara"/>
    <w:pPr>
      <w:spacing w:before="240"/>
    </w:pPr>
    <w:rPr>
      <w:b/>
    </w:rPr>
  </w:style>
  <w:style w:type="paragraph" w:customStyle="1" w:styleId="OpiList">
    <w:name w:val="Opi_List"/>
    <w:basedOn w:val="JuList"/>
  </w:style>
  <w:style w:type="character" w:customStyle="1" w:styleId="OpiNames">
    <w:name w:val="Opi_Names"/>
    <w:basedOn w:val="JuNames"/>
    <w:rPr>
      <w:smallCaps/>
    </w:rPr>
  </w:style>
  <w:style w:type="character" w:customStyle="1" w:styleId="JuNames">
    <w:name w:val="Ju_Names"/>
    <w:basedOn w:val="DefaultParagraphFont"/>
    <w:rPr>
      <w:smallCaps/>
    </w:rPr>
  </w:style>
  <w:style w:type="paragraph" w:customStyle="1" w:styleId="OpiQuot">
    <w:name w:val="Opi_Quot"/>
    <w:basedOn w:val="JuQuotChar1"/>
  </w:style>
  <w:style w:type="paragraph" w:customStyle="1" w:styleId="OpiQuotList">
    <w:name w:val="Opi_Quot_List"/>
    <w:basedOn w:val="OpiQuot"/>
    <w:pPr>
      <w:tabs>
        <w:tab w:val="left" w:pos="1021"/>
      </w:tabs>
      <w:ind w:left="567" w:firstLine="0"/>
    </w:pPr>
  </w:style>
  <w:style w:type="paragraph" w:customStyle="1" w:styleId="OpiSigned">
    <w:name w:val="Opi_Signed"/>
    <w:basedOn w:val="JuSigned"/>
    <w:pPr>
      <w:tabs>
        <w:tab w:val="clear" w:pos="851"/>
        <w:tab w:val="clear" w:pos="6521"/>
        <w:tab w:val="center" w:pos="1418"/>
        <w:tab w:val="center" w:pos="5954"/>
      </w:tabs>
    </w:pPr>
  </w:style>
  <w:style w:type="character" w:styleId="PageNumber">
    <w:name w:val="page number"/>
    <w:basedOn w:val="DefaultParagraphFont"/>
  </w:style>
  <w:style w:type="paragraph" w:styleId="FootnoteText">
    <w:name w:val="footnote text"/>
    <w:basedOn w:val="Normal"/>
    <w:semiHidden/>
    <w:pPr>
      <w:jc w:val="both"/>
    </w:pPr>
    <w:rPr>
      <w:sz w:val="20"/>
    </w:rPr>
  </w:style>
  <w:style w:type="paragraph" w:customStyle="1" w:styleId="SuCoverTitle1">
    <w:name w:val="Su_Cover_Title1"/>
    <w:basedOn w:val="Normal"/>
    <w:next w:val="SuCoverTitle2"/>
    <w:pPr>
      <w:spacing w:before="2500"/>
      <w:jc w:val="center"/>
    </w:pPr>
    <w:rPr>
      <w:sz w:val="22"/>
    </w:rPr>
  </w:style>
  <w:style w:type="paragraph" w:customStyle="1" w:styleId="SuCoverTitle2">
    <w:name w:val="Su_Cover_Title2"/>
    <w:basedOn w:val="SuCoverTitle1"/>
    <w:next w:val="Normal"/>
    <w:pPr>
      <w:spacing w:before="240"/>
    </w:pPr>
    <w:rPr>
      <w:sz w:val="18"/>
    </w:rPr>
  </w:style>
  <w:style w:type="paragraph" w:customStyle="1" w:styleId="JuQuotSub">
    <w:name w:val="Ju_Quot_Sub"/>
    <w:basedOn w:val="JuQuotChar1"/>
    <w:pPr>
      <w:ind w:firstLine="425"/>
    </w:pPr>
  </w:style>
  <w:style w:type="paragraph" w:styleId="Footer">
    <w:name w:val="footer"/>
    <w:basedOn w:val="Normal"/>
    <w:pPr>
      <w:tabs>
        <w:tab w:val="center" w:pos="3686"/>
        <w:tab w:val="right" w:pos="7371"/>
      </w:tabs>
    </w:pPr>
    <w:rPr>
      <w:sz w:val="18"/>
    </w:rPr>
  </w:style>
  <w:style w:type="paragraph" w:customStyle="1" w:styleId="SuPara">
    <w:name w:val="Su_Para"/>
    <w:basedOn w:val="SuKeywords"/>
    <w:pPr>
      <w:spacing w:before="0" w:after="0"/>
    </w:pPr>
    <w:rPr>
      <w:i w:val="0"/>
    </w:rPr>
  </w:style>
  <w:style w:type="paragraph" w:customStyle="1" w:styleId="SuKeywords">
    <w:name w:val="Su_Keywords"/>
    <w:basedOn w:val="SuHHead"/>
    <w:pPr>
      <w:spacing w:before="120"/>
    </w:pPr>
    <w:rPr>
      <w:b w:val="0"/>
      <w:i/>
    </w:rPr>
  </w:style>
  <w:style w:type="paragraph" w:customStyle="1" w:styleId="SuHHead">
    <w:name w:val="Su_H_Head"/>
    <w:basedOn w:val="SuSubject"/>
    <w:pPr>
      <w:spacing w:after="120"/>
    </w:pPr>
  </w:style>
  <w:style w:type="paragraph" w:customStyle="1" w:styleId="SuSubject">
    <w:name w:val="Su_Subject"/>
    <w:basedOn w:val="SuSummary"/>
    <w:pPr>
      <w:spacing w:before="360"/>
      <w:jc w:val="both"/>
    </w:pPr>
    <w:rPr>
      <w:b/>
      <w:sz w:val="22"/>
    </w:rPr>
  </w:style>
  <w:style w:type="paragraph" w:customStyle="1" w:styleId="SuSummary">
    <w:name w:val="Su_Summary"/>
    <w:basedOn w:val="Normal"/>
    <w:next w:val="SuSubject"/>
    <w:pPr>
      <w:spacing w:after="240"/>
      <w:jc w:val="center"/>
    </w:p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Char1Char"/>
    <w:rPr>
      <w:sz w:val="24"/>
    </w:rPr>
  </w:style>
  <w:style w:type="paragraph" w:customStyle="1" w:styleId="DecList">
    <w:name w:val="Dec_List"/>
    <w:basedOn w:val="Normal"/>
    <w:pPr>
      <w:spacing w:before="240"/>
      <w:ind w:left="284"/>
      <w:jc w:val="both"/>
    </w:pPr>
  </w:style>
  <w:style w:type="paragraph" w:customStyle="1" w:styleId="JuParaSub">
    <w:name w:val="Ju_Para_Sub"/>
    <w:basedOn w:val="JuParaChar1Char"/>
    <w:pPr>
      <w:ind w:firstLine="567"/>
    </w:pPr>
  </w:style>
  <w:style w:type="paragraph" w:styleId="BalloonText">
    <w:name w:val="Balloon Text"/>
    <w:basedOn w:val="Normal"/>
    <w:semiHidden/>
    <w:rsid w:val="00BF6E2C"/>
    <w:rPr>
      <w:rFonts w:ascii="Tahoma" w:hAnsi="Tahoma" w:cs="Tahoma"/>
      <w:sz w:val="16"/>
      <w:szCs w:val="16"/>
    </w:rPr>
  </w:style>
  <w:style w:type="paragraph" w:customStyle="1" w:styleId="JuParaChar">
    <w:name w:val="Ju_Para Char"/>
    <w:basedOn w:val="Normal"/>
    <w:rsid w:val="00BF6E2C"/>
    <w:pPr>
      <w:ind w:firstLine="284"/>
      <w:jc w:val="both"/>
    </w:pPr>
    <w:rPr>
      <w:szCs w:val="24"/>
      <w:lang w:val="fr-FR"/>
    </w:rPr>
  </w:style>
  <w:style w:type="character" w:customStyle="1" w:styleId="JuParaCharCharChar1Char1">
    <w:name w:val="Ju_Para Char Char Char1 Char1"/>
    <w:link w:val="JuParaCharCharChar1"/>
    <w:rsid w:val="00BF6E2C"/>
    <w:rPr>
      <w:snapToGrid w:val="0"/>
      <w:sz w:val="24"/>
      <w:szCs w:val="24"/>
      <w:lang w:val="fr-FR"/>
    </w:rPr>
  </w:style>
  <w:style w:type="paragraph" w:customStyle="1" w:styleId="JuHArticle">
    <w:name w:val="Ju_H_Article"/>
    <w:basedOn w:val="JuQuotChar1"/>
    <w:rsid w:val="00F469EA"/>
    <w:pPr>
      <w:ind w:firstLine="295"/>
      <w:jc w:val="center"/>
    </w:pPr>
    <w:rPr>
      <w:b/>
      <w:bCs/>
    </w:rPr>
  </w:style>
  <w:style w:type="character" w:customStyle="1" w:styleId="JuParaCharCharChar1">
    <w:name w:val="Ju_Para Char Char Char1"/>
    <w:basedOn w:val="DefaultParagraphFont"/>
    <w:link w:val="JuParaCharCharChar1Char1"/>
    <w:rsid w:val="00D84354"/>
    <w:rPr>
      <w:sz w:val="24"/>
      <w:lang w:val="en-GB" w:eastAsia="fr-FR" w:bidi="ar-SA"/>
    </w:rPr>
  </w:style>
  <w:style w:type="paragraph" w:customStyle="1" w:styleId="JuH1Char">
    <w:name w:val="Ju_H_1. Char"/>
    <w:basedOn w:val="JuHAChar"/>
    <w:next w:val="JuParaChar1Char"/>
    <w:link w:val="JuH1CharChar"/>
    <w:rsid w:val="007F1809"/>
    <w:pPr>
      <w:keepNext/>
      <w:keepLines/>
      <w:tabs>
        <w:tab w:val="clear" w:pos="584"/>
        <w:tab w:val="left" w:pos="731"/>
      </w:tabs>
      <w:spacing w:before="240" w:after="120"/>
      <w:ind w:left="732" w:hanging="301"/>
    </w:pPr>
    <w:rPr>
      <w:b w:val="0"/>
      <w:i/>
      <w:lang w:val="fr-FR"/>
    </w:rPr>
  </w:style>
  <w:style w:type="character" w:customStyle="1" w:styleId="JuQuotChar">
    <w:name w:val="Ju_Quot Char"/>
    <w:basedOn w:val="DefaultParagraphFont"/>
    <w:rsid w:val="007F1809"/>
    <w:rPr>
      <w:sz w:val="24"/>
      <w:lang w:val="fr-FR" w:eastAsia="fr-FR" w:bidi="ar-SA"/>
    </w:rPr>
  </w:style>
  <w:style w:type="character" w:customStyle="1" w:styleId="JuH1CharChar">
    <w:name w:val="Ju_H_1. Char Char"/>
    <w:basedOn w:val="DefaultParagraphFont"/>
    <w:link w:val="JuH1Char"/>
    <w:rsid w:val="007F1809"/>
    <w:rPr>
      <w:i/>
      <w:sz w:val="24"/>
      <w:lang w:val="fr-FR" w:eastAsia="fr-FR" w:bidi="ar-SA"/>
    </w:rPr>
  </w:style>
  <w:style w:type="character" w:customStyle="1" w:styleId="JuParaChar1CharChar">
    <w:name w:val="Ju_Para Char1 Char Char"/>
    <w:basedOn w:val="DefaultParagraphFont"/>
    <w:link w:val="JuParaChar1Char"/>
    <w:rsid w:val="00331DE9"/>
    <w:rPr>
      <w:sz w:val="24"/>
      <w:lang w:val="en-GB" w:eastAsia="fr-FR" w:bidi="ar-SA"/>
    </w:rPr>
  </w:style>
  <w:style w:type="character" w:customStyle="1" w:styleId="JuHACharChar">
    <w:name w:val="Ju_H_A Char Char"/>
    <w:basedOn w:val="DefaultParagraphFont"/>
    <w:link w:val="JuHAChar"/>
    <w:rsid w:val="00DD58EA"/>
    <w:rPr>
      <w:b/>
      <w:sz w:val="24"/>
      <w:lang w:val="en-GB" w:eastAsia="fr-FR" w:bidi="ar-SA"/>
    </w:rPr>
  </w:style>
  <w:style w:type="character" w:customStyle="1" w:styleId="JuH1Char1Char">
    <w:name w:val="Ju_H_1. Char1 Char"/>
    <w:basedOn w:val="JuHACharChar"/>
    <w:link w:val="JuH1Char1"/>
    <w:rsid w:val="00DD58EA"/>
    <w:rPr>
      <w:b/>
      <w:i/>
      <w:sz w:val="24"/>
      <w:lang w:val="en-GB" w:eastAsia="fr-FR" w:bidi="ar-SA"/>
    </w:rPr>
  </w:style>
  <w:style w:type="paragraph" w:customStyle="1" w:styleId="JuPara">
    <w:name w:val="Ju_Para"/>
    <w:basedOn w:val="Normal"/>
    <w:link w:val="JuParaChar2"/>
    <w:rsid w:val="004948EF"/>
    <w:pPr>
      <w:ind w:firstLine="284"/>
      <w:jc w:val="both"/>
    </w:pPr>
    <w:rPr>
      <w:lang w:val="fr-FR"/>
    </w:rPr>
  </w:style>
  <w:style w:type="character" w:customStyle="1" w:styleId="JuHaCharChar0">
    <w:name w:val="Ju_H_a Char Char"/>
    <w:basedOn w:val="JuH1Char1"/>
    <w:link w:val="JuHaChar0"/>
    <w:rsid w:val="00E07ECF"/>
    <w:rPr>
      <w:b/>
      <w:lang w:val="en-GB" w:eastAsia="fr-FR" w:bidi="ar-SA"/>
    </w:rPr>
  </w:style>
  <w:style w:type="character" w:customStyle="1" w:styleId="JuHiCharChar">
    <w:name w:val="Ju_H_i Char Char"/>
    <w:basedOn w:val="JuHaChar0"/>
    <w:link w:val="JuHiChar"/>
    <w:rsid w:val="006618D2"/>
    <w:rPr>
      <w:i/>
      <w:lang w:val="en-GB" w:eastAsia="fr-FR" w:bidi="ar-SA"/>
    </w:rPr>
  </w:style>
  <w:style w:type="character" w:customStyle="1" w:styleId="JuHalphaCharChar">
    <w:name w:val="Ju_H_alpha Char Char"/>
    <w:basedOn w:val="JuHiChar"/>
    <w:link w:val="JuHalphaChar"/>
    <w:rsid w:val="00C07997"/>
    <w:rPr>
      <w:lang w:val="en-GB" w:eastAsia="fr-FR" w:bidi="ar-SA"/>
    </w:rPr>
  </w:style>
  <w:style w:type="paragraph" w:customStyle="1" w:styleId="JuHi">
    <w:name w:val="Ju_H_i"/>
    <w:basedOn w:val="JuHAChar"/>
    <w:next w:val="JuPara"/>
    <w:rsid w:val="00BD06BB"/>
    <w:pPr>
      <w:keepNext/>
      <w:keepLines/>
      <w:tabs>
        <w:tab w:val="clear" w:pos="584"/>
        <w:tab w:val="left" w:pos="1191"/>
      </w:tabs>
      <w:spacing w:before="240" w:after="120"/>
      <w:ind w:left="1190" w:hanging="357"/>
    </w:pPr>
    <w:rPr>
      <w:b w:val="0"/>
      <w:i/>
      <w:sz w:val="20"/>
      <w:lang w:val="fr-FR"/>
    </w:rPr>
  </w:style>
  <w:style w:type="paragraph" w:customStyle="1" w:styleId="JuHalpha">
    <w:name w:val="Ju_H_alpha"/>
    <w:basedOn w:val="JuHi"/>
    <w:next w:val="JuPara"/>
    <w:rsid w:val="004E3118"/>
    <w:pPr>
      <w:tabs>
        <w:tab w:val="clear" w:pos="1191"/>
        <w:tab w:val="left" w:pos="1372"/>
      </w:tabs>
      <w:ind w:left="1373" w:hanging="335"/>
    </w:pPr>
    <w:rPr>
      <w:i w:val="0"/>
    </w:rPr>
  </w:style>
  <w:style w:type="character" w:customStyle="1" w:styleId="JuHChar">
    <w:name w:val="Ju_H_– Char"/>
    <w:basedOn w:val="JuHalphaChar"/>
    <w:link w:val="JuH"/>
    <w:rsid w:val="004E3118"/>
    <w:rPr>
      <w:i/>
      <w:lang w:val="en-GB" w:eastAsia="fr-FR" w:bidi="ar-SA"/>
    </w:rPr>
  </w:style>
  <w:style w:type="paragraph" w:customStyle="1" w:styleId="JuHa">
    <w:name w:val="Ju_H_a"/>
    <w:basedOn w:val="Normal"/>
    <w:next w:val="JuPara"/>
    <w:link w:val="JuHaChar1"/>
    <w:rsid w:val="006C340C"/>
    <w:pPr>
      <w:keepNext/>
      <w:keepLines/>
      <w:tabs>
        <w:tab w:val="left" w:pos="975"/>
      </w:tabs>
      <w:spacing w:before="240" w:after="120"/>
      <w:ind w:left="975" w:hanging="340"/>
      <w:jc w:val="both"/>
    </w:pPr>
    <w:rPr>
      <w:b/>
      <w:sz w:val="20"/>
      <w:lang w:val="fr-FR"/>
    </w:rPr>
  </w:style>
  <w:style w:type="paragraph" w:customStyle="1" w:styleId="JuH1">
    <w:name w:val="Ju_H_1."/>
    <w:basedOn w:val="JuHa"/>
    <w:next w:val="JuPara"/>
    <w:rsid w:val="006C340C"/>
    <w:pPr>
      <w:tabs>
        <w:tab w:val="clear" w:pos="975"/>
        <w:tab w:val="left" w:pos="731"/>
      </w:tabs>
      <w:ind w:left="732" w:hanging="301"/>
    </w:pPr>
    <w:rPr>
      <w:b w:val="0"/>
      <w:i/>
      <w:sz w:val="24"/>
    </w:rPr>
  </w:style>
  <w:style w:type="character" w:customStyle="1" w:styleId="JuHIRomanCharChar">
    <w:name w:val="Ju_H_I_Roman Char Char"/>
    <w:basedOn w:val="DefaultParagraphFont"/>
    <w:link w:val="JuHIRomanChar"/>
    <w:rsid w:val="00824B80"/>
    <w:rPr>
      <w:sz w:val="24"/>
      <w:lang w:val="en-GB" w:eastAsia="fr-FR" w:bidi="ar-SA"/>
    </w:rPr>
  </w:style>
  <w:style w:type="paragraph" w:customStyle="1" w:styleId="JuParaChar1">
    <w:name w:val="Ju_Para Char1"/>
    <w:basedOn w:val="Normal"/>
    <w:link w:val="JuParaChar1Char1"/>
    <w:rsid w:val="00824B80"/>
    <w:pPr>
      <w:ind w:firstLine="284"/>
      <w:jc w:val="both"/>
    </w:pPr>
    <w:rPr>
      <w:lang w:val="fr-FR"/>
    </w:rPr>
  </w:style>
  <w:style w:type="paragraph" w:customStyle="1" w:styleId="JuHA0">
    <w:name w:val="Ju_H_A"/>
    <w:basedOn w:val="JuHIRomanChar"/>
    <w:next w:val="JuParaChar1"/>
    <w:link w:val="JuHAChar10"/>
    <w:rsid w:val="00824B80"/>
    <w:pPr>
      <w:keepNext/>
      <w:keepLines/>
      <w:tabs>
        <w:tab w:val="clear" w:pos="357"/>
        <w:tab w:val="left" w:pos="584"/>
      </w:tabs>
      <w:ind w:left="584" w:hanging="352"/>
    </w:pPr>
    <w:rPr>
      <w:b/>
      <w:lang w:val="fr-FR"/>
    </w:rPr>
  </w:style>
  <w:style w:type="paragraph" w:customStyle="1" w:styleId="JuParaCharChar">
    <w:name w:val="Ju_Para Char Char"/>
    <w:basedOn w:val="Normal"/>
    <w:rsid w:val="005455DC"/>
    <w:pPr>
      <w:ind w:firstLine="284"/>
      <w:jc w:val="both"/>
    </w:pPr>
  </w:style>
  <w:style w:type="paragraph" w:customStyle="1" w:styleId="OpiQuotSub">
    <w:name w:val="Opi_Quot_Sub"/>
    <w:basedOn w:val="JuQuotSub"/>
    <w:rsid w:val="00946159"/>
    <w:pPr>
      <w:ind w:left="567" w:firstLine="142"/>
    </w:pPr>
  </w:style>
  <w:style w:type="paragraph" w:customStyle="1" w:styleId="JuHIRoman">
    <w:name w:val="Ju_H_I_Roman"/>
    <w:basedOn w:val="JuHHead"/>
    <w:next w:val="JuParaCharChar"/>
    <w:rsid w:val="000D0F06"/>
    <w:pPr>
      <w:keepNext/>
      <w:keepLines/>
      <w:tabs>
        <w:tab w:val="left" w:pos="357"/>
      </w:tabs>
      <w:spacing w:before="360"/>
      <w:ind w:left="357" w:hanging="357"/>
    </w:pPr>
    <w:rPr>
      <w:sz w:val="24"/>
    </w:rPr>
  </w:style>
  <w:style w:type="character" w:customStyle="1" w:styleId="JuHHeadChar">
    <w:name w:val="Ju_H_Head Char"/>
    <w:basedOn w:val="DefaultParagraphFont"/>
    <w:link w:val="JuHHead"/>
    <w:rsid w:val="00731B65"/>
    <w:rPr>
      <w:sz w:val="28"/>
      <w:lang w:val="en-GB" w:eastAsia="fr-FR" w:bidi="ar-SA"/>
    </w:rPr>
  </w:style>
  <w:style w:type="paragraph" w:customStyle="1" w:styleId="JuParaChar1CharCharCharCharChar">
    <w:name w:val="Ju_Para Char1 Char Char Char Char Char"/>
    <w:basedOn w:val="Normal"/>
    <w:link w:val="JuParaChar1CharCharCharCharCharChar"/>
    <w:rsid w:val="004C1AB2"/>
    <w:pPr>
      <w:ind w:firstLine="284"/>
      <w:jc w:val="both"/>
    </w:pPr>
    <w:rPr>
      <w:lang w:val="fr-FR"/>
    </w:rPr>
  </w:style>
  <w:style w:type="character" w:customStyle="1" w:styleId="JuParaChar1CharCharCharCharCharChar">
    <w:name w:val="Ju_Para Char1 Char Char Char Char Char Char"/>
    <w:basedOn w:val="DefaultParagraphFont"/>
    <w:link w:val="JuParaChar1CharCharCharCharChar"/>
    <w:rsid w:val="004C1AB2"/>
    <w:rPr>
      <w:sz w:val="24"/>
      <w:lang w:val="fr-FR" w:eastAsia="fr-FR" w:bidi="ar-SA"/>
    </w:rPr>
  </w:style>
  <w:style w:type="character" w:customStyle="1" w:styleId="JuParaChar2">
    <w:name w:val="Ju_Para Char2"/>
    <w:basedOn w:val="DefaultParagraphFont"/>
    <w:link w:val="JuPara"/>
    <w:rsid w:val="00F57122"/>
    <w:rPr>
      <w:sz w:val="24"/>
      <w:lang w:val="fr-FR" w:eastAsia="fr-FR" w:bidi="ar-SA"/>
    </w:rPr>
  </w:style>
  <w:style w:type="character" w:customStyle="1" w:styleId="JuParaChar1Char1">
    <w:name w:val="Ju_Para Char1 Char1"/>
    <w:basedOn w:val="DefaultParagraphFont"/>
    <w:link w:val="JuParaChar1"/>
    <w:rsid w:val="000842EC"/>
    <w:rPr>
      <w:sz w:val="24"/>
      <w:lang w:val="fr-FR" w:eastAsia="fr-FR" w:bidi="ar-SA"/>
    </w:rPr>
  </w:style>
  <w:style w:type="character" w:customStyle="1" w:styleId="JuHAChar10">
    <w:name w:val="Ju_H_A Char1"/>
    <w:basedOn w:val="JuHIRomanCharChar"/>
    <w:link w:val="JuHA0"/>
    <w:rsid w:val="000842EC"/>
    <w:rPr>
      <w:b/>
      <w:sz w:val="24"/>
      <w:lang w:val="fr-FR" w:eastAsia="fr-FR" w:bidi="ar-SA"/>
    </w:rPr>
  </w:style>
  <w:style w:type="character" w:customStyle="1" w:styleId="JuQuotChar1Char">
    <w:name w:val="Ju_Quot Char1 Char"/>
    <w:basedOn w:val="JuParaCharCharChar1"/>
    <w:link w:val="JuQuotChar1"/>
    <w:rsid w:val="002B236F"/>
    <w:rPr>
      <w:sz w:val="24"/>
      <w:lang w:val="en-GB" w:eastAsia="fr-FR" w:bidi="ar-SA"/>
    </w:rPr>
  </w:style>
  <w:style w:type="paragraph" w:customStyle="1" w:styleId="JuQuot">
    <w:name w:val="Ju_Quot"/>
    <w:basedOn w:val="JuPara"/>
    <w:rsid w:val="003C3A9D"/>
    <w:pPr>
      <w:spacing w:before="120" w:after="120"/>
      <w:ind w:left="425" w:firstLine="142"/>
    </w:pPr>
    <w:rPr>
      <w:sz w:val="20"/>
      <w:lang w:val="en-GB"/>
    </w:rPr>
  </w:style>
  <w:style w:type="character" w:customStyle="1" w:styleId="JuHaChar1">
    <w:name w:val="Ju_H_a Char1"/>
    <w:basedOn w:val="DefaultParagraphFont"/>
    <w:link w:val="JuHa"/>
    <w:rsid w:val="00D578AA"/>
    <w:rPr>
      <w:b/>
      <w:lang w:val="fr-FR" w:eastAsia="fr-FR" w:bidi="ar-SA"/>
    </w:rPr>
  </w:style>
  <w:style w:type="paragraph" w:styleId="DocumentMap">
    <w:name w:val="Document Map"/>
    <w:basedOn w:val="Normal"/>
    <w:semiHidden/>
    <w:rsid w:val="00124007"/>
    <w:pPr>
      <w:shd w:val="clear" w:color="auto" w:fill="00008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CBE550-38E7-4DDC-8526-37C6117FD656}"/>
</file>

<file path=customXml/itemProps2.xml><?xml version="1.0" encoding="utf-8"?>
<ds:datastoreItem xmlns:ds="http://schemas.openxmlformats.org/officeDocument/2006/customXml" ds:itemID="{7D10CD1B-D247-4C48-A70A-7FC6D2FFD366}"/>
</file>

<file path=customXml/itemProps3.xml><?xml version="1.0" encoding="utf-8"?>
<ds:datastoreItem xmlns:ds="http://schemas.openxmlformats.org/officeDocument/2006/customXml" ds:itemID="{DE7C1047-712E-484E-822D-A3E500360881}"/>
</file>

<file path=docProps/app.xml><?xml version="1.0" encoding="utf-8"?>
<Properties xmlns="http://schemas.openxmlformats.org/officeDocument/2006/extended-properties" xmlns:vt="http://schemas.openxmlformats.org/officeDocument/2006/docPropsVTypes">
  <Template>Normal.dotm</Template>
  <TotalTime>7201</TotalTime>
  <Pages>1</Pages>
  <Words>28029</Words>
  <Characters>159766</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187421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
  <cp:keywords/>
  <dc:description/>
  <cp:lastModifiedBy/>
  <cp:revision>59</cp:revision>
  <cp:lastPrinted>2009-02-26T10:56:00Z</cp:lastPrinted>
  <dcterms:created xsi:type="dcterms:W3CDTF">2017-11-21T15:21:00Z</dcterms:created>
  <dcterms:modified xsi:type="dcterms:W3CDTF">2017-11-21T15:21:00Z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