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040" w:rsidP="00042867" w:rsidRDefault="00DA7040">
      <w:pPr>
        <w:jc w:val="center"/>
      </w:pPr>
      <w:bookmarkStart w:name="_GoBack" w:id="0"/>
      <w:bookmarkEnd w:id="0"/>
    </w:p>
    <w:p w:rsidR="004C568D" w:rsidP="004C568D" w:rsidRDefault="004C568D">
      <w:pPr>
        <w:jc w:val="center"/>
      </w:pPr>
    </w:p>
    <w:p w:rsidR="004C568D" w:rsidP="004C568D" w:rsidRDefault="004C568D">
      <w:pPr>
        <w:jc w:val="center"/>
      </w:pPr>
    </w:p>
    <w:p w:rsidRPr="00E73B86" w:rsidR="004C568D" w:rsidP="004C568D" w:rsidRDefault="004C568D">
      <w:pPr>
        <w:jc w:val="center"/>
      </w:pPr>
    </w:p>
    <w:p w:rsidRPr="00E73B86" w:rsidR="004C568D" w:rsidP="004C568D" w:rsidRDefault="004C568D">
      <w:pPr>
        <w:jc w:val="center"/>
      </w:pPr>
      <w:r w:rsidRPr="00E73B86">
        <w:t>SECOND SECTION</w:t>
      </w:r>
    </w:p>
    <w:p w:rsidR="004C568D" w:rsidP="004C568D" w:rsidRDefault="004C568D">
      <w:pPr>
        <w:jc w:val="center"/>
      </w:pPr>
    </w:p>
    <w:p w:rsidR="004C568D" w:rsidP="004C568D" w:rsidRDefault="004C568D">
      <w:pPr>
        <w:jc w:val="center"/>
      </w:pPr>
    </w:p>
    <w:p w:rsidR="004C568D" w:rsidP="004C568D" w:rsidRDefault="004C568D">
      <w:pPr>
        <w:jc w:val="center"/>
      </w:pPr>
    </w:p>
    <w:p w:rsidRPr="00E73B86" w:rsidR="004C568D" w:rsidP="004C568D" w:rsidRDefault="004C568D">
      <w:pPr>
        <w:jc w:val="center"/>
      </w:pPr>
    </w:p>
    <w:p w:rsidRPr="00E73B86" w:rsidR="004C568D" w:rsidP="004C568D" w:rsidRDefault="004C568D">
      <w:pPr>
        <w:jc w:val="center"/>
        <w:rPr>
          <w:b/>
        </w:rPr>
      </w:pPr>
      <w:bookmarkStart w:name="To" w:id="1"/>
      <w:r w:rsidRPr="00E73B86">
        <w:rPr>
          <w:b/>
        </w:rPr>
        <w:t xml:space="preserve">CASE OF </w:t>
      </w:r>
      <w:bookmarkEnd w:id="1"/>
      <w:r w:rsidRPr="00E73B86">
        <w:rPr>
          <w:b/>
        </w:rPr>
        <w:t xml:space="preserve">TARANTINO </w:t>
      </w:r>
      <w:r>
        <w:rPr>
          <w:b/>
        </w:rPr>
        <w:t xml:space="preserve">AND OTHERS </w:t>
      </w:r>
      <w:r w:rsidRPr="00E73B86">
        <w:rPr>
          <w:b/>
        </w:rPr>
        <w:t xml:space="preserve">v. </w:t>
      </w:r>
      <w:smartTag w:uri="urn:schemas-microsoft-com:office:smarttags" w:element="place">
        <w:smartTag w:uri="urn:schemas-microsoft-com:office:smarttags" w:element="country-region">
          <w:r w:rsidRPr="00E73B86">
            <w:rPr>
              <w:b/>
            </w:rPr>
            <w:t>ITALY</w:t>
          </w:r>
        </w:smartTag>
      </w:smartTag>
    </w:p>
    <w:p w:rsidRPr="00E73B86" w:rsidR="004C568D" w:rsidP="004C568D" w:rsidRDefault="004C568D">
      <w:pPr>
        <w:jc w:val="center"/>
      </w:pPr>
    </w:p>
    <w:p w:rsidRPr="005C27F4" w:rsidR="004C568D" w:rsidP="004C568D" w:rsidRDefault="004C568D">
      <w:pPr>
        <w:jc w:val="center"/>
        <w:rPr>
          <w:i/>
        </w:rPr>
      </w:pPr>
      <w:r w:rsidRPr="00E73B86">
        <w:rPr>
          <w:i/>
        </w:rPr>
        <w:t>(</w:t>
      </w:r>
      <w:r>
        <w:rPr>
          <w:i/>
        </w:rPr>
        <w:t xml:space="preserve">Applications nos. 25851/09, </w:t>
      </w:r>
      <w:r w:rsidRPr="00525276">
        <w:rPr>
          <w:i/>
          <w:szCs w:val="24"/>
          <w:lang w:eastAsia="en-GB"/>
        </w:rPr>
        <w:t>29284/09 and 64090/09</w:t>
      </w:r>
      <w:r>
        <w:rPr>
          <w:i/>
        </w:rPr>
        <w:t>)</w:t>
      </w:r>
    </w:p>
    <w:p w:rsidR="004C568D" w:rsidP="004C568D" w:rsidRDefault="004C568D">
      <w:pPr>
        <w:jc w:val="center"/>
      </w:pPr>
    </w:p>
    <w:p w:rsidR="004C568D" w:rsidP="004C568D" w:rsidRDefault="004C568D">
      <w:pPr>
        <w:jc w:val="center"/>
      </w:pPr>
    </w:p>
    <w:p w:rsidR="004C568D" w:rsidP="004C568D" w:rsidRDefault="004C568D">
      <w:pPr>
        <w:jc w:val="center"/>
      </w:pPr>
    </w:p>
    <w:p w:rsidR="004C568D" w:rsidP="004C568D" w:rsidRDefault="004C568D">
      <w:pPr>
        <w:jc w:val="center"/>
      </w:pPr>
    </w:p>
    <w:p w:rsidR="004C568D" w:rsidP="004C568D" w:rsidRDefault="004C568D">
      <w:pPr>
        <w:jc w:val="center"/>
      </w:pPr>
    </w:p>
    <w:p w:rsidRPr="002A7289" w:rsidR="004C568D" w:rsidP="004C568D" w:rsidRDefault="004C568D">
      <w:pPr>
        <w:jc w:val="center"/>
      </w:pPr>
      <w:r w:rsidRPr="002A7289">
        <w:t>JUDGMENT</w:t>
      </w:r>
    </w:p>
    <w:p w:rsidRPr="002A7289" w:rsidR="004C568D" w:rsidP="004C568D" w:rsidRDefault="004C568D">
      <w:pPr>
        <w:jc w:val="center"/>
      </w:pPr>
    </w:p>
    <w:p w:rsidRPr="002A7289" w:rsidR="004C568D" w:rsidP="004C568D" w:rsidRDefault="004C568D">
      <w:pPr>
        <w:jc w:val="center"/>
      </w:pPr>
    </w:p>
    <w:p w:rsidRPr="002A7289" w:rsidR="004C568D" w:rsidP="004C568D" w:rsidRDefault="004C568D">
      <w:pPr>
        <w:jc w:val="center"/>
      </w:pPr>
    </w:p>
    <w:p w:rsidRPr="002A7289" w:rsidR="004C568D" w:rsidP="004C568D" w:rsidRDefault="004C568D">
      <w:pPr>
        <w:jc w:val="center"/>
      </w:pPr>
      <w:smartTag w:uri="urn:schemas-microsoft-com:office:smarttags" w:element="City">
        <w:smartTag w:uri="urn:schemas-microsoft-com:office:smarttags" w:element="place">
          <w:r w:rsidRPr="002A7289">
            <w:t>STRASBOURG</w:t>
          </w:r>
        </w:smartTag>
      </w:smartTag>
    </w:p>
    <w:p w:rsidRPr="002A7289" w:rsidR="004C568D" w:rsidP="004C568D" w:rsidRDefault="004C568D">
      <w:pPr>
        <w:jc w:val="center"/>
      </w:pPr>
    </w:p>
    <w:p w:rsidRPr="002A7289" w:rsidR="004C568D" w:rsidP="004C568D" w:rsidRDefault="004C568D">
      <w:pPr>
        <w:jc w:val="center"/>
      </w:pPr>
    </w:p>
    <w:p w:rsidRPr="002A7289" w:rsidR="004C568D" w:rsidP="004C568D" w:rsidRDefault="004C568D">
      <w:pPr>
        <w:jc w:val="center"/>
      </w:pPr>
      <w:r w:rsidRPr="002A7289">
        <w:t>2 April 2013</w:t>
      </w:r>
    </w:p>
    <w:p w:rsidRPr="002A7289" w:rsidR="004C568D" w:rsidP="004C568D" w:rsidRDefault="004C568D">
      <w:pPr>
        <w:jc w:val="center"/>
      </w:pPr>
    </w:p>
    <w:p w:rsidRPr="002A7289" w:rsidR="004C568D" w:rsidP="004C568D" w:rsidRDefault="004C568D">
      <w:pPr>
        <w:jc w:val="center"/>
      </w:pPr>
    </w:p>
    <w:p w:rsidR="006545FA" w:rsidP="006545FA" w:rsidRDefault="006545FA">
      <w:pPr>
        <w:pStyle w:val="jucase0"/>
        <w:ind w:firstLine="0"/>
        <w:jc w:val="center"/>
        <w:rPr>
          <w:color w:val="FF0000"/>
          <w:sz w:val="28"/>
          <w:szCs w:val="28"/>
          <w:u w:val="single"/>
        </w:rPr>
      </w:pPr>
      <w:r>
        <w:rPr>
          <w:color w:val="FF0000"/>
          <w:sz w:val="28"/>
          <w:szCs w:val="28"/>
          <w:u w:val="single"/>
        </w:rPr>
        <w:t>FINAL</w:t>
      </w:r>
    </w:p>
    <w:p w:rsidR="006545FA" w:rsidP="006545FA" w:rsidRDefault="006545FA">
      <w:pPr>
        <w:pStyle w:val="jupara0"/>
        <w:ind w:firstLine="0"/>
        <w:rPr>
          <w:color w:val="FF0000"/>
          <w:sz w:val="28"/>
          <w:szCs w:val="28"/>
        </w:rPr>
      </w:pPr>
    </w:p>
    <w:p w:rsidR="006545FA" w:rsidP="006545FA" w:rsidRDefault="006545FA">
      <w:pPr>
        <w:pStyle w:val="jupara0"/>
        <w:ind w:firstLine="0"/>
        <w:jc w:val="center"/>
        <w:rPr>
          <w:color w:val="FF0000"/>
          <w:sz w:val="28"/>
          <w:szCs w:val="28"/>
        </w:rPr>
      </w:pPr>
      <w:r>
        <w:rPr>
          <w:color w:val="FF0000"/>
          <w:sz w:val="28"/>
          <w:szCs w:val="28"/>
        </w:rPr>
        <w:t>09/09/2013</w:t>
      </w:r>
    </w:p>
    <w:p w:rsidR="006545FA" w:rsidP="006545FA" w:rsidRDefault="006545FA">
      <w:pPr>
        <w:pStyle w:val="jupara0"/>
        <w:ind w:firstLine="0"/>
        <w:jc w:val="center"/>
      </w:pPr>
    </w:p>
    <w:p w:rsidR="004C568D" w:rsidP="006545FA" w:rsidRDefault="006545FA">
      <w:r>
        <w:rPr>
          <w:i/>
          <w:iCs/>
          <w:sz w:val="22"/>
          <w:szCs w:val="22"/>
        </w:rPr>
        <w:t>This judgment has become final under Article 44 § 2 of the Convention. It may be subject to editorial revision.</w:t>
      </w:r>
    </w:p>
    <w:p w:rsidRPr="00380723" w:rsidR="004C568D" w:rsidP="004C568D" w:rsidRDefault="004C568D">
      <w:pPr>
        <w:sectPr w:rsidRPr="00380723" w:rsidR="004C568D" w:rsidSect="00DA7040">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E73B86" w:rsidR="004C568D" w:rsidP="004C568D" w:rsidRDefault="004C568D">
      <w:pPr>
        <w:pStyle w:val="JuCase"/>
        <w:rPr>
          <w:b w:val="0"/>
          <w:bCs/>
        </w:rPr>
      </w:pPr>
      <w:r w:rsidRPr="00E73B86">
        <w:t xml:space="preserve">In the case of Tarantino </w:t>
      </w:r>
      <w:r>
        <w:t xml:space="preserve">and Others </w:t>
      </w:r>
      <w:r w:rsidRPr="00E73B86">
        <w:t xml:space="preserve">v. </w:t>
      </w:r>
      <w:smartTag w:uri="urn:schemas-microsoft-com:office:smarttags" w:element="place">
        <w:smartTag w:uri="urn:schemas-microsoft-com:office:smarttags" w:element="country-region">
          <w:r w:rsidRPr="00E73B86">
            <w:t>Italy</w:t>
          </w:r>
        </w:smartTag>
      </w:smartTag>
      <w:r w:rsidRPr="00E73B86">
        <w:t>,</w:t>
      </w:r>
    </w:p>
    <w:p w:rsidRPr="00E73B86" w:rsidR="004C568D" w:rsidP="004C568D" w:rsidRDefault="004C568D">
      <w:pPr>
        <w:pStyle w:val="JuCase"/>
        <w:rPr>
          <w:b w:val="0"/>
          <w:bCs/>
        </w:rPr>
      </w:pPr>
      <w:r w:rsidRPr="00E73B86">
        <w:rPr>
          <w:b w:val="0"/>
          <w:bCs/>
        </w:rPr>
        <w:t>The European Court of Human Rights (Second Section), sitting as a Chamber composed of:</w:t>
      </w:r>
    </w:p>
    <w:p w:rsidRPr="00E73B86" w:rsidR="004C568D" w:rsidP="004C568D" w:rsidRDefault="004C568D">
      <w:pPr>
        <w:pStyle w:val="JuJudges"/>
      </w:pPr>
      <w:r w:rsidRPr="00DA7040">
        <w:tab/>
      </w:r>
      <w:proofErr w:type="spellStart"/>
      <w:r w:rsidRPr="00DA7040">
        <w:t>Danutė</w:t>
      </w:r>
      <w:proofErr w:type="spellEnd"/>
      <w:r>
        <w:t xml:space="preserve"> </w:t>
      </w:r>
      <w:proofErr w:type="spellStart"/>
      <w:r w:rsidRPr="00DA7040">
        <w:t>Jočienė</w:t>
      </w:r>
      <w:proofErr w:type="spellEnd"/>
      <w:r>
        <w:t>,</w:t>
      </w:r>
      <w:r w:rsidRPr="00DA7040">
        <w:rPr>
          <w:i/>
        </w:rPr>
        <w:t xml:space="preserve"> President,</w:t>
      </w:r>
      <w:r>
        <w:rPr>
          <w:i/>
        </w:rPr>
        <w:br/>
      </w:r>
      <w:r w:rsidRPr="00DA7040">
        <w:tab/>
        <w:t>Guido</w:t>
      </w:r>
      <w:r>
        <w:t xml:space="preserve"> </w:t>
      </w:r>
      <w:r w:rsidRPr="00DA7040">
        <w:t>Raimondi</w:t>
      </w:r>
      <w:r>
        <w:t>,</w:t>
      </w:r>
      <w:r>
        <w:rPr>
          <w:i/>
        </w:rPr>
        <w:br/>
      </w:r>
      <w:r w:rsidRPr="00DA7040">
        <w:tab/>
        <w:t>Peer</w:t>
      </w:r>
      <w:r>
        <w:t xml:space="preserve"> </w:t>
      </w:r>
      <w:proofErr w:type="spellStart"/>
      <w:r w:rsidRPr="00DA7040">
        <w:t>Lorenzen</w:t>
      </w:r>
      <w:proofErr w:type="spellEnd"/>
      <w:r>
        <w:t>,</w:t>
      </w:r>
      <w:r>
        <w:rPr>
          <w:i/>
        </w:rPr>
        <w:br/>
      </w:r>
      <w:r w:rsidRPr="00DA7040">
        <w:tab/>
      </w:r>
      <w:proofErr w:type="spellStart"/>
      <w:r w:rsidRPr="00DA7040">
        <w:t>Dragoljub</w:t>
      </w:r>
      <w:proofErr w:type="spellEnd"/>
      <w:r>
        <w:t xml:space="preserve"> </w:t>
      </w:r>
      <w:proofErr w:type="spellStart"/>
      <w:r w:rsidRPr="00DA7040">
        <w:t>Popović</w:t>
      </w:r>
      <w:proofErr w:type="spellEnd"/>
      <w:r>
        <w:t>,</w:t>
      </w:r>
      <w:r>
        <w:rPr>
          <w:i/>
        </w:rPr>
        <w:br/>
      </w:r>
      <w:r w:rsidRPr="00DA7040">
        <w:tab/>
      </w:r>
      <w:proofErr w:type="spellStart"/>
      <w:r w:rsidRPr="00DA7040">
        <w:t>Işıl</w:t>
      </w:r>
      <w:proofErr w:type="spellEnd"/>
      <w:r>
        <w:t xml:space="preserve"> </w:t>
      </w:r>
      <w:proofErr w:type="spellStart"/>
      <w:r w:rsidRPr="00DA7040">
        <w:t>Karakaş</w:t>
      </w:r>
      <w:proofErr w:type="spellEnd"/>
      <w:r>
        <w:t>,</w:t>
      </w:r>
      <w:r>
        <w:rPr>
          <w:i/>
        </w:rPr>
        <w:br/>
      </w:r>
      <w:r w:rsidRPr="00DA7040">
        <w:tab/>
      </w:r>
      <w:proofErr w:type="spellStart"/>
      <w:r w:rsidRPr="00DA7040">
        <w:t>Nebojša</w:t>
      </w:r>
      <w:proofErr w:type="spellEnd"/>
      <w:r>
        <w:t xml:space="preserve"> </w:t>
      </w:r>
      <w:proofErr w:type="spellStart"/>
      <w:r w:rsidRPr="00DA7040">
        <w:t>Vučinić</w:t>
      </w:r>
      <w:proofErr w:type="spellEnd"/>
      <w:r>
        <w:t>,</w:t>
      </w:r>
      <w:r>
        <w:rPr>
          <w:i/>
        </w:rPr>
        <w:br/>
      </w:r>
      <w:r w:rsidRPr="00DA7040">
        <w:tab/>
        <w:t>Paulo</w:t>
      </w:r>
      <w:r>
        <w:t xml:space="preserve"> </w:t>
      </w:r>
      <w:r w:rsidRPr="00DA7040">
        <w:t>Pinto de Albuquerque</w:t>
      </w:r>
      <w:r>
        <w:t>,</w:t>
      </w:r>
      <w:r w:rsidRPr="00DA7040">
        <w:rPr>
          <w:i/>
        </w:rPr>
        <w:t xml:space="preserve"> judges,</w:t>
      </w:r>
      <w:r w:rsidRPr="00E73B86">
        <w:br/>
        <w:t xml:space="preserve">and </w:t>
      </w:r>
      <w:r>
        <w:t>Françoise Elens-Passos</w:t>
      </w:r>
      <w:r w:rsidRPr="00E73B86">
        <w:rPr>
          <w:rStyle w:val="JuJudgesChar"/>
        </w:rPr>
        <w:t xml:space="preserve">, </w:t>
      </w:r>
      <w:r w:rsidRPr="00380723">
        <w:rPr>
          <w:rStyle w:val="JuJudgesChar"/>
          <w:i/>
        </w:rPr>
        <w:t>Deputy</w:t>
      </w:r>
      <w:r>
        <w:rPr>
          <w:rStyle w:val="JuJudgesChar"/>
        </w:rPr>
        <w:t xml:space="preserve"> </w:t>
      </w:r>
      <w:r w:rsidRPr="00E73B86">
        <w:rPr>
          <w:i/>
        </w:rPr>
        <w:t xml:space="preserve">Section </w:t>
      </w:r>
      <w:r w:rsidRPr="00E73B86">
        <w:rPr>
          <w:i/>
          <w:iCs/>
        </w:rPr>
        <w:t>Registrar</w:t>
      </w:r>
      <w:r w:rsidRPr="00E73B86">
        <w:rPr>
          <w:i/>
        </w:rPr>
        <w:t>,</w:t>
      </w:r>
    </w:p>
    <w:p w:rsidRPr="00E73B86" w:rsidR="004C568D" w:rsidP="004C568D" w:rsidRDefault="004C568D">
      <w:pPr>
        <w:pStyle w:val="JuPara"/>
      </w:pPr>
      <w:r w:rsidRPr="00E73B86">
        <w:t xml:space="preserve">Having deliberated in private on </w:t>
      </w:r>
      <w:r>
        <w:t>5 March 2013</w:t>
      </w:r>
      <w:r w:rsidRPr="00E73B86">
        <w:t>,</w:t>
      </w:r>
    </w:p>
    <w:p w:rsidRPr="00E73B86" w:rsidR="004C568D" w:rsidP="004C568D" w:rsidRDefault="004C568D">
      <w:pPr>
        <w:pStyle w:val="JuPara"/>
      </w:pPr>
      <w:r w:rsidRPr="00E73B86">
        <w:t>Delivers the following judgment, which was adopted on that date:</w:t>
      </w:r>
    </w:p>
    <w:p w:rsidRPr="00E73B86" w:rsidR="004C568D" w:rsidP="004C568D" w:rsidRDefault="004C568D">
      <w:pPr>
        <w:pStyle w:val="JuHHead"/>
      </w:pPr>
      <w:r w:rsidRPr="00E73B86">
        <w:t>PROCEDURE</w:t>
      </w:r>
    </w:p>
    <w:p w:rsidR="004C568D" w:rsidP="004C568D" w:rsidRDefault="004C568D">
      <w:pPr>
        <w:pStyle w:val="JuPara"/>
      </w:pPr>
      <w:r>
        <w:fldChar w:fldCharType="begin"/>
      </w:r>
      <w:r>
        <w:instrText xml:space="preserve"> SEQ level0 \*arabic </w:instrText>
      </w:r>
      <w:r>
        <w:fldChar w:fldCharType="separate"/>
      </w:r>
      <w:r>
        <w:rPr>
          <w:noProof/>
        </w:rPr>
        <w:t>1</w:t>
      </w:r>
      <w:r>
        <w:fldChar w:fldCharType="end"/>
      </w:r>
      <w:r>
        <w:t>.  </w:t>
      </w:r>
      <w:r w:rsidRPr="00E73B86">
        <w:t xml:space="preserve">The case originated in </w:t>
      </w:r>
      <w:r>
        <w:t>three</w:t>
      </w:r>
      <w:r w:rsidRPr="00E73B86">
        <w:t xml:space="preserve"> applications (nos. 25851/09</w:t>
      </w:r>
      <w:r>
        <w:t>,</w:t>
      </w:r>
      <w:r w:rsidRPr="00E73B86">
        <w:t xml:space="preserve"> </w:t>
      </w:r>
      <w:r w:rsidRPr="003B58EA">
        <w:rPr>
          <w:szCs w:val="24"/>
          <w:lang w:eastAsia="en-GB"/>
        </w:rPr>
        <w:t>29284/09 and 64090/09</w:t>
      </w:r>
      <w:r w:rsidRPr="00E73B86">
        <w:t>) against the Italian Republic lodged with the Court under Article 34 of the Convention for the Protection of Human Rights and Fundamental Freedoms (“the Convention”)</w:t>
      </w:r>
      <w:r>
        <w:t xml:space="preserve"> by</w:t>
      </w:r>
      <w:r w:rsidR="00461914">
        <w:t xml:space="preserve"> eight Italian nationals:</w:t>
      </w:r>
      <w:r w:rsidRPr="00E73B86">
        <w:t xml:space="preserve"> Ms Claudia Tarantino</w:t>
      </w:r>
      <w:r>
        <w:t xml:space="preserve">, Mr Giuseppe </w:t>
      </w:r>
      <w:proofErr w:type="spellStart"/>
      <w:r>
        <w:t>Reitano</w:t>
      </w:r>
      <w:proofErr w:type="spellEnd"/>
      <w:r>
        <w:t xml:space="preserve">, </w:t>
      </w:r>
      <w:r w:rsidRPr="00E73B86">
        <w:t>Ms</w:t>
      </w:r>
      <w:r>
        <w:t xml:space="preserve"> Laura Aziz, Mr Maurizio </w:t>
      </w:r>
      <w:proofErr w:type="spellStart"/>
      <w:r>
        <w:t>Brancadori</w:t>
      </w:r>
      <w:proofErr w:type="spellEnd"/>
      <w:r>
        <w:t xml:space="preserve">, Mr Massimo </w:t>
      </w:r>
      <w:proofErr w:type="spellStart"/>
      <w:r>
        <w:t>Crosia</w:t>
      </w:r>
      <w:proofErr w:type="spellEnd"/>
      <w:r>
        <w:t xml:space="preserve">, Mr Massimo </w:t>
      </w:r>
      <w:proofErr w:type="spellStart"/>
      <w:r>
        <w:t>Filetti</w:t>
      </w:r>
      <w:proofErr w:type="spellEnd"/>
      <w:r>
        <w:t xml:space="preserve">, Mr </w:t>
      </w:r>
      <w:proofErr w:type="spellStart"/>
      <w:r>
        <w:t>Pasqualino</w:t>
      </w:r>
      <w:proofErr w:type="spellEnd"/>
      <w:r>
        <w:t xml:space="preserve"> La </w:t>
      </w:r>
      <w:proofErr w:type="spellStart"/>
      <w:r>
        <w:t>Mela</w:t>
      </w:r>
      <w:proofErr w:type="spellEnd"/>
      <w:r>
        <w:t xml:space="preserve"> and Mr Carmelo </w:t>
      </w:r>
      <w:proofErr w:type="spellStart"/>
      <w:r>
        <w:t>Marcuzzo</w:t>
      </w:r>
      <w:proofErr w:type="spellEnd"/>
      <w:r w:rsidRPr="00E73B86">
        <w:t xml:space="preserve"> (“the applicants”) on 18 May</w:t>
      </w:r>
      <w:r>
        <w:t xml:space="preserve"> and 2 and 16 November 2009</w:t>
      </w:r>
      <w:r w:rsidRPr="00E73B86">
        <w:t>.</w:t>
      </w:r>
    </w:p>
    <w:p w:rsidRPr="00E73B86"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2</w:t>
      </w:r>
      <w:r w:rsidRPr="00E73B86">
        <w:fldChar w:fldCharType="end"/>
      </w:r>
      <w:r w:rsidRPr="00E73B86">
        <w:t xml:space="preserve">.  The applicants were represented by Mr G. Lipari, a lawyer practising in </w:t>
      </w:r>
      <w:proofErr w:type="spellStart"/>
      <w:r w:rsidRPr="00E73B86">
        <w:t>Misilmeri</w:t>
      </w:r>
      <w:proofErr w:type="spellEnd"/>
      <w:r w:rsidRPr="00E73B86">
        <w:t xml:space="preserve">. The Italian Government (“the Government”) were represented by their </w:t>
      </w:r>
      <w:r>
        <w:t>co-</w:t>
      </w:r>
      <w:r w:rsidRPr="00E73B86">
        <w:t>Agent, Ms</w:t>
      </w:r>
      <w:r>
        <w:t xml:space="preserve"> P. Accardo</w:t>
      </w:r>
      <w:r w:rsidRPr="00E73B86">
        <w:t>.</w:t>
      </w:r>
    </w:p>
    <w:p w:rsidRPr="00E73B86"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3</w:t>
      </w:r>
      <w:r w:rsidRPr="00E73B86">
        <w:fldChar w:fldCharType="end"/>
      </w:r>
      <w:r w:rsidRPr="00E73B86">
        <w:t xml:space="preserve">.  The applicants </w:t>
      </w:r>
      <w:r>
        <w:t>complained</w:t>
      </w:r>
      <w:r w:rsidRPr="00E73B86">
        <w:t xml:space="preserve"> </w:t>
      </w:r>
      <w:r>
        <w:rPr>
          <w:szCs w:val="24"/>
        </w:rPr>
        <w:t>of a violation of their right to education</w:t>
      </w:r>
      <w:r w:rsidRPr="00763388">
        <w:rPr>
          <w:szCs w:val="24"/>
        </w:rPr>
        <w:t xml:space="preserve"> </w:t>
      </w:r>
      <w:r>
        <w:rPr>
          <w:szCs w:val="24"/>
        </w:rPr>
        <w:t xml:space="preserve">as provided by </w:t>
      </w:r>
      <w:r w:rsidRPr="00763388">
        <w:rPr>
          <w:szCs w:val="24"/>
        </w:rPr>
        <w:t xml:space="preserve">Article 2 </w:t>
      </w:r>
      <w:r>
        <w:rPr>
          <w:szCs w:val="24"/>
        </w:rPr>
        <w:t>of Protocol No. 1</w:t>
      </w:r>
      <w:r w:rsidRPr="00763388">
        <w:rPr>
          <w:szCs w:val="24"/>
        </w:rPr>
        <w:t xml:space="preserve"> </w:t>
      </w:r>
      <w:r>
        <w:rPr>
          <w:szCs w:val="24"/>
        </w:rPr>
        <w:t xml:space="preserve">to the Convention. In particular they alleged that the aims pursued by Law no. </w:t>
      </w:r>
      <w:r>
        <w:t xml:space="preserve">127/1997 regulating the </w:t>
      </w:r>
      <w:proofErr w:type="spellStart"/>
      <w:r w:rsidRPr="00420F69">
        <w:rPr>
          <w:i/>
        </w:rPr>
        <w:t>numerus</w:t>
      </w:r>
      <w:proofErr w:type="spellEnd"/>
      <w:r w:rsidRPr="00420F69">
        <w:rPr>
          <w:i/>
        </w:rPr>
        <w:t xml:space="preserve"> </w:t>
      </w:r>
      <w:proofErr w:type="spellStart"/>
      <w:r w:rsidRPr="00420F69">
        <w:rPr>
          <w:i/>
        </w:rPr>
        <w:t>clausus</w:t>
      </w:r>
      <w:proofErr w:type="spellEnd"/>
      <w:r>
        <w:t xml:space="preserve"> were not legitimate and the measure not proportionate.</w:t>
      </w:r>
    </w:p>
    <w:p w:rsidRPr="00BB5699" w:rsidR="004C568D" w:rsidP="004C568D" w:rsidRDefault="004C568D">
      <w:pPr>
        <w:pStyle w:val="JuPara"/>
        <w:rPr>
          <w:szCs w:val="22"/>
        </w:rPr>
      </w:pPr>
      <w:r w:rsidRPr="00E73B86">
        <w:fldChar w:fldCharType="begin"/>
      </w:r>
      <w:r w:rsidRPr="00E73B86">
        <w:instrText xml:space="preserve"> SEQ level0 \*arabic </w:instrText>
      </w:r>
      <w:r w:rsidRPr="00E73B86">
        <w:fldChar w:fldCharType="separate"/>
      </w:r>
      <w:r>
        <w:rPr>
          <w:noProof/>
        </w:rPr>
        <w:t>4</w:t>
      </w:r>
      <w:r w:rsidRPr="00E73B86">
        <w:fldChar w:fldCharType="end"/>
      </w:r>
      <w:r w:rsidRPr="00E73B86">
        <w:t xml:space="preserve">.  On 21 June 2011 the applications were </w:t>
      </w:r>
      <w:r>
        <w:t xml:space="preserve">joined and </w:t>
      </w:r>
      <w:r w:rsidRPr="00E73B86">
        <w:t xml:space="preserve">communicated to the Government. It </w:t>
      </w:r>
      <w:r>
        <w:t xml:space="preserve">was </w:t>
      </w:r>
      <w:r w:rsidRPr="00E73B86">
        <w:t>also decided to rule on the admissibility and merits of the applications at the same time (Article 29 § 1).</w:t>
      </w:r>
    </w:p>
    <w:p w:rsidRPr="00E73B86" w:rsidR="004C568D" w:rsidP="004C568D" w:rsidRDefault="004C568D">
      <w:pPr>
        <w:pStyle w:val="JuHHead"/>
      </w:pPr>
      <w:r w:rsidRPr="00E73B86">
        <w:t>THE FACTS</w:t>
      </w:r>
    </w:p>
    <w:p w:rsidRPr="00E73B86" w:rsidR="004C568D" w:rsidP="004C568D" w:rsidRDefault="004C568D">
      <w:pPr>
        <w:pStyle w:val="JuHIRoman"/>
        <w:outlineLvl w:val="0"/>
      </w:pPr>
      <w:r w:rsidRPr="00E73B86">
        <w:t>I.  THE CIRCUMSTANCES OF THE CASE</w:t>
      </w:r>
    </w:p>
    <w:p w:rsidR="004C568D" w:rsidP="004C568D" w:rsidRDefault="004C568D">
      <w:pPr>
        <w:pStyle w:val="JuPara"/>
        <w:rPr>
          <w:szCs w:val="24"/>
        </w:rPr>
      </w:pPr>
      <w:r w:rsidRPr="00E73B86">
        <w:fldChar w:fldCharType="begin"/>
      </w:r>
      <w:r w:rsidRPr="00E73B86">
        <w:instrText xml:space="preserve"> SEQ level0 \*arabic </w:instrText>
      </w:r>
      <w:r w:rsidRPr="00E73B86">
        <w:fldChar w:fldCharType="separate"/>
      </w:r>
      <w:r>
        <w:rPr>
          <w:noProof/>
        </w:rPr>
        <w:t>5</w:t>
      </w:r>
      <w:r w:rsidRPr="00E73B86">
        <w:fldChar w:fldCharType="end"/>
      </w:r>
      <w:r w:rsidRPr="00E73B86">
        <w:t>.  </w:t>
      </w:r>
      <w:r w:rsidRPr="00763388">
        <w:rPr>
          <w:szCs w:val="24"/>
        </w:rPr>
        <w:t>The applicants</w:t>
      </w:r>
      <w:r w:rsidR="00461914">
        <w:rPr>
          <w:szCs w:val="24"/>
        </w:rPr>
        <w:t>’ particulars are set out i</w:t>
      </w:r>
      <w:r>
        <w:rPr>
          <w:szCs w:val="24"/>
        </w:rPr>
        <w:t>n the table in the appendix.</w:t>
      </w:r>
    </w:p>
    <w:p w:rsidR="004C568D" w:rsidP="004C568D" w:rsidRDefault="004C568D">
      <w:pPr>
        <w:pStyle w:val="JuHA"/>
        <w:outlineLvl w:val="0"/>
      </w:pPr>
      <w:r w:rsidRPr="00763388">
        <w:t>A.  </w:t>
      </w:r>
      <w:r>
        <w:t>Background</w:t>
      </w:r>
      <w:r w:rsidRPr="00763388">
        <w:t xml:space="preserve"> </w:t>
      </w:r>
      <w:r>
        <w:t>to</w:t>
      </w:r>
      <w:r w:rsidRPr="00763388">
        <w:t xml:space="preserve"> the case</w:t>
      </w:r>
      <w:r>
        <w:t>s</w:t>
      </w:r>
    </w:p>
    <w:p w:rsidR="004C568D" w:rsidP="004C568D" w:rsidRDefault="004C568D">
      <w:pPr>
        <w:pStyle w:val="JuH1"/>
      </w:pPr>
      <w:r>
        <w:t xml:space="preserve">1.  The first applicant, Ms </w:t>
      </w:r>
      <w:r w:rsidRPr="00763388">
        <w:t>Tarantino</w:t>
      </w:r>
    </w:p>
    <w:p w:rsidRPr="00763388"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6</w:t>
      </w:r>
      <w:r>
        <w:rPr>
          <w:szCs w:val="24"/>
        </w:rPr>
        <w:fldChar w:fldCharType="end"/>
      </w:r>
      <w:r>
        <w:rPr>
          <w:szCs w:val="24"/>
        </w:rPr>
        <w:t>.  </w:t>
      </w:r>
      <w:r w:rsidRPr="00763388">
        <w:rPr>
          <w:szCs w:val="24"/>
        </w:rPr>
        <w:t xml:space="preserve">On 4 September 2007 </w:t>
      </w:r>
      <w:r>
        <w:t xml:space="preserve">Ms </w:t>
      </w:r>
      <w:r w:rsidRPr="00763388">
        <w:t xml:space="preserve">Tarantino </w:t>
      </w:r>
      <w:r w:rsidRPr="00763388">
        <w:rPr>
          <w:szCs w:val="24"/>
        </w:rPr>
        <w:t xml:space="preserve">failed the entrance examination to </w:t>
      </w:r>
      <w:r>
        <w:rPr>
          <w:szCs w:val="24"/>
        </w:rPr>
        <w:t>study at the Faculty of Medicine in Palermo. In 2007 two thousand students sat this examination and there were two hundred and ten places available. She failed the examination again in 2008 and 2009.</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7</w:t>
      </w:r>
      <w:r>
        <w:rPr>
          <w:szCs w:val="24"/>
        </w:rPr>
        <w:fldChar w:fldCharType="end"/>
      </w:r>
      <w:r>
        <w:rPr>
          <w:szCs w:val="24"/>
        </w:rPr>
        <w:t>.  </w:t>
      </w:r>
      <w:r w:rsidRPr="00763388">
        <w:rPr>
          <w:szCs w:val="24"/>
        </w:rPr>
        <w:t xml:space="preserve">On </w:t>
      </w:r>
      <w:r>
        <w:rPr>
          <w:szCs w:val="24"/>
        </w:rPr>
        <w:t xml:space="preserve">14 December 2007 the first applicant and other students lodged a complaint with </w:t>
      </w:r>
      <w:r w:rsidRPr="00763388">
        <w:rPr>
          <w:szCs w:val="24"/>
        </w:rPr>
        <w:t>the President of the Republic alleging</w:t>
      </w:r>
      <w:r>
        <w:rPr>
          <w:szCs w:val="24"/>
        </w:rPr>
        <w:t xml:space="preserve"> that </w:t>
      </w:r>
      <w:r w:rsidRPr="00763388">
        <w:rPr>
          <w:szCs w:val="24"/>
        </w:rPr>
        <w:t>Law n</w:t>
      </w:r>
      <w:r>
        <w:rPr>
          <w:szCs w:val="24"/>
        </w:rPr>
        <w:t>o.</w:t>
      </w:r>
      <w:r w:rsidRPr="00763388">
        <w:rPr>
          <w:szCs w:val="24"/>
        </w:rPr>
        <w:t> 264/1999</w:t>
      </w:r>
      <w:r>
        <w:rPr>
          <w:szCs w:val="24"/>
        </w:rPr>
        <w:t xml:space="preserve">, in particular the two binding criteria used by the Ministry to set the number of students allowed admission to the relevant faculty of each university (see paragraph 17 below), was incompatible with </w:t>
      </w:r>
      <w:r w:rsidRPr="00763388">
        <w:rPr>
          <w:szCs w:val="24"/>
        </w:rPr>
        <w:t xml:space="preserve">Article 3(2)(c) and (g) of </w:t>
      </w:r>
      <w:r>
        <w:rPr>
          <w:szCs w:val="24"/>
        </w:rPr>
        <w:t xml:space="preserve">the </w:t>
      </w:r>
      <w:r w:rsidRPr="00763388">
        <w:rPr>
          <w:szCs w:val="24"/>
        </w:rPr>
        <w:t>Treaty establishing t</w:t>
      </w:r>
      <w:r>
        <w:rPr>
          <w:szCs w:val="24"/>
        </w:rPr>
        <w:t xml:space="preserve">he European Economic Community, </w:t>
      </w:r>
      <w:r w:rsidRPr="00763388">
        <w:rPr>
          <w:szCs w:val="24"/>
        </w:rPr>
        <w:t>Directive</w:t>
      </w:r>
      <w:r>
        <w:rPr>
          <w:szCs w:val="24"/>
        </w:rPr>
        <w:t xml:space="preserve"> </w:t>
      </w:r>
      <w:r w:rsidRPr="00763388">
        <w:rPr>
          <w:szCs w:val="24"/>
        </w:rPr>
        <w:t xml:space="preserve">2005/36/CE </w:t>
      </w:r>
      <w:r w:rsidRPr="006337D9">
        <w:rPr>
          <w:szCs w:val="24"/>
        </w:rPr>
        <w:t>on the recognition of professional qualifications</w:t>
      </w:r>
      <w:r>
        <w:rPr>
          <w:szCs w:val="24"/>
        </w:rPr>
        <w:t>,</w:t>
      </w:r>
      <w:r w:rsidRPr="00763388">
        <w:rPr>
          <w:szCs w:val="24"/>
        </w:rPr>
        <w:t xml:space="preserve"> Article 15 of the Charter of Fundamental Rights of the European Union</w:t>
      </w:r>
      <w:r>
        <w:rPr>
          <w:szCs w:val="24"/>
        </w:rPr>
        <w:t xml:space="preserve">, </w:t>
      </w:r>
      <w:r w:rsidRPr="00763388">
        <w:rPr>
          <w:szCs w:val="24"/>
        </w:rPr>
        <w:t xml:space="preserve">Article 6 </w:t>
      </w:r>
      <w:r>
        <w:rPr>
          <w:szCs w:val="24"/>
        </w:rPr>
        <w:t xml:space="preserve">§ </w:t>
      </w:r>
      <w:r w:rsidRPr="00763388">
        <w:rPr>
          <w:szCs w:val="24"/>
        </w:rPr>
        <w:t>2 of the Treaty on the European Union</w:t>
      </w:r>
      <w:r>
        <w:rPr>
          <w:szCs w:val="24"/>
        </w:rPr>
        <w:t>, with regard to the principle of equality,</w:t>
      </w:r>
      <w:r w:rsidRPr="00763388">
        <w:rPr>
          <w:szCs w:val="24"/>
        </w:rPr>
        <w:t xml:space="preserve"> and Article 2</w:t>
      </w:r>
      <w:r>
        <w:rPr>
          <w:szCs w:val="24"/>
        </w:rPr>
        <w:t xml:space="preserve"> of</w:t>
      </w:r>
      <w:r w:rsidRPr="00763388">
        <w:rPr>
          <w:szCs w:val="24"/>
        </w:rPr>
        <w:t xml:space="preserve"> Protocol </w:t>
      </w:r>
      <w:r>
        <w:rPr>
          <w:szCs w:val="24"/>
        </w:rPr>
        <w:t>No. 1 to</w:t>
      </w:r>
      <w:r w:rsidRPr="00763388">
        <w:rPr>
          <w:szCs w:val="24"/>
        </w:rPr>
        <w:t xml:space="preserve"> the Convention. </w:t>
      </w:r>
      <w:r>
        <w:rPr>
          <w:szCs w:val="24"/>
        </w:rPr>
        <w:t>She further contested both the State</w:t>
      </w:r>
      <w:r w:rsidR="006545FA">
        <w:rPr>
          <w:szCs w:val="24"/>
        </w:rPr>
        <w:t>’</w:t>
      </w:r>
      <w:r>
        <w:rPr>
          <w:szCs w:val="24"/>
        </w:rPr>
        <w:t xml:space="preserve">s decision to impose the same limitations on private universities and the adequacy of the entrance examinations. </w:t>
      </w:r>
      <w:r w:rsidRPr="00763388">
        <w:rPr>
          <w:szCs w:val="24"/>
        </w:rPr>
        <w:t xml:space="preserve">The </w:t>
      </w:r>
      <w:r>
        <w:rPr>
          <w:szCs w:val="24"/>
        </w:rPr>
        <w:t xml:space="preserve">first </w:t>
      </w:r>
      <w:r w:rsidRPr="00763388">
        <w:rPr>
          <w:szCs w:val="24"/>
        </w:rPr>
        <w:t xml:space="preserve">applicant also asked to be provisionally admitted </w:t>
      </w:r>
      <w:r>
        <w:rPr>
          <w:szCs w:val="24"/>
        </w:rPr>
        <w:t xml:space="preserve">to the university </w:t>
      </w:r>
      <w:r w:rsidRPr="00763388">
        <w:rPr>
          <w:szCs w:val="24"/>
        </w:rPr>
        <w:t xml:space="preserve">under </w:t>
      </w:r>
      <w:r>
        <w:rPr>
          <w:szCs w:val="24"/>
        </w:rPr>
        <w:t xml:space="preserve">a </w:t>
      </w:r>
      <w:r w:rsidRPr="00763388">
        <w:rPr>
          <w:szCs w:val="24"/>
        </w:rPr>
        <w:t>conditional clause.</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8</w:t>
      </w:r>
      <w:r>
        <w:rPr>
          <w:szCs w:val="24"/>
        </w:rPr>
        <w:fldChar w:fldCharType="end"/>
      </w:r>
      <w:r>
        <w:rPr>
          <w:szCs w:val="24"/>
        </w:rPr>
        <w:t xml:space="preserve">.  By a decree of 2 July 2008 the </w:t>
      </w:r>
      <w:smartTag w:uri="urn:schemas-microsoft-com:office:smarttags" w:element="Street">
        <w:smartTag w:uri="urn:schemas-microsoft-com:office:smarttags" w:element="address">
          <w:r>
            <w:rPr>
              <w:szCs w:val="24"/>
            </w:rPr>
            <w:t>Supreme Administrative Court</w:t>
          </w:r>
        </w:smartTag>
      </w:smartTag>
      <w:r>
        <w:rPr>
          <w:szCs w:val="24"/>
        </w:rPr>
        <w:t xml:space="preserve"> (</w:t>
      </w:r>
      <w:proofErr w:type="spellStart"/>
      <w:r w:rsidRPr="00671068">
        <w:rPr>
          <w:i/>
          <w:szCs w:val="24"/>
        </w:rPr>
        <w:t>Consiglio</w:t>
      </w:r>
      <w:proofErr w:type="spellEnd"/>
      <w:r w:rsidRPr="00671068">
        <w:rPr>
          <w:i/>
          <w:szCs w:val="24"/>
        </w:rPr>
        <w:t xml:space="preserve"> di </w:t>
      </w:r>
      <w:proofErr w:type="spellStart"/>
      <w:r w:rsidRPr="00671068">
        <w:rPr>
          <w:i/>
          <w:szCs w:val="24"/>
        </w:rPr>
        <w:t>Stato</w:t>
      </w:r>
      <w:proofErr w:type="spellEnd"/>
      <w:r>
        <w:rPr>
          <w:szCs w:val="24"/>
        </w:rPr>
        <w:t>) rejected her request for an interim measure.</w:t>
      </w:r>
    </w:p>
    <w:p w:rsidRPr="00763388"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9</w:t>
      </w:r>
      <w:r>
        <w:rPr>
          <w:szCs w:val="24"/>
        </w:rPr>
        <w:fldChar w:fldCharType="end"/>
      </w:r>
      <w:r>
        <w:rPr>
          <w:szCs w:val="24"/>
        </w:rPr>
        <w:t>.  On 23 September 2008 the first applicant made further pleadings and reiterated her request for the matter be submitted to the European Court of Justice (the “ECJ”) for a preliminary ruling. Her pleadings were transmitted to the Supreme Administrative Court in October 2008.</w:t>
      </w:r>
    </w:p>
    <w:p w:rsidRPr="00763388"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10</w:t>
      </w:r>
      <w:r>
        <w:rPr>
          <w:szCs w:val="24"/>
        </w:rPr>
        <w:fldChar w:fldCharType="end"/>
      </w:r>
      <w:r>
        <w:rPr>
          <w:szCs w:val="24"/>
        </w:rPr>
        <w:t>.  </w:t>
      </w:r>
      <w:r w:rsidRPr="00763388">
        <w:rPr>
          <w:szCs w:val="24"/>
        </w:rPr>
        <w:t xml:space="preserve">By a decree of 28 April </w:t>
      </w:r>
      <w:r>
        <w:rPr>
          <w:szCs w:val="24"/>
        </w:rPr>
        <w:t>2009</w:t>
      </w:r>
      <w:r w:rsidR="00156F1C">
        <w:rPr>
          <w:szCs w:val="24"/>
        </w:rPr>
        <w:t xml:space="preserve"> (no. 2256)</w:t>
      </w:r>
      <w:r>
        <w:rPr>
          <w:szCs w:val="24"/>
        </w:rPr>
        <w:t>, adopted on the basis of the Supreme Administrative Court</w:t>
      </w:r>
      <w:r w:rsidR="006545FA">
        <w:rPr>
          <w:szCs w:val="24"/>
        </w:rPr>
        <w:t>’</w:t>
      </w:r>
      <w:r>
        <w:rPr>
          <w:szCs w:val="24"/>
        </w:rPr>
        <w:t xml:space="preserve">s advisory opinion </w:t>
      </w:r>
      <w:r w:rsidRPr="00763388">
        <w:rPr>
          <w:szCs w:val="24"/>
        </w:rPr>
        <w:t>delivered on</w:t>
      </w:r>
      <w:r>
        <w:rPr>
          <w:szCs w:val="24"/>
        </w:rPr>
        <w:t xml:space="preserve"> 12 November 2008 and notified</w:t>
      </w:r>
      <w:r w:rsidRPr="00763388">
        <w:rPr>
          <w:szCs w:val="24"/>
        </w:rPr>
        <w:t xml:space="preserve"> to the </w:t>
      </w:r>
      <w:r>
        <w:rPr>
          <w:szCs w:val="24"/>
        </w:rPr>
        <w:t xml:space="preserve">first </w:t>
      </w:r>
      <w:r w:rsidRPr="00763388">
        <w:rPr>
          <w:szCs w:val="24"/>
        </w:rPr>
        <w:t>applicant on 14 May 2009, the President of the Republic rejected the</w:t>
      </w:r>
      <w:r>
        <w:rPr>
          <w:szCs w:val="24"/>
        </w:rPr>
        <w:t xml:space="preserve"> complaints. The decree stipulated that, bearing in mind</w:t>
      </w:r>
      <w:r w:rsidRPr="00763388">
        <w:rPr>
          <w:szCs w:val="24"/>
        </w:rPr>
        <w:t xml:space="preserve"> the human and materia</w:t>
      </w:r>
      <w:r>
        <w:rPr>
          <w:szCs w:val="24"/>
        </w:rPr>
        <w:t>l resources of the universities,</w:t>
      </w:r>
      <w:r w:rsidRPr="00763388">
        <w:rPr>
          <w:szCs w:val="24"/>
        </w:rPr>
        <w:t xml:space="preserve"> </w:t>
      </w:r>
      <w:r>
        <w:rPr>
          <w:szCs w:val="24"/>
        </w:rPr>
        <w:t>the</w:t>
      </w:r>
      <w:r w:rsidRPr="00763388">
        <w:rPr>
          <w:szCs w:val="24"/>
        </w:rPr>
        <w:t xml:space="preserve"> contested </w:t>
      </w:r>
      <w:r>
        <w:rPr>
          <w:szCs w:val="24"/>
        </w:rPr>
        <w:t>admission</w:t>
      </w:r>
      <w:r w:rsidRPr="00763388">
        <w:rPr>
          <w:szCs w:val="24"/>
        </w:rPr>
        <w:t xml:space="preserve"> restrictions</w:t>
      </w:r>
      <w:r>
        <w:rPr>
          <w:szCs w:val="24"/>
        </w:rPr>
        <w:t>, allowing entrance only to the most meritorious students, were</w:t>
      </w:r>
      <w:r w:rsidRPr="00763388">
        <w:rPr>
          <w:szCs w:val="24"/>
        </w:rPr>
        <w:t xml:space="preserve"> reasonable</w:t>
      </w:r>
      <w:r>
        <w:rPr>
          <w:szCs w:val="24"/>
        </w:rPr>
        <w:t xml:space="preserve"> </w:t>
      </w:r>
      <w:r w:rsidRPr="00763388">
        <w:rPr>
          <w:szCs w:val="24"/>
        </w:rPr>
        <w:t>and</w:t>
      </w:r>
      <w:r>
        <w:rPr>
          <w:szCs w:val="24"/>
        </w:rPr>
        <w:t xml:space="preserve"> therefore</w:t>
      </w:r>
      <w:r w:rsidRPr="00763388">
        <w:rPr>
          <w:szCs w:val="24"/>
        </w:rPr>
        <w:t xml:space="preserve"> </w:t>
      </w:r>
      <w:r>
        <w:rPr>
          <w:szCs w:val="24"/>
        </w:rPr>
        <w:t>compatible</w:t>
      </w:r>
      <w:r w:rsidRPr="00763388">
        <w:rPr>
          <w:szCs w:val="24"/>
        </w:rPr>
        <w:t xml:space="preserve"> with the</w:t>
      </w:r>
      <w:r w:rsidR="00156F1C">
        <w:rPr>
          <w:szCs w:val="24"/>
        </w:rPr>
        <w:t xml:space="preserve"> provisions</w:t>
      </w:r>
      <w:r w:rsidRPr="00671068" w:rsidR="00156F1C">
        <w:rPr>
          <w:szCs w:val="24"/>
        </w:rPr>
        <w:t xml:space="preserve"> </w:t>
      </w:r>
      <w:r w:rsidR="00156F1C">
        <w:rPr>
          <w:szCs w:val="24"/>
        </w:rPr>
        <w:t>of the European Union</w:t>
      </w:r>
      <w:r w:rsidRPr="00763388">
        <w:rPr>
          <w:szCs w:val="24"/>
        </w:rPr>
        <w:t xml:space="preserve"> </w:t>
      </w:r>
      <w:r w:rsidR="00156F1C">
        <w:rPr>
          <w:szCs w:val="24"/>
        </w:rPr>
        <w:t>(</w:t>
      </w:r>
      <w:r>
        <w:rPr>
          <w:szCs w:val="24"/>
        </w:rPr>
        <w:t>EU</w:t>
      </w:r>
      <w:r w:rsidR="00156F1C">
        <w:rPr>
          <w:szCs w:val="24"/>
        </w:rPr>
        <w:t>)</w:t>
      </w:r>
      <w:r>
        <w:rPr>
          <w:szCs w:val="24"/>
        </w:rPr>
        <w:t xml:space="preserve"> </w:t>
      </w:r>
      <w:r w:rsidRPr="00763388">
        <w:rPr>
          <w:szCs w:val="24"/>
        </w:rPr>
        <w:t>inv</w:t>
      </w:r>
      <w:r>
        <w:rPr>
          <w:szCs w:val="24"/>
        </w:rPr>
        <w:t>oked. Moreover, in line with the increase in society</w:t>
      </w:r>
      <w:r w:rsidR="006545FA">
        <w:rPr>
          <w:szCs w:val="24"/>
        </w:rPr>
        <w:t>’</w:t>
      </w:r>
      <w:r>
        <w:rPr>
          <w:szCs w:val="24"/>
        </w:rPr>
        <w:t>s need for qualified doctors, admissions to the faculties of medicine in 2008-09 had increased by 10-20%. It noted that the professional examination, after a degree had been obtained, was not an academic title in itself but a State examination like those held in most States. Lastly, it dismissed the allegation that the entrance examination</w:t>
      </w:r>
      <w:r w:rsidR="006545FA">
        <w:rPr>
          <w:szCs w:val="24"/>
        </w:rPr>
        <w:t>’</w:t>
      </w:r>
      <w:r>
        <w:rPr>
          <w:szCs w:val="24"/>
        </w:rPr>
        <w:t>s content was inadequate.</w:t>
      </w:r>
    </w:p>
    <w:p w:rsidRPr="00D36612" w:rsidR="004C568D" w:rsidP="004C568D" w:rsidRDefault="004C568D">
      <w:pPr>
        <w:pStyle w:val="JuH1"/>
      </w:pPr>
      <w:r>
        <w:t>2.  The remaining seven applicants</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11</w:t>
      </w:r>
      <w:r>
        <w:rPr>
          <w:szCs w:val="24"/>
        </w:rPr>
        <w:fldChar w:fldCharType="end"/>
      </w:r>
      <w:r>
        <w:rPr>
          <w:szCs w:val="24"/>
        </w:rPr>
        <w:t xml:space="preserve">.  The other seven </w:t>
      </w:r>
      <w:r w:rsidRPr="00763388">
        <w:rPr>
          <w:szCs w:val="24"/>
        </w:rPr>
        <w:t>applicant</w:t>
      </w:r>
      <w:r>
        <w:rPr>
          <w:szCs w:val="24"/>
        </w:rPr>
        <w:t xml:space="preserve">s had been or are still working as dental </w:t>
      </w:r>
      <w:r w:rsidRPr="00763388">
        <w:rPr>
          <w:szCs w:val="24"/>
        </w:rPr>
        <w:t>technician</w:t>
      </w:r>
      <w:r>
        <w:rPr>
          <w:szCs w:val="24"/>
        </w:rPr>
        <w:t>s or hygienists for a number of years.</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12</w:t>
      </w:r>
      <w:r>
        <w:rPr>
          <w:szCs w:val="24"/>
        </w:rPr>
        <w:fldChar w:fldCharType="end"/>
      </w:r>
      <w:r>
        <w:rPr>
          <w:szCs w:val="24"/>
        </w:rPr>
        <w:t>.  </w:t>
      </w:r>
      <w:r w:rsidRPr="00763388">
        <w:rPr>
          <w:szCs w:val="24"/>
        </w:rPr>
        <w:t>On 4 September 2009,</w:t>
      </w:r>
      <w:r w:rsidRPr="0019299D">
        <w:rPr>
          <w:szCs w:val="24"/>
        </w:rPr>
        <w:t xml:space="preserve"> </w:t>
      </w:r>
      <w:r>
        <w:rPr>
          <w:szCs w:val="24"/>
        </w:rPr>
        <w:t xml:space="preserve">despite their </w:t>
      </w:r>
      <w:r w:rsidRPr="00763388">
        <w:rPr>
          <w:szCs w:val="24"/>
        </w:rPr>
        <w:t xml:space="preserve">relevant </w:t>
      </w:r>
      <w:r>
        <w:rPr>
          <w:szCs w:val="24"/>
        </w:rPr>
        <w:t>professional experience,</w:t>
      </w:r>
      <w:r w:rsidRPr="00763388">
        <w:rPr>
          <w:szCs w:val="24"/>
        </w:rPr>
        <w:t xml:space="preserve"> </w:t>
      </w:r>
      <w:r>
        <w:rPr>
          <w:szCs w:val="24"/>
        </w:rPr>
        <w:t xml:space="preserve">those seven applicants </w:t>
      </w:r>
      <w:r w:rsidRPr="00763388">
        <w:rPr>
          <w:szCs w:val="24"/>
        </w:rPr>
        <w:t xml:space="preserve">failed the entrance examination to </w:t>
      </w:r>
      <w:r>
        <w:rPr>
          <w:szCs w:val="24"/>
        </w:rPr>
        <w:t xml:space="preserve">study at </w:t>
      </w:r>
      <w:r w:rsidRPr="00763388">
        <w:rPr>
          <w:szCs w:val="24"/>
        </w:rPr>
        <w:t xml:space="preserve">the Faculty of </w:t>
      </w:r>
      <w:r>
        <w:rPr>
          <w:szCs w:val="24"/>
        </w:rPr>
        <w:t>Dentistry. Any preceding and subsequent attempts were also unsuccessful.</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13</w:t>
      </w:r>
      <w:r>
        <w:rPr>
          <w:szCs w:val="24"/>
        </w:rPr>
        <w:fldChar w:fldCharType="end"/>
      </w:r>
      <w:r>
        <w:rPr>
          <w:szCs w:val="24"/>
        </w:rPr>
        <w:t xml:space="preserve">.  Mr </w:t>
      </w:r>
      <w:proofErr w:type="spellStart"/>
      <w:r>
        <w:rPr>
          <w:szCs w:val="24"/>
        </w:rPr>
        <w:t>Marcuzzo</w:t>
      </w:r>
      <w:proofErr w:type="spellEnd"/>
      <w:r>
        <w:rPr>
          <w:szCs w:val="24"/>
        </w:rPr>
        <w:t xml:space="preserve"> (hereinafter “the eighth applicant”) had nevertheless passed the entrance examination in the</w:t>
      </w:r>
      <w:r w:rsidRPr="0019299D">
        <w:rPr>
          <w:szCs w:val="24"/>
        </w:rPr>
        <w:t xml:space="preserve"> </w:t>
      </w:r>
      <w:r>
        <w:rPr>
          <w:szCs w:val="24"/>
        </w:rPr>
        <w:t>academic year 1999/2000. However, following his failure to sit examinations for eight consecutive years on account of serious family problems (as provided for by the relevant University Rule, under Article 149 of Royal Decree no. 1592/1933),</w:t>
      </w:r>
      <w:r w:rsidRPr="0084086E">
        <w:rPr>
          <w:szCs w:val="24"/>
        </w:rPr>
        <w:t xml:space="preserve"> </w:t>
      </w:r>
      <w:r>
        <w:rPr>
          <w:szCs w:val="24"/>
        </w:rPr>
        <w:t>he lost his student status in July 2009.</w:t>
      </w:r>
    </w:p>
    <w:p w:rsidRPr="007D47CA"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14</w:t>
      </w:r>
      <w:r>
        <w:rPr>
          <w:szCs w:val="24"/>
        </w:rPr>
        <w:fldChar w:fldCharType="end"/>
      </w:r>
      <w:r>
        <w:rPr>
          <w:szCs w:val="24"/>
        </w:rPr>
        <w:t xml:space="preserve">.  These applicants conceded that they had </w:t>
      </w:r>
      <w:r w:rsidRPr="00763388">
        <w:rPr>
          <w:szCs w:val="24"/>
        </w:rPr>
        <w:t xml:space="preserve">not </w:t>
      </w:r>
      <w:r>
        <w:rPr>
          <w:szCs w:val="24"/>
        </w:rPr>
        <w:t>pursued available</w:t>
      </w:r>
      <w:r w:rsidRPr="00763388">
        <w:rPr>
          <w:szCs w:val="24"/>
        </w:rPr>
        <w:t xml:space="preserve"> domestic remedies</w:t>
      </w:r>
      <w:r>
        <w:rPr>
          <w:szCs w:val="24"/>
        </w:rPr>
        <w:t>, since in their view</w:t>
      </w:r>
      <w:r w:rsidRPr="00763388">
        <w:rPr>
          <w:szCs w:val="24"/>
        </w:rPr>
        <w:t xml:space="preserve"> they would have been</w:t>
      </w:r>
      <w:r>
        <w:rPr>
          <w:szCs w:val="24"/>
        </w:rPr>
        <w:t xml:space="preserve"> ineffective</w:t>
      </w:r>
      <w:r w:rsidRPr="00763388">
        <w:rPr>
          <w:szCs w:val="24"/>
        </w:rPr>
        <w:t>.</w:t>
      </w:r>
      <w:r>
        <w:rPr>
          <w:szCs w:val="24"/>
        </w:rPr>
        <w:t xml:space="preserve"> A</w:t>
      </w:r>
      <w:r w:rsidRPr="00763388">
        <w:rPr>
          <w:szCs w:val="24"/>
        </w:rPr>
        <w:t>ccording</w:t>
      </w:r>
      <w:r>
        <w:rPr>
          <w:szCs w:val="24"/>
        </w:rPr>
        <w:t xml:space="preserve"> to</w:t>
      </w:r>
      <w:r w:rsidRPr="00763388">
        <w:rPr>
          <w:szCs w:val="24"/>
        </w:rPr>
        <w:t xml:space="preserve"> </w:t>
      </w:r>
      <w:r>
        <w:rPr>
          <w:szCs w:val="24"/>
        </w:rPr>
        <w:t xml:space="preserve">the </w:t>
      </w:r>
      <w:r w:rsidRPr="00763388">
        <w:rPr>
          <w:szCs w:val="24"/>
        </w:rPr>
        <w:t>well</w:t>
      </w:r>
      <w:r>
        <w:rPr>
          <w:szCs w:val="24"/>
        </w:rPr>
        <w:t>-</w:t>
      </w:r>
      <w:r w:rsidRPr="00763388">
        <w:rPr>
          <w:szCs w:val="24"/>
        </w:rPr>
        <w:t xml:space="preserve">established jurisprudence of the </w:t>
      </w:r>
      <w:r>
        <w:rPr>
          <w:szCs w:val="24"/>
        </w:rPr>
        <w:t>Supreme Administrative Court,</w:t>
      </w:r>
      <w:r w:rsidRPr="00763388">
        <w:rPr>
          <w:szCs w:val="24"/>
        </w:rPr>
        <w:t xml:space="preserve"> </w:t>
      </w:r>
      <w:r>
        <w:rPr>
          <w:szCs w:val="24"/>
        </w:rPr>
        <w:t>limited access to universities is compatible</w:t>
      </w:r>
      <w:r w:rsidRPr="00763388">
        <w:rPr>
          <w:szCs w:val="24"/>
        </w:rPr>
        <w:t xml:space="preserve"> with the Con</w:t>
      </w:r>
      <w:r>
        <w:rPr>
          <w:szCs w:val="24"/>
        </w:rPr>
        <w:t xml:space="preserve">stitution and EU law </w:t>
      </w:r>
      <w:r w:rsidRPr="00763388">
        <w:rPr>
          <w:szCs w:val="24"/>
        </w:rPr>
        <w:t>(</w:t>
      </w:r>
      <w:r>
        <w:rPr>
          <w:szCs w:val="24"/>
        </w:rPr>
        <w:t>see, amongst others</w:t>
      </w:r>
      <w:r w:rsidRPr="00763388">
        <w:rPr>
          <w:szCs w:val="24"/>
        </w:rPr>
        <w:t xml:space="preserve">, the </w:t>
      </w:r>
      <w:r>
        <w:rPr>
          <w:szCs w:val="24"/>
        </w:rPr>
        <w:t xml:space="preserve">above-mentioned </w:t>
      </w:r>
      <w:r w:rsidRPr="00763388">
        <w:rPr>
          <w:szCs w:val="24"/>
        </w:rPr>
        <w:t>advisory opinio</w:t>
      </w:r>
      <w:r>
        <w:rPr>
          <w:szCs w:val="24"/>
        </w:rPr>
        <w:t xml:space="preserve">n of 12 November 2008). The eighth applicant also argued that the </w:t>
      </w:r>
      <w:smartTag w:uri="urn:schemas-microsoft-com:office:smarttags" w:element="Street">
        <w:smartTag w:uri="urn:schemas-microsoft-com:office:smarttags" w:element="address">
          <w:r>
            <w:rPr>
              <w:szCs w:val="24"/>
            </w:rPr>
            <w:t>Supreme Administrative Court</w:t>
          </w:r>
        </w:smartTag>
      </w:smartTag>
      <w:r>
        <w:rPr>
          <w:szCs w:val="24"/>
        </w:rPr>
        <w:t xml:space="preserve"> had constantly held that subjective reasons, such as family problems (as in his case), could not be considered as exceptions to the rule favouring continuity of studies. In consequence, his claim would not have been successful.</w:t>
      </w:r>
    </w:p>
    <w:p w:rsidR="004C568D" w:rsidP="004C568D" w:rsidRDefault="004C568D">
      <w:pPr>
        <w:pStyle w:val="JuHIRoman"/>
        <w:outlineLvl w:val="0"/>
      </w:pPr>
      <w:r w:rsidRPr="00E73B86">
        <w:t>II.  RELEVANT DOMESTIC LAW AND PRACTICE</w:t>
      </w:r>
    </w:p>
    <w:p w:rsidRPr="00D91F96" w:rsidR="004C568D" w:rsidP="004C568D" w:rsidRDefault="004C568D">
      <w:pPr>
        <w:pStyle w:val="JuHA"/>
      </w:pPr>
      <w:r>
        <w:t>A.  Law no. 127/1997</w:t>
      </w:r>
    </w:p>
    <w:p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15</w:t>
      </w:r>
      <w:r w:rsidRPr="00E73B86">
        <w:fldChar w:fldCharType="end"/>
      </w:r>
      <w:r w:rsidRPr="00E73B86">
        <w:t>.  </w:t>
      </w:r>
      <w:r>
        <w:t xml:space="preserve">Law no. 127/1997, amending section 9(4) of Law no. 341/1990, introduced, for the first time, a </w:t>
      </w:r>
      <w:proofErr w:type="spellStart"/>
      <w:r w:rsidRPr="00600410">
        <w:rPr>
          <w:i/>
        </w:rPr>
        <w:t>numerus</w:t>
      </w:r>
      <w:proofErr w:type="spellEnd"/>
      <w:r w:rsidRPr="00600410">
        <w:rPr>
          <w:i/>
        </w:rPr>
        <w:t xml:space="preserve"> </w:t>
      </w:r>
      <w:proofErr w:type="spellStart"/>
      <w:r w:rsidRPr="00600410">
        <w:rPr>
          <w:i/>
        </w:rPr>
        <w:t>clausus</w:t>
      </w:r>
      <w:proofErr w:type="spellEnd"/>
      <w:r>
        <w:t xml:space="preserve"> (limited access) to both public and private Italian universities. Section 17(116) of that Law provided that it was for the Ministry </w:t>
      </w:r>
      <w:r>
        <w:rPr>
          <w:szCs w:val="24"/>
        </w:rPr>
        <w:t xml:space="preserve">of Universities and Scientific and Technological Research </w:t>
      </w:r>
      <w:r>
        <w:t>to establish those limits. However, the Law did not establish or set clear criteria to determine the faculties subject to restrictions, the number of available places or the selection procedure.</w:t>
      </w:r>
    </w:p>
    <w:p w:rsidR="004C568D" w:rsidP="004C568D" w:rsidRDefault="004C568D">
      <w:pPr>
        <w:pStyle w:val="JuPara"/>
      </w:pPr>
      <w:r>
        <w:fldChar w:fldCharType="begin"/>
      </w:r>
      <w:r>
        <w:instrText xml:space="preserve"> SEQ level0 \*arabic </w:instrText>
      </w:r>
      <w:r>
        <w:fldChar w:fldCharType="separate"/>
      </w:r>
      <w:r>
        <w:rPr>
          <w:noProof/>
        </w:rPr>
        <w:t>16</w:t>
      </w:r>
      <w:r>
        <w:fldChar w:fldCharType="end"/>
      </w:r>
      <w:r>
        <w:t>.  On 27 November 1998 (judgment no. 383/1998), having been asked to examine the constitutionality of section 17(116) of Law no. 127/1997, the Constitutional Court delivered a judgment upholding the constitutionality of that Law. It considered that the discretion exercised by the Ministry of Universities and Research was not unfettered, since it must act according to an established legal framework. In this connection, in the absence of national legislation on the matter, the Constitutional Court made reference to relevant EU directives which aimed to ensure an adequate standard of education. The court further noted that it was for Parliament to rule on the subject.</w:t>
      </w:r>
    </w:p>
    <w:p w:rsidRPr="007E1D16"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17</w:t>
      </w:r>
      <w:r>
        <w:rPr>
          <w:szCs w:val="24"/>
        </w:rPr>
        <w:fldChar w:fldCharType="end"/>
      </w:r>
      <w:r>
        <w:rPr>
          <w:szCs w:val="24"/>
        </w:rPr>
        <w:t>.  Following the Constitutional Court</w:t>
      </w:r>
      <w:r w:rsidR="006545FA">
        <w:rPr>
          <w:szCs w:val="24"/>
        </w:rPr>
        <w:t>’</w:t>
      </w:r>
      <w:r>
        <w:rPr>
          <w:szCs w:val="24"/>
        </w:rPr>
        <w:t xml:space="preserve">s judgment, </w:t>
      </w:r>
      <w:r w:rsidRPr="00763388">
        <w:rPr>
          <w:szCs w:val="24"/>
        </w:rPr>
        <w:t xml:space="preserve">Law </w:t>
      </w:r>
      <w:bookmarkStart w:name="OLE_LINK1" w:id="2"/>
      <w:r w:rsidRPr="00763388">
        <w:rPr>
          <w:szCs w:val="24"/>
        </w:rPr>
        <w:t>n</w:t>
      </w:r>
      <w:r>
        <w:rPr>
          <w:szCs w:val="24"/>
        </w:rPr>
        <w:t>o.</w:t>
      </w:r>
      <w:r w:rsidRPr="00763388">
        <w:rPr>
          <w:szCs w:val="24"/>
        </w:rPr>
        <w:t> 264/1999</w:t>
      </w:r>
      <w:r>
        <w:rPr>
          <w:szCs w:val="24"/>
        </w:rPr>
        <w:t xml:space="preserve"> was enacted. It</w:t>
      </w:r>
      <w:r w:rsidRPr="00763388">
        <w:rPr>
          <w:szCs w:val="24"/>
        </w:rPr>
        <w:t xml:space="preserve"> </w:t>
      </w:r>
      <w:bookmarkEnd w:id="2"/>
      <w:r>
        <w:rPr>
          <w:szCs w:val="24"/>
        </w:rPr>
        <w:t>provided that the Ministry of Universities and Research would establish</w:t>
      </w:r>
      <w:r w:rsidRPr="002B5E21">
        <w:rPr>
          <w:szCs w:val="24"/>
        </w:rPr>
        <w:t xml:space="preserve"> </w:t>
      </w:r>
      <w:r w:rsidRPr="00763388">
        <w:rPr>
          <w:szCs w:val="24"/>
        </w:rPr>
        <w:t>the entrance quota</w:t>
      </w:r>
      <w:r>
        <w:rPr>
          <w:szCs w:val="24"/>
        </w:rPr>
        <w:t xml:space="preserve"> of the Faculties of Medicine, Veterinary Medicine, Dentistry, Architecture and Nursing on the basis of</w:t>
      </w:r>
      <w:r w:rsidRPr="007E1D16">
        <w:rPr>
          <w:szCs w:val="24"/>
        </w:rPr>
        <w:t xml:space="preserve"> two binding criteria: the </w:t>
      </w:r>
      <w:r>
        <w:rPr>
          <w:szCs w:val="24"/>
        </w:rPr>
        <w:t xml:space="preserve">capacity and resource potential </w:t>
      </w:r>
      <w:r w:rsidRPr="007E1D16">
        <w:rPr>
          <w:szCs w:val="24"/>
        </w:rPr>
        <w:t xml:space="preserve">of </w:t>
      </w:r>
      <w:r>
        <w:rPr>
          <w:szCs w:val="24"/>
        </w:rPr>
        <w:t xml:space="preserve">the </w:t>
      </w:r>
      <w:r w:rsidRPr="007E1D16">
        <w:rPr>
          <w:szCs w:val="24"/>
        </w:rPr>
        <w:t>universities</w:t>
      </w:r>
      <w:r>
        <w:rPr>
          <w:szCs w:val="24"/>
        </w:rPr>
        <w:t>,</w:t>
      </w:r>
      <w:r w:rsidRPr="007E1D16">
        <w:rPr>
          <w:szCs w:val="24"/>
        </w:rPr>
        <w:t xml:space="preserve"> </w:t>
      </w:r>
      <w:r>
        <w:rPr>
          <w:szCs w:val="24"/>
        </w:rPr>
        <w:t>and society</w:t>
      </w:r>
      <w:r w:rsidR="006545FA">
        <w:rPr>
          <w:szCs w:val="24"/>
        </w:rPr>
        <w:t>’</w:t>
      </w:r>
      <w:r>
        <w:rPr>
          <w:szCs w:val="24"/>
        </w:rPr>
        <w:t>s</w:t>
      </w:r>
      <w:r w:rsidRPr="007E1D16">
        <w:rPr>
          <w:szCs w:val="24"/>
        </w:rPr>
        <w:t xml:space="preserve"> </w:t>
      </w:r>
      <w:r>
        <w:rPr>
          <w:szCs w:val="24"/>
        </w:rPr>
        <w:t>need</w:t>
      </w:r>
      <w:r w:rsidRPr="007E1D16">
        <w:rPr>
          <w:szCs w:val="24"/>
        </w:rPr>
        <w:t xml:space="preserve"> </w:t>
      </w:r>
      <w:r>
        <w:rPr>
          <w:szCs w:val="24"/>
        </w:rPr>
        <w:t xml:space="preserve">for a particular profession </w:t>
      </w:r>
      <w:r w:rsidRPr="007E1D16">
        <w:rPr>
          <w:szCs w:val="24"/>
        </w:rPr>
        <w:t>(</w:t>
      </w:r>
      <w:proofErr w:type="spellStart"/>
      <w:r w:rsidRPr="007E1D16">
        <w:rPr>
          <w:i/>
          <w:szCs w:val="24"/>
        </w:rPr>
        <w:t>fabbisogno</w:t>
      </w:r>
      <w:proofErr w:type="spellEnd"/>
      <w:r w:rsidRPr="007E1D16">
        <w:rPr>
          <w:i/>
          <w:szCs w:val="24"/>
        </w:rPr>
        <w:t xml:space="preserve"> di </w:t>
      </w:r>
      <w:proofErr w:type="spellStart"/>
      <w:r w:rsidRPr="007E1D16">
        <w:rPr>
          <w:i/>
          <w:szCs w:val="24"/>
        </w:rPr>
        <w:t>professionalità</w:t>
      </w:r>
      <w:proofErr w:type="spellEnd"/>
      <w:r w:rsidRPr="007E1D16">
        <w:rPr>
          <w:i/>
          <w:szCs w:val="24"/>
        </w:rPr>
        <w:t xml:space="preserve"> del </w:t>
      </w:r>
      <w:proofErr w:type="spellStart"/>
      <w:r w:rsidRPr="007E1D16">
        <w:rPr>
          <w:i/>
          <w:szCs w:val="24"/>
        </w:rPr>
        <w:t>sistema</w:t>
      </w:r>
      <w:proofErr w:type="spellEnd"/>
      <w:r w:rsidRPr="007E1D16">
        <w:rPr>
          <w:i/>
          <w:szCs w:val="24"/>
        </w:rPr>
        <w:t xml:space="preserve"> </w:t>
      </w:r>
      <w:proofErr w:type="spellStart"/>
      <w:r w:rsidRPr="007E1D16">
        <w:rPr>
          <w:i/>
          <w:szCs w:val="24"/>
        </w:rPr>
        <w:t>sociale</w:t>
      </w:r>
      <w:proofErr w:type="spellEnd"/>
      <w:r w:rsidRPr="007E1D16">
        <w:rPr>
          <w:i/>
          <w:szCs w:val="24"/>
        </w:rPr>
        <w:t xml:space="preserve"> e </w:t>
      </w:r>
      <w:proofErr w:type="spellStart"/>
      <w:r w:rsidRPr="007E1D16">
        <w:rPr>
          <w:i/>
          <w:szCs w:val="24"/>
        </w:rPr>
        <w:t>produttivo</w:t>
      </w:r>
      <w:proofErr w:type="spellEnd"/>
      <w:r w:rsidRPr="007E1D16">
        <w:rPr>
          <w:szCs w:val="24"/>
        </w:rPr>
        <w:t xml:space="preserve">). </w:t>
      </w:r>
      <w:r>
        <w:rPr>
          <w:szCs w:val="24"/>
        </w:rPr>
        <w:t>Based on that assessment, the Ministry would set the number of students allowed admission to the relevant faculty of each university.</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18</w:t>
      </w:r>
      <w:r>
        <w:rPr>
          <w:szCs w:val="24"/>
        </w:rPr>
        <w:fldChar w:fldCharType="end"/>
      </w:r>
      <w:r>
        <w:rPr>
          <w:szCs w:val="24"/>
        </w:rPr>
        <w:t>.  On 21 April 2009 the Antitrust Authority (</w:t>
      </w:r>
      <w:proofErr w:type="spellStart"/>
      <w:r w:rsidRPr="00A30119" w:rsidR="00A30119">
        <w:rPr>
          <w:i/>
          <w:szCs w:val="24"/>
        </w:rPr>
        <w:t>Autorità</w:t>
      </w:r>
      <w:proofErr w:type="spellEnd"/>
      <w:r w:rsidRPr="00A30119" w:rsidR="00A30119">
        <w:rPr>
          <w:i/>
          <w:szCs w:val="24"/>
        </w:rPr>
        <w:t xml:space="preserve"> </w:t>
      </w:r>
      <w:proofErr w:type="spellStart"/>
      <w:r w:rsidRPr="00A30119" w:rsidR="00A30119">
        <w:rPr>
          <w:i/>
          <w:szCs w:val="24"/>
        </w:rPr>
        <w:t>Garante</w:t>
      </w:r>
      <w:proofErr w:type="spellEnd"/>
      <w:r w:rsidRPr="00A30119" w:rsidR="00A30119">
        <w:rPr>
          <w:i/>
          <w:szCs w:val="24"/>
        </w:rPr>
        <w:t xml:space="preserve"> </w:t>
      </w:r>
      <w:proofErr w:type="spellStart"/>
      <w:r w:rsidRPr="00A30119" w:rsidR="00A30119">
        <w:rPr>
          <w:i/>
          <w:szCs w:val="24"/>
        </w:rPr>
        <w:t>della</w:t>
      </w:r>
      <w:proofErr w:type="spellEnd"/>
      <w:r w:rsidRPr="00A30119" w:rsidR="00A30119">
        <w:rPr>
          <w:i/>
          <w:szCs w:val="24"/>
        </w:rPr>
        <w:t xml:space="preserve"> </w:t>
      </w:r>
      <w:proofErr w:type="spellStart"/>
      <w:r w:rsidRPr="00A30119" w:rsidR="00A30119">
        <w:rPr>
          <w:i/>
          <w:szCs w:val="24"/>
        </w:rPr>
        <w:t>Concorrenza</w:t>
      </w:r>
      <w:proofErr w:type="spellEnd"/>
      <w:r w:rsidRPr="00A30119" w:rsidR="00A30119">
        <w:rPr>
          <w:i/>
          <w:szCs w:val="24"/>
        </w:rPr>
        <w:t xml:space="preserve"> e del </w:t>
      </w:r>
      <w:proofErr w:type="spellStart"/>
      <w:r w:rsidRPr="00A30119" w:rsidR="00A30119">
        <w:rPr>
          <w:i/>
          <w:szCs w:val="24"/>
        </w:rPr>
        <w:t>Mercato</w:t>
      </w:r>
      <w:proofErr w:type="spellEnd"/>
      <w:r w:rsidR="00A30119">
        <w:rPr>
          <w:szCs w:val="24"/>
        </w:rPr>
        <w:t xml:space="preserve"> – “the </w:t>
      </w:r>
      <w:r>
        <w:rPr>
          <w:szCs w:val="24"/>
        </w:rPr>
        <w:t xml:space="preserve">AA”) issued a recommendation on the criteria for admission to the Faculty of Dentistry. The AA noted that: (a) in practice, the two criteria established by the Law were applied on the basis of the observations of the Ministry of Universities and Research and the Ministry of Health, and (b) any data gathered would be discussed by an expert task force, composed, </w:t>
      </w:r>
      <w:r w:rsidRPr="004F0099">
        <w:rPr>
          <w:i/>
          <w:szCs w:val="24"/>
        </w:rPr>
        <w:t>inter ali</w:t>
      </w:r>
      <w:r>
        <w:rPr>
          <w:i/>
          <w:szCs w:val="24"/>
        </w:rPr>
        <w:t>a</w:t>
      </w:r>
      <w:r>
        <w:rPr>
          <w:szCs w:val="24"/>
        </w:rPr>
        <w:t>, of representatives from the National Federation of Doctors and the Chamber of Doctors and Dentists.</w:t>
      </w:r>
    </w:p>
    <w:p w:rsidR="004C568D" w:rsidP="004C568D" w:rsidRDefault="004C568D">
      <w:pPr>
        <w:pStyle w:val="JuPara"/>
      </w:pPr>
      <w:r>
        <w:rPr>
          <w:szCs w:val="24"/>
        </w:rPr>
        <w:fldChar w:fldCharType="begin"/>
      </w:r>
      <w:r>
        <w:rPr>
          <w:szCs w:val="24"/>
        </w:rPr>
        <w:instrText xml:space="preserve"> SEQ level0 \*arabic </w:instrText>
      </w:r>
      <w:r>
        <w:rPr>
          <w:szCs w:val="24"/>
        </w:rPr>
        <w:fldChar w:fldCharType="separate"/>
      </w:r>
      <w:r>
        <w:rPr>
          <w:noProof/>
          <w:szCs w:val="24"/>
        </w:rPr>
        <w:t>19</w:t>
      </w:r>
      <w:r>
        <w:rPr>
          <w:szCs w:val="24"/>
        </w:rPr>
        <w:fldChar w:fldCharType="end"/>
      </w:r>
      <w:r>
        <w:rPr>
          <w:szCs w:val="24"/>
        </w:rPr>
        <w:t>.  In the AA</w:t>
      </w:r>
      <w:r w:rsidR="006545FA">
        <w:rPr>
          <w:szCs w:val="24"/>
        </w:rPr>
        <w:t>’</w:t>
      </w:r>
      <w:r>
        <w:rPr>
          <w:szCs w:val="24"/>
        </w:rPr>
        <w:t>s view, the Italian Government</w:t>
      </w:r>
      <w:r w:rsidRPr="002F6054">
        <w:rPr>
          <w:szCs w:val="24"/>
        </w:rPr>
        <w:t xml:space="preserve"> </w:t>
      </w:r>
      <w:r>
        <w:rPr>
          <w:szCs w:val="24"/>
        </w:rPr>
        <w:t>were acting in breach of the Constitutional Court</w:t>
      </w:r>
      <w:r w:rsidR="006545FA">
        <w:rPr>
          <w:szCs w:val="24"/>
        </w:rPr>
        <w:t>’</w:t>
      </w:r>
      <w:r>
        <w:rPr>
          <w:szCs w:val="24"/>
        </w:rPr>
        <w:t>s judgment (</w:t>
      </w:r>
      <w:r w:rsidR="00A30119">
        <w:t>see paragraph 16 above)</w:t>
      </w:r>
      <w:r>
        <w:t xml:space="preserve"> </w:t>
      </w:r>
      <w:r>
        <w:rPr>
          <w:szCs w:val="24"/>
        </w:rPr>
        <w:t xml:space="preserve">and EU law, in so far as the Law took into account not only educational standards but also data concerning </w:t>
      </w:r>
      <w:r w:rsidRPr="00DF03A2">
        <w:rPr>
          <w:szCs w:val="24"/>
        </w:rPr>
        <w:t xml:space="preserve">occupational </w:t>
      </w:r>
      <w:r>
        <w:rPr>
          <w:szCs w:val="24"/>
        </w:rPr>
        <w:t xml:space="preserve">demand. Noting that the assessments were made with exclusive regard to the </w:t>
      </w:r>
      <w:r w:rsidRPr="00DF03A2">
        <w:rPr>
          <w:szCs w:val="24"/>
        </w:rPr>
        <w:t xml:space="preserve">occupational </w:t>
      </w:r>
      <w:r>
        <w:rPr>
          <w:szCs w:val="24"/>
        </w:rPr>
        <w:t xml:space="preserve">demand of the </w:t>
      </w:r>
      <w:r w:rsidR="00A30119">
        <w:rPr>
          <w:szCs w:val="24"/>
        </w:rPr>
        <w:t>N</w:t>
      </w:r>
      <w:r>
        <w:rPr>
          <w:szCs w:val="24"/>
        </w:rPr>
        <w:t xml:space="preserve">ational </w:t>
      </w:r>
      <w:r w:rsidR="00A30119">
        <w:rPr>
          <w:szCs w:val="24"/>
        </w:rPr>
        <w:t>H</w:t>
      </w:r>
      <w:r>
        <w:rPr>
          <w:szCs w:val="24"/>
        </w:rPr>
        <w:t xml:space="preserve">ealth </w:t>
      </w:r>
      <w:r w:rsidR="00A30119">
        <w:rPr>
          <w:szCs w:val="24"/>
        </w:rPr>
        <w:t>S</w:t>
      </w:r>
      <w:r>
        <w:rPr>
          <w:szCs w:val="24"/>
        </w:rPr>
        <w:t>ervice, the AA concluded that limiting admission to the Faculty of Dentistry amounted to an unreasonable restriction of competition in p</w:t>
      </w:r>
      <w:r w:rsidRPr="00B147F5">
        <w:rPr>
          <w:szCs w:val="24"/>
        </w:rPr>
        <w:t>rofessional services</w:t>
      </w:r>
      <w:r>
        <w:rPr>
          <w:szCs w:val="24"/>
        </w:rPr>
        <w:t xml:space="preserve">. Indeed, by considering only public demand, to the exclusion of any private demand, the number of dentists was artificially reduced and dental fees were unjustifiably increased. Furthermore, the AA disapproved of the participation of professional associations in the above-mentioned task force, in so far as their </w:t>
      </w:r>
      <w:r>
        <w:t>decisions might be highly influenced by their own interests.</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20</w:t>
      </w:r>
      <w:r>
        <w:rPr>
          <w:szCs w:val="24"/>
        </w:rPr>
        <w:fldChar w:fldCharType="end"/>
      </w:r>
      <w:r>
        <w:rPr>
          <w:szCs w:val="24"/>
        </w:rPr>
        <w:t>.  T</w:t>
      </w:r>
      <w:r w:rsidRPr="00763388">
        <w:rPr>
          <w:szCs w:val="24"/>
        </w:rPr>
        <w:t xml:space="preserve">o be admitted, </w:t>
      </w:r>
      <w:r>
        <w:rPr>
          <w:szCs w:val="24"/>
        </w:rPr>
        <w:t>candidates we</w:t>
      </w:r>
      <w:r w:rsidRPr="00763388">
        <w:rPr>
          <w:szCs w:val="24"/>
        </w:rPr>
        <w:t xml:space="preserve">re required to pass a multiple-choice examination consisting of </w:t>
      </w:r>
      <w:r>
        <w:rPr>
          <w:szCs w:val="24"/>
        </w:rPr>
        <w:t>eighty</w:t>
      </w:r>
      <w:r w:rsidRPr="00763388">
        <w:rPr>
          <w:szCs w:val="24"/>
        </w:rPr>
        <w:t xml:space="preserve"> questions </w:t>
      </w:r>
      <w:r>
        <w:rPr>
          <w:szCs w:val="24"/>
        </w:rPr>
        <w:t xml:space="preserve">on </w:t>
      </w:r>
      <w:r w:rsidRPr="00763388">
        <w:rPr>
          <w:szCs w:val="24"/>
        </w:rPr>
        <w:t>general culture</w:t>
      </w:r>
      <w:r>
        <w:rPr>
          <w:szCs w:val="24"/>
        </w:rPr>
        <w:t xml:space="preserve"> (including international geography and history)</w:t>
      </w:r>
      <w:r w:rsidRPr="00763388">
        <w:rPr>
          <w:szCs w:val="24"/>
        </w:rPr>
        <w:t>, biol</w:t>
      </w:r>
      <w:r>
        <w:rPr>
          <w:szCs w:val="24"/>
        </w:rPr>
        <w:t>ogy, chemistry, mathematics and physics. The examination, based on the high school syllabus, aimed to test the candidates</w:t>
      </w:r>
      <w:r w:rsidR="006545FA">
        <w:rPr>
          <w:szCs w:val="24"/>
        </w:rPr>
        <w:t>’</w:t>
      </w:r>
      <w:r>
        <w:rPr>
          <w:szCs w:val="24"/>
        </w:rPr>
        <w:t xml:space="preserve"> aptitude for the subject matter pertaining to the faculty of their choice.</w:t>
      </w:r>
    </w:p>
    <w:p w:rsidR="004C568D" w:rsidP="004C568D" w:rsidRDefault="004C568D">
      <w:pPr>
        <w:pStyle w:val="JuHA"/>
      </w:pPr>
      <w:r>
        <w:t>B.  Jurisprudence</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21</w:t>
      </w:r>
      <w:r>
        <w:rPr>
          <w:szCs w:val="24"/>
        </w:rPr>
        <w:fldChar w:fldCharType="end"/>
      </w:r>
      <w:r>
        <w:rPr>
          <w:szCs w:val="24"/>
        </w:rPr>
        <w:t xml:space="preserve">.  The relevant domestic courts repeatedly found that a </w:t>
      </w:r>
      <w:proofErr w:type="spellStart"/>
      <w:r w:rsidRPr="006B1BD8">
        <w:rPr>
          <w:i/>
          <w:szCs w:val="24"/>
        </w:rPr>
        <w:t>numerus</w:t>
      </w:r>
      <w:proofErr w:type="spellEnd"/>
      <w:r w:rsidRPr="006B1BD8">
        <w:rPr>
          <w:i/>
          <w:szCs w:val="24"/>
        </w:rPr>
        <w:t xml:space="preserve"> </w:t>
      </w:r>
      <w:proofErr w:type="spellStart"/>
      <w:r w:rsidRPr="006B1BD8">
        <w:rPr>
          <w:i/>
          <w:szCs w:val="24"/>
        </w:rPr>
        <w:t>clausus</w:t>
      </w:r>
      <w:proofErr w:type="spellEnd"/>
      <w:r>
        <w:rPr>
          <w:szCs w:val="24"/>
        </w:rPr>
        <w:t xml:space="preserve"> and the way in which it was applied in the Italian legal framework were in accordance with both the Constitution and European Union legislation. Judgments in support of those findings include, </w:t>
      </w:r>
      <w:r w:rsidRPr="006B1BD8">
        <w:rPr>
          <w:i/>
          <w:szCs w:val="24"/>
        </w:rPr>
        <w:t>inter alia</w:t>
      </w:r>
      <w:r>
        <w:rPr>
          <w:szCs w:val="24"/>
        </w:rPr>
        <w:t>: judgments no. 1931 of 29 April 2008, no. 5418 of 24 June 2008, and no. 5542 of 6 June 2008</w:t>
      </w:r>
      <w:r w:rsidRPr="00C0488E">
        <w:rPr>
          <w:szCs w:val="24"/>
        </w:rPr>
        <w:t xml:space="preserve"> </w:t>
      </w:r>
      <w:r>
        <w:rPr>
          <w:szCs w:val="24"/>
        </w:rPr>
        <w:t>of the Supreme Administrative Court; judgment no. 197 of the Florence Tuscany Administrative Tribunal of 12 February 2007; judgment no. 4559 of the Naples Administrative Tribunal of 2008; judgment no. 1931 of the Florence Tuscany Administrative Tribunal of 17 April 2008; judgment no. 145 of the Trent Administrative Tribunal of 11 June 2008; and judgment no. 1631 of the Supreme Administrative Court of 15 April 2010.</w:t>
      </w:r>
    </w:p>
    <w:p w:rsidR="004C568D" w:rsidP="004C568D" w:rsidRDefault="004C568D">
      <w:pPr>
        <w:pStyle w:val="JuPara"/>
        <w:rPr>
          <w:szCs w:val="24"/>
        </w:rPr>
      </w:pPr>
      <w:r>
        <w:rPr>
          <w:szCs w:val="24"/>
        </w:rPr>
        <w:t>In particular,</w:t>
      </w:r>
      <w:r w:rsidRPr="00AC5C45">
        <w:rPr>
          <w:szCs w:val="24"/>
        </w:rPr>
        <w:t xml:space="preserve"> </w:t>
      </w:r>
      <w:r>
        <w:rPr>
          <w:szCs w:val="24"/>
        </w:rPr>
        <w:t>in respect of the complainants</w:t>
      </w:r>
      <w:r w:rsidR="006545FA">
        <w:rPr>
          <w:szCs w:val="24"/>
        </w:rPr>
        <w:t>’</w:t>
      </w:r>
      <w:r>
        <w:rPr>
          <w:szCs w:val="24"/>
        </w:rPr>
        <w:t xml:space="preserve"> claim that the criterion related to society</w:t>
      </w:r>
      <w:r w:rsidR="006545FA">
        <w:rPr>
          <w:szCs w:val="24"/>
        </w:rPr>
        <w:t>’</w:t>
      </w:r>
      <w:r>
        <w:rPr>
          <w:szCs w:val="24"/>
        </w:rPr>
        <w:t>s</w:t>
      </w:r>
      <w:r w:rsidRPr="007E1D16">
        <w:rPr>
          <w:szCs w:val="24"/>
        </w:rPr>
        <w:t xml:space="preserve"> </w:t>
      </w:r>
      <w:r>
        <w:rPr>
          <w:szCs w:val="24"/>
        </w:rPr>
        <w:t>need</w:t>
      </w:r>
      <w:r w:rsidRPr="007E1D16">
        <w:rPr>
          <w:szCs w:val="24"/>
        </w:rPr>
        <w:t xml:space="preserve"> </w:t>
      </w:r>
      <w:r>
        <w:rPr>
          <w:szCs w:val="24"/>
        </w:rPr>
        <w:t>for a particular profession should not be limited to the national territory – to the exclusion of the current and imminent future needs of the entire European Community – the Supreme Administrative Court</w:t>
      </w:r>
      <w:r w:rsidRPr="001C1A7B">
        <w:rPr>
          <w:szCs w:val="24"/>
        </w:rPr>
        <w:t xml:space="preserve"> </w:t>
      </w:r>
      <w:r>
        <w:rPr>
          <w:szCs w:val="24"/>
        </w:rPr>
        <w:t xml:space="preserve">held, in its judgment no. 1931 of 29 April 2008, that it was evident that the major determining criterion was that based on </w:t>
      </w:r>
      <w:r w:rsidRPr="007E1D16">
        <w:rPr>
          <w:szCs w:val="24"/>
        </w:rPr>
        <w:t xml:space="preserve">the </w:t>
      </w:r>
      <w:r>
        <w:rPr>
          <w:szCs w:val="24"/>
        </w:rPr>
        <w:t xml:space="preserve">capacity and resource potential </w:t>
      </w:r>
      <w:r w:rsidRPr="007E1D16">
        <w:rPr>
          <w:szCs w:val="24"/>
        </w:rPr>
        <w:t>of universities</w:t>
      </w:r>
      <w:r>
        <w:rPr>
          <w:szCs w:val="24"/>
        </w:rPr>
        <w:t xml:space="preserve">, which allowed for proper scientific training as required by EU legislation. As had previously been upheld by the </w:t>
      </w:r>
      <w:smartTag w:uri="urn:schemas-microsoft-com:office:smarttags" w:element="Street">
        <w:smartTag w:uri="urn:schemas-microsoft-com:office:smarttags" w:element="address">
          <w:r>
            <w:rPr>
              <w:szCs w:val="24"/>
            </w:rPr>
            <w:t>Constitutional Court</w:t>
          </w:r>
        </w:smartTag>
      </w:smartTag>
      <w:r>
        <w:rPr>
          <w:szCs w:val="24"/>
        </w:rPr>
        <w:t xml:space="preserve"> (judgment no. 393 of 1998), the right to higher levels of education, even for the most meritorious students, depended on the availability of technical means and human resources, particularly in the study of sciences, which was both theoretical and practical. Indeed, EU legislation did not ban </w:t>
      </w:r>
      <w:proofErr w:type="spellStart"/>
      <w:r w:rsidRPr="00DD1515">
        <w:rPr>
          <w:i/>
          <w:szCs w:val="24"/>
        </w:rPr>
        <w:t>numer</w:t>
      </w:r>
      <w:r>
        <w:rPr>
          <w:i/>
          <w:szCs w:val="24"/>
        </w:rPr>
        <w:t>i</w:t>
      </w:r>
      <w:proofErr w:type="spellEnd"/>
      <w:r w:rsidRPr="00DD1515">
        <w:rPr>
          <w:i/>
          <w:szCs w:val="24"/>
        </w:rPr>
        <w:t xml:space="preserve"> </w:t>
      </w:r>
      <w:proofErr w:type="spellStart"/>
      <w:r w:rsidRPr="00DD1515">
        <w:rPr>
          <w:i/>
          <w:szCs w:val="24"/>
        </w:rPr>
        <w:t>claus</w:t>
      </w:r>
      <w:r>
        <w:rPr>
          <w:i/>
          <w:szCs w:val="24"/>
        </w:rPr>
        <w:t>i</w:t>
      </w:r>
      <w:proofErr w:type="spellEnd"/>
      <w:r>
        <w:rPr>
          <w:szCs w:val="24"/>
        </w:rPr>
        <w:t>. European directives provided for the recognition of titles and degrees based on standards</w:t>
      </w:r>
      <w:r w:rsidRPr="008216DF">
        <w:rPr>
          <w:szCs w:val="24"/>
        </w:rPr>
        <w:t xml:space="preserve"> </w:t>
      </w:r>
      <w:r>
        <w:rPr>
          <w:szCs w:val="24"/>
        </w:rPr>
        <w:t>of minimum studies and guarantees of a real possession of the necessary knowledge to carry out a profession. However, they left it to individual States to determine the instruments, means and methods to fulfil the obligations set by those directives. The criterion relating to society</w:t>
      </w:r>
      <w:r w:rsidR="006545FA">
        <w:rPr>
          <w:szCs w:val="24"/>
        </w:rPr>
        <w:t>’</w:t>
      </w:r>
      <w:r>
        <w:rPr>
          <w:szCs w:val="24"/>
        </w:rPr>
        <w:t>s need for a particular profession carried less weight than the capacity and resource criterion, and was indeed secondary. It would come into play in the unlikely event that availability was so abundant that it would be necessary to limit access to the profession to avoid saturating the market. With reference to a recommendation by the Health Ministry to limit the number of registered students (which formed the basis of the decision on the number of places available for the years 2006-07), the court considered that it was to be seen as a quantitative restriction not in view of society</w:t>
      </w:r>
      <w:r w:rsidR="006545FA">
        <w:rPr>
          <w:szCs w:val="24"/>
        </w:rPr>
        <w:t>’</w:t>
      </w:r>
      <w:r>
        <w:rPr>
          <w:szCs w:val="24"/>
        </w:rPr>
        <w:t>s</w:t>
      </w:r>
      <w:r w:rsidRPr="001C1A7B">
        <w:rPr>
          <w:szCs w:val="24"/>
        </w:rPr>
        <w:t xml:space="preserve"> </w:t>
      </w:r>
      <w:r>
        <w:rPr>
          <w:szCs w:val="24"/>
        </w:rPr>
        <w:t>needs, but in the light of a need to ensure that specialised studies reached European standards. Given that the relevance of this criterion to the decision on the number of candidates to be registered each year had not been proven, and because EU law did not provide for unlimited and unconditional access to education for students, it was not necessary to refer the matter to the ECJ.</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22</w:t>
      </w:r>
      <w:r>
        <w:rPr>
          <w:szCs w:val="24"/>
        </w:rPr>
        <w:fldChar w:fldCharType="end"/>
      </w:r>
      <w:r>
        <w:rPr>
          <w:szCs w:val="24"/>
        </w:rPr>
        <w:t>.  According to the Supreme Administrative Court judgment no. 1855 of 2005, the eight-year time-limit indicated in decree no. 1592 of 1933 is not a prescriptive period which can be interrupted, but the maximum time before the right (to attend the course) lapses.</w:t>
      </w:r>
    </w:p>
    <w:p w:rsidRPr="00953CE0" w:rsidR="004C568D" w:rsidP="004C568D" w:rsidRDefault="004C568D">
      <w:pPr>
        <w:pStyle w:val="JuHA"/>
      </w:pPr>
      <w:r>
        <w:t>C.  Relevant European Union law</w:t>
      </w:r>
    </w:p>
    <w:p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23</w:t>
      </w:r>
      <w:r>
        <w:rPr>
          <w:szCs w:val="24"/>
        </w:rPr>
        <w:fldChar w:fldCharType="end"/>
      </w:r>
      <w:r>
        <w:rPr>
          <w:szCs w:val="24"/>
        </w:rPr>
        <w:t>.  Article 39 (former Article 48) of Title III relates to the free movement of persons, services and capital of the Treaty establishing the European Community. It reads as follows:</w:t>
      </w:r>
    </w:p>
    <w:p w:rsidR="004C568D" w:rsidP="004C568D" w:rsidRDefault="004C568D">
      <w:pPr>
        <w:pStyle w:val="JuQuot"/>
        <w:rPr>
          <w:lang w:eastAsia="en-GB"/>
        </w:rPr>
      </w:pPr>
      <w:r>
        <w:rPr>
          <w:lang w:eastAsia="en-GB"/>
        </w:rPr>
        <w:t>“</w:t>
      </w:r>
      <w:r w:rsidRPr="00953CE0">
        <w:rPr>
          <w:lang w:eastAsia="en-GB"/>
        </w:rPr>
        <w:t>1. Freedom of movement for workers shall be secured within the Community.</w:t>
      </w:r>
    </w:p>
    <w:p w:rsidR="004C568D" w:rsidP="004C568D" w:rsidRDefault="004C568D">
      <w:pPr>
        <w:pStyle w:val="JuQuot"/>
        <w:rPr>
          <w:lang w:eastAsia="en-GB"/>
        </w:rPr>
      </w:pPr>
      <w:r w:rsidRPr="00953CE0">
        <w:rPr>
          <w:lang w:eastAsia="en-GB"/>
        </w:rPr>
        <w:t>2. Such freedom of movement shall entail the abolition of any discrimination based on nationality between workers of the Member States as regards employment, remuneration and other conditions of work and employment.</w:t>
      </w:r>
    </w:p>
    <w:p w:rsidR="004C568D" w:rsidP="004C568D" w:rsidRDefault="004C568D">
      <w:pPr>
        <w:pStyle w:val="JuQuot"/>
        <w:rPr>
          <w:lang w:eastAsia="en-GB"/>
        </w:rPr>
      </w:pPr>
      <w:r w:rsidRPr="00953CE0">
        <w:rPr>
          <w:lang w:eastAsia="en-GB"/>
        </w:rPr>
        <w:t>3. It shall entail the right, subject to limitations justified on grounds of public policy, public security or public health:</w:t>
      </w:r>
    </w:p>
    <w:p w:rsidR="004C568D" w:rsidP="004C568D" w:rsidRDefault="004C568D">
      <w:pPr>
        <w:pStyle w:val="JuQuot"/>
        <w:rPr>
          <w:lang w:eastAsia="en-GB"/>
        </w:rPr>
      </w:pPr>
      <w:r w:rsidRPr="00953CE0">
        <w:rPr>
          <w:lang w:eastAsia="en-GB"/>
        </w:rPr>
        <w:t>(a) to accept offers of employment actually made;</w:t>
      </w:r>
    </w:p>
    <w:p w:rsidR="004C568D" w:rsidP="004C568D" w:rsidRDefault="004C568D">
      <w:pPr>
        <w:pStyle w:val="JuQuot"/>
        <w:rPr>
          <w:lang w:eastAsia="en-GB"/>
        </w:rPr>
      </w:pPr>
      <w:r w:rsidRPr="00953CE0">
        <w:rPr>
          <w:lang w:eastAsia="en-GB"/>
        </w:rPr>
        <w:t>(b) to move freely within the territory of Member States for this purpose;</w:t>
      </w:r>
    </w:p>
    <w:p w:rsidR="004C568D" w:rsidP="004C568D" w:rsidRDefault="004C568D">
      <w:pPr>
        <w:pStyle w:val="JuQuot"/>
        <w:rPr>
          <w:lang w:eastAsia="en-GB"/>
        </w:rPr>
      </w:pPr>
      <w:r w:rsidRPr="00953CE0">
        <w:rPr>
          <w:lang w:eastAsia="en-GB"/>
        </w:rPr>
        <w:t xml:space="preserve">(c) to stay in a </w:t>
      </w:r>
      <w:smartTag w:uri="urn:schemas-microsoft-com:office:smarttags" w:element="place">
        <w:smartTag w:uri="urn:schemas-microsoft-com:office:smarttags" w:element="PlaceName">
          <w:r w:rsidRPr="00953CE0">
            <w:rPr>
              <w:lang w:eastAsia="en-GB"/>
            </w:rPr>
            <w:t>Member</w:t>
          </w:r>
        </w:smartTag>
        <w:r w:rsidRPr="00953CE0">
          <w:rPr>
            <w:lang w:eastAsia="en-GB"/>
          </w:rPr>
          <w:t xml:space="preserve"> </w:t>
        </w:r>
        <w:smartTag w:uri="urn:schemas-microsoft-com:office:smarttags" w:element="PlaceType">
          <w:r w:rsidRPr="00953CE0">
            <w:rPr>
              <w:lang w:eastAsia="en-GB"/>
            </w:rPr>
            <w:t>State</w:t>
          </w:r>
        </w:smartTag>
      </w:smartTag>
      <w:r w:rsidRPr="00953CE0">
        <w:rPr>
          <w:lang w:eastAsia="en-GB"/>
        </w:rPr>
        <w:t xml:space="preserve"> for the purpose of employment in accordance with the provisions governing the employment of nationals of that State laid down by law, regulation or administrative action;</w:t>
      </w:r>
    </w:p>
    <w:p w:rsidR="004C568D" w:rsidP="004C568D" w:rsidRDefault="004C568D">
      <w:pPr>
        <w:pStyle w:val="JuQuot"/>
        <w:rPr>
          <w:lang w:eastAsia="en-GB"/>
        </w:rPr>
      </w:pPr>
      <w:r w:rsidRPr="00953CE0">
        <w:rPr>
          <w:lang w:eastAsia="en-GB"/>
        </w:rPr>
        <w:t xml:space="preserve">(d) to remain in the territory of a </w:t>
      </w:r>
      <w:smartTag w:uri="urn:schemas-microsoft-com:office:smarttags" w:element="place">
        <w:smartTag w:uri="urn:schemas-microsoft-com:office:smarttags" w:element="PlaceName">
          <w:r w:rsidRPr="00953CE0">
            <w:rPr>
              <w:lang w:eastAsia="en-GB"/>
            </w:rPr>
            <w:t>Member</w:t>
          </w:r>
        </w:smartTag>
        <w:r w:rsidRPr="00953CE0">
          <w:rPr>
            <w:lang w:eastAsia="en-GB"/>
          </w:rPr>
          <w:t xml:space="preserve"> </w:t>
        </w:r>
        <w:smartTag w:uri="urn:schemas-microsoft-com:office:smarttags" w:element="PlaceType">
          <w:r w:rsidRPr="00953CE0">
            <w:rPr>
              <w:lang w:eastAsia="en-GB"/>
            </w:rPr>
            <w:t>State</w:t>
          </w:r>
        </w:smartTag>
      </w:smartTag>
      <w:r w:rsidRPr="00953CE0">
        <w:rPr>
          <w:lang w:eastAsia="en-GB"/>
        </w:rPr>
        <w:t xml:space="preserve"> after having been employed in that State, subject to conditions which shall be embodied in implementing regulations to be drawn up by the Commission.</w:t>
      </w:r>
    </w:p>
    <w:p w:rsidR="004C568D" w:rsidP="004C568D" w:rsidRDefault="004C568D">
      <w:pPr>
        <w:pStyle w:val="JuQuot"/>
        <w:rPr>
          <w:lang w:eastAsia="en-GB"/>
        </w:rPr>
      </w:pPr>
      <w:r w:rsidRPr="00953CE0">
        <w:rPr>
          <w:lang w:eastAsia="en-GB"/>
        </w:rPr>
        <w:t>4. The provisions of this Article shall not apply to employment in the public service.</w:t>
      </w:r>
      <w:r>
        <w:rPr>
          <w:lang w:eastAsia="en-GB"/>
        </w:rPr>
        <w:t>”</w:t>
      </w:r>
    </w:p>
    <w:p w:rsidRPr="00445ED8" w:rsidR="004C568D" w:rsidP="004C568D" w:rsidRDefault="004C568D">
      <w:pPr>
        <w:pStyle w:val="JuPara"/>
        <w:rPr>
          <w:b/>
          <w:bCs/>
          <w:lang w:eastAsia="en-GB"/>
        </w:rPr>
      </w:pPr>
      <w:r>
        <w:fldChar w:fldCharType="begin"/>
      </w:r>
      <w:r>
        <w:instrText xml:space="preserve"> SEQ level0 \*arabic </w:instrText>
      </w:r>
      <w:r>
        <w:fldChar w:fldCharType="separate"/>
      </w:r>
      <w:r>
        <w:rPr>
          <w:noProof/>
        </w:rPr>
        <w:t>24</w:t>
      </w:r>
      <w:r>
        <w:fldChar w:fldCharType="end"/>
      </w:r>
      <w:r>
        <w:t>.  </w:t>
      </w:r>
      <w:r w:rsidRPr="00445ED8">
        <w:t>Other relevant European Union texts include</w:t>
      </w:r>
      <w:r>
        <w:t>:</w:t>
      </w:r>
      <w:r w:rsidRPr="00445ED8">
        <w:t xml:space="preserve"> </w:t>
      </w:r>
      <w:r w:rsidRPr="00445ED8">
        <w:rPr>
          <w:lang w:val="en"/>
        </w:rPr>
        <w:t xml:space="preserve">Council Directive 86/457/EEC of 15 September 1986 on specific training in general medical practice; Council Directive </w:t>
      </w:r>
      <w:r w:rsidRPr="00445ED8">
        <w:rPr>
          <w:lang w:eastAsia="en-GB"/>
        </w:rPr>
        <w:t xml:space="preserve">93/16/EEC of 5 April 1993 </w:t>
      </w:r>
      <w:r>
        <w:rPr>
          <w:lang w:eastAsia="en-GB"/>
        </w:rPr>
        <w:t xml:space="preserve">on </w:t>
      </w:r>
      <w:r w:rsidRPr="00445ED8">
        <w:rPr>
          <w:lang w:eastAsia="en-GB"/>
        </w:rPr>
        <w:t>facilitat</w:t>
      </w:r>
      <w:r>
        <w:rPr>
          <w:lang w:eastAsia="en-GB"/>
        </w:rPr>
        <w:t>ing</w:t>
      </w:r>
      <w:r w:rsidRPr="00445ED8">
        <w:rPr>
          <w:lang w:eastAsia="en-GB"/>
        </w:rPr>
        <w:t xml:space="preserve"> the free movement of doctors and the mutual recognition of their diplomas, certificates and other evidence of formal qualifications; and Council Directive </w:t>
      </w:r>
      <w:r w:rsidRPr="00445ED8">
        <w:rPr>
          <w:bCs/>
          <w:lang w:eastAsia="en-GB"/>
        </w:rPr>
        <w:t>2005/36/EC of 7 September 2005 on the recognition of professional qualifications.</w:t>
      </w:r>
    </w:p>
    <w:p w:rsidRPr="00E73B86" w:rsidR="004C568D" w:rsidP="004C568D" w:rsidRDefault="004C568D">
      <w:pPr>
        <w:pStyle w:val="JuHHead"/>
      </w:pPr>
      <w:r w:rsidRPr="00E73B86">
        <w:t>THE LAW</w:t>
      </w:r>
    </w:p>
    <w:p w:rsidRPr="00E73B86" w:rsidR="004C568D" w:rsidP="004C568D" w:rsidRDefault="004C568D">
      <w:pPr>
        <w:pStyle w:val="JuHIRoman"/>
      </w:pPr>
      <w:smartTag w:uri="urn:schemas-microsoft-com:office:smarttags" w:element="place">
        <w:r w:rsidRPr="00E73B86">
          <w:t>I.</w:t>
        </w:r>
      </w:smartTag>
      <w:r w:rsidRPr="00E73B86">
        <w:t xml:space="preserve">  ALLEGED VIOLATION OF ARTICLE </w:t>
      </w:r>
      <w:r>
        <w:t>2 OF PROTOCOL No. 1 TO THE</w:t>
      </w:r>
      <w:r w:rsidRPr="00E73B86">
        <w:t xml:space="preserve"> CONVENTION</w:t>
      </w:r>
    </w:p>
    <w:p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25</w:t>
      </w:r>
      <w:r w:rsidRPr="00E73B86">
        <w:fldChar w:fldCharType="end"/>
      </w:r>
      <w:r w:rsidRPr="00E73B86">
        <w:t>.  </w:t>
      </w:r>
      <w:r>
        <w:t>The applicants complained of a breach of their right to education under Article 2 of Protocol No. 1 to the Convention, which provides:</w:t>
      </w:r>
    </w:p>
    <w:p w:rsidR="004C568D" w:rsidP="004C568D" w:rsidRDefault="004C568D">
      <w:pPr>
        <w:pStyle w:val="JuQuot"/>
      </w:pPr>
      <w:r>
        <w:t>“No person shall be denied the right to education. In the exercise of any functions which it assumes in relation to education and to teaching, the State shall respect the right of parents to ensure such education and teaching in conformity with their own religious and philosophical convictions.”</w:t>
      </w:r>
    </w:p>
    <w:p w:rsidRPr="00E73B86"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26</w:t>
      </w:r>
      <w:r w:rsidRPr="00E73B86">
        <w:fldChar w:fldCharType="end"/>
      </w:r>
      <w:r w:rsidRPr="00E73B86">
        <w:t>.  The Government contested that argument.</w:t>
      </w:r>
    </w:p>
    <w:p w:rsidR="004C568D" w:rsidP="004C568D" w:rsidRDefault="004C568D">
      <w:pPr>
        <w:pStyle w:val="JuHA"/>
        <w:outlineLvl w:val="0"/>
      </w:pPr>
      <w:r w:rsidRPr="00E73B86">
        <w:t>A.  Admissibility</w:t>
      </w:r>
    </w:p>
    <w:p w:rsidR="004C568D" w:rsidP="004C568D" w:rsidRDefault="004C568D">
      <w:pPr>
        <w:pStyle w:val="JuPara"/>
      </w:pPr>
      <w:r>
        <w:fldChar w:fldCharType="begin"/>
      </w:r>
      <w:r>
        <w:instrText xml:space="preserve"> SEQ level0 \*arabic </w:instrText>
      </w:r>
      <w:r>
        <w:fldChar w:fldCharType="separate"/>
      </w:r>
      <w:r>
        <w:rPr>
          <w:noProof/>
        </w:rPr>
        <w:t>27</w:t>
      </w:r>
      <w:r>
        <w:fldChar w:fldCharType="end"/>
      </w:r>
      <w:r>
        <w:t>.  The Government considered that the extraordinary remedy before the President of the Republic was a judicial remedy which the applicants could choose as an alternative to proceedings before the regional administrative tribunals (the “TAR”). They considered that in the present case all the applicants had</w:t>
      </w:r>
      <w:r w:rsidRPr="008A409B">
        <w:t xml:space="preserve"> </w:t>
      </w:r>
      <w:r>
        <w:t>that remedy at their disposal and had used it to complain about the alleged breaches.</w:t>
      </w:r>
    </w:p>
    <w:p w:rsidR="004C568D" w:rsidP="004C568D" w:rsidRDefault="004C568D">
      <w:pPr>
        <w:pStyle w:val="JuPara"/>
      </w:pPr>
      <w:r>
        <w:fldChar w:fldCharType="begin"/>
      </w:r>
      <w:r>
        <w:instrText xml:space="preserve"> SEQ level0 \*arabic </w:instrText>
      </w:r>
      <w:r>
        <w:fldChar w:fldCharType="separate"/>
      </w:r>
      <w:r>
        <w:rPr>
          <w:noProof/>
        </w:rPr>
        <w:t>28</w:t>
      </w:r>
      <w:r>
        <w:fldChar w:fldCharType="end"/>
      </w:r>
      <w:r>
        <w:t xml:space="preserve">.  The applicants contended that proceedings before the TAR would be ineffective given the constant jurisprudence to the effect that limited admission to universities was compatible with domestic, EU and Convention law. They relied particularly on </w:t>
      </w:r>
      <w:r>
        <w:rPr>
          <w:szCs w:val="24"/>
        </w:rPr>
        <w:t xml:space="preserve">judgments nos. 1931, 5418 and 5542 of the Supreme Administrative Court of 2008, and on judgment no. 1631 of the Supreme Administrative Court of 15 April 2010. </w:t>
      </w:r>
      <w:r>
        <w:t>The applicants subsequently noted that the Government had conceded that all the applicants had exhausted domestic remedies.</w:t>
      </w:r>
    </w:p>
    <w:p w:rsidR="004C568D" w:rsidP="004C568D" w:rsidRDefault="004C568D">
      <w:pPr>
        <w:pStyle w:val="JuPara"/>
      </w:pPr>
      <w:r>
        <w:fldChar w:fldCharType="begin"/>
      </w:r>
      <w:r>
        <w:instrText xml:space="preserve"> SEQ level0 \*arabic </w:instrText>
      </w:r>
      <w:r>
        <w:fldChar w:fldCharType="separate"/>
      </w:r>
      <w:r>
        <w:rPr>
          <w:noProof/>
        </w:rPr>
        <w:t>29</w:t>
      </w:r>
      <w:r>
        <w:fldChar w:fldCharType="end"/>
      </w:r>
      <w:r>
        <w:t>.  </w:t>
      </w:r>
      <w:r w:rsidRPr="005838A6">
        <w:t xml:space="preserve">The Court reiterates that Article 35 § 1 of the Convention requires that the only remedies to be exhausted are those that are available and sufficient to afford redress in respect of the breaches alleged. The purpose of Article 35 § 1 is to afford the Contracting States the opportunity of preventing or putting right the violations alleged against them before those allegations are submitted to the Court (see, </w:t>
      </w:r>
      <w:r w:rsidRPr="005838A6">
        <w:rPr>
          <w:i/>
        </w:rPr>
        <w:t xml:space="preserve">inter alia, </w:t>
      </w:r>
      <w:proofErr w:type="spellStart"/>
      <w:r w:rsidRPr="005838A6">
        <w:rPr>
          <w:i/>
        </w:rPr>
        <w:t>Selmouni</w:t>
      </w:r>
      <w:proofErr w:type="spellEnd"/>
      <w:r w:rsidRPr="005838A6">
        <w:rPr>
          <w:i/>
        </w:rPr>
        <w:t xml:space="preserve"> v. France</w:t>
      </w:r>
      <w:r w:rsidRPr="005838A6">
        <w:t xml:space="preserve"> [GC], no. 25803/94, § 74, ECHR 1999-V). However, an applicant is not obliged to have recourse to remedies which are inadequate or ineffective (see </w:t>
      </w:r>
      <w:proofErr w:type="spellStart"/>
      <w:r w:rsidRPr="005838A6">
        <w:rPr>
          <w:i/>
        </w:rPr>
        <w:t>Raninen</w:t>
      </w:r>
      <w:proofErr w:type="spellEnd"/>
      <w:r w:rsidRPr="005838A6">
        <w:rPr>
          <w:i/>
        </w:rPr>
        <w:t xml:space="preserve"> v. </w:t>
      </w:r>
      <w:smartTag w:uri="urn:schemas-microsoft-com:office:smarttags" w:element="place">
        <w:smartTag w:uri="urn:schemas-microsoft-com:office:smarttags" w:element="country-region">
          <w:r w:rsidRPr="005838A6">
            <w:rPr>
              <w:i/>
            </w:rPr>
            <w:t>Finland</w:t>
          </w:r>
        </w:smartTag>
      </w:smartTag>
      <w:r w:rsidRPr="005838A6">
        <w:t xml:space="preserve">, 16 December 1997, § 41, </w:t>
      </w:r>
      <w:r w:rsidRPr="00A50A0B">
        <w:rPr>
          <w:i/>
        </w:rPr>
        <w:t>Reports of Judgments and Decisions</w:t>
      </w:r>
      <w:r w:rsidRPr="005838A6">
        <w:t xml:space="preserve"> 1997-VIII). It follows that the pursuit of such remedies will have consequences for the identification of the “final decision” and, correspondingly, for the calculation of the starting point for the running of the six-month rule (see, for example, </w:t>
      </w:r>
      <w:proofErr w:type="spellStart"/>
      <w:r w:rsidRPr="005838A6">
        <w:rPr>
          <w:i/>
        </w:rPr>
        <w:t>Kucherenko</w:t>
      </w:r>
      <w:proofErr w:type="spellEnd"/>
      <w:r w:rsidRPr="005838A6">
        <w:rPr>
          <w:i/>
        </w:rPr>
        <w:t xml:space="preserve"> v. </w:t>
      </w:r>
      <w:proofErr w:type="spellStart"/>
      <w:r w:rsidRPr="005838A6">
        <w:rPr>
          <w:i/>
        </w:rPr>
        <w:t>Unkraine</w:t>
      </w:r>
      <w:proofErr w:type="spellEnd"/>
      <w:r>
        <w:rPr>
          <w:i/>
        </w:rPr>
        <w:t xml:space="preserve"> </w:t>
      </w:r>
      <w:r>
        <w:t>(</w:t>
      </w:r>
      <w:proofErr w:type="spellStart"/>
      <w:r>
        <w:t>dec.</w:t>
      </w:r>
      <w:proofErr w:type="spellEnd"/>
      <w:r>
        <w:t xml:space="preserve">), </w:t>
      </w:r>
      <w:r w:rsidRPr="005838A6">
        <w:t>no.</w:t>
      </w:r>
      <w:r>
        <w:t> </w:t>
      </w:r>
      <w:r w:rsidRPr="005838A6">
        <w:t xml:space="preserve">41974/98, 4 May 1999, and </w:t>
      </w:r>
      <w:proofErr w:type="spellStart"/>
      <w:r w:rsidRPr="005838A6">
        <w:rPr>
          <w:i/>
        </w:rPr>
        <w:t>Prystavska</w:t>
      </w:r>
      <w:proofErr w:type="spellEnd"/>
      <w:r w:rsidRPr="005838A6">
        <w:rPr>
          <w:i/>
        </w:rPr>
        <w:t xml:space="preserve"> v. Ukraine</w:t>
      </w:r>
      <w:r>
        <w:t xml:space="preserve"> (</w:t>
      </w:r>
      <w:proofErr w:type="spellStart"/>
      <w:r>
        <w:t>d</w:t>
      </w:r>
      <w:r w:rsidRPr="005838A6">
        <w:t>ec.</w:t>
      </w:r>
      <w:proofErr w:type="spellEnd"/>
      <w:r w:rsidRPr="005838A6">
        <w:t>), no. 21287/02, 17 December 2002).</w:t>
      </w:r>
    </w:p>
    <w:p w:rsidR="004C568D" w:rsidP="004C568D" w:rsidRDefault="004C568D">
      <w:pPr>
        <w:pStyle w:val="JuPara"/>
      </w:pPr>
      <w:r>
        <w:fldChar w:fldCharType="begin"/>
      </w:r>
      <w:r>
        <w:instrText xml:space="preserve"> SEQ level0 \*arabic </w:instrText>
      </w:r>
      <w:r>
        <w:fldChar w:fldCharType="separate"/>
      </w:r>
      <w:r>
        <w:rPr>
          <w:noProof/>
        </w:rPr>
        <w:t>30</w:t>
      </w:r>
      <w:r>
        <w:fldChar w:fldCharType="end"/>
      </w:r>
      <w:r>
        <w:t>.  The Court notes that the Government</w:t>
      </w:r>
      <w:r w:rsidR="006545FA">
        <w:t>’</w:t>
      </w:r>
      <w:r>
        <w:t xml:space="preserve">s submission to the effect that all the applicants had used the remedy before the President of the Republic is incorrect, as it was only the first applicant who instituted such proceedings. </w:t>
      </w:r>
      <w:r w:rsidRPr="00CF79A7">
        <w:t xml:space="preserve">Moreover, the Court reiterates that proceedings before the President of the Republic are considered as an extraordinary remedy which applicants are not required to </w:t>
      </w:r>
      <w:r>
        <w:t xml:space="preserve">pursue </w:t>
      </w:r>
      <w:r w:rsidRPr="00CF79A7">
        <w:t>for the purposes of satisfying the requirements of Article 35 of the Convention</w:t>
      </w:r>
      <w:r>
        <w:t xml:space="preserve"> (see </w:t>
      </w:r>
      <w:proofErr w:type="spellStart"/>
      <w:r w:rsidRPr="0052608A">
        <w:rPr>
          <w:i/>
        </w:rPr>
        <w:t>Nasalli</w:t>
      </w:r>
      <w:proofErr w:type="spellEnd"/>
      <w:r w:rsidRPr="0052608A">
        <w:rPr>
          <w:i/>
        </w:rPr>
        <w:t xml:space="preserve"> Rocca</w:t>
      </w:r>
      <w:r w:rsidRPr="0052608A">
        <w:rPr>
          <w:i/>
          <w:lang w:eastAsia="en-US"/>
        </w:rPr>
        <w:t xml:space="preserve"> v. </w:t>
      </w:r>
      <w:smartTag w:uri="urn:schemas-microsoft-com:office:smarttags" w:element="place">
        <w:smartTag w:uri="urn:schemas-microsoft-com:office:smarttags" w:element="country-region">
          <w:r w:rsidRPr="0052608A">
            <w:rPr>
              <w:i/>
              <w:lang w:eastAsia="en-US"/>
            </w:rPr>
            <w:t>Italy</w:t>
          </w:r>
        </w:smartTag>
      </w:smartTag>
      <w:r w:rsidRPr="0052608A">
        <w:rPr>
          <w:lang w:eastAsia="en-US"/>
        </w:rPr>
        <w:t xml:space="preserve"> (</w:t>
      </w:r>
      <w:proofErr w:type="spellStart"/>
      <w:r w:rsidRPr="0052608A">
        <w:rPr>
          <w:lang w:eastAsia="en-US"/>
        </w:rPr>
        <w:t>dec.</w:t>
      </w:r>
      <w:proofErr w:type="spellEnd"/>
      <w:r w:rsidRPr="0052608A">
        <w:rPr>
          <w:lang w:eastAsia="en-US"/>
        </w:rPr>
        <w:t>), no.</w:t>
      </w:r>
      <w:r>
        <w:rPr>
          <w:lang w:eastAsia="en-US"/>
        </w:rPr>
        <w:t xml:space="preserve"> 8162/02, 31 March 2005)</w:t>
      </w:r>
      <w:r w:rsidRPr="00CF79A7">
        <w:t>.</w:t>
      </w:r>
    </w:p>
    <w:p w:rsidR="004C568D" w:rsidP="004C568D" w:rsidRDefault="004C568D">
      <w:pPr>
        <w:pStyle w:val="JuPara"/>
      </w:pPr>
      <w:r>
        <w:fldChar w:fldCharType="begin"/>
      </w:r>
      <w:r>
        <w:instrText xml:space="preserve"> SEQ level0 \*arabic </w:instrText>
      </w:r>
      <w:r>
        <w:fldChar w:fldCharType="separate"/>
      </w:r>
      <w:r>
        <w:rPr>
          <w:noProof/>
        </w:rPr>
        <w:t>31</w:t>
      </w:r>
      <w:r>
        <w:fldChar w:fldCharType="end"/>
      </w:r>
      <w:r>
        <w:t>.  However, the Court notes that, as can be seen from the domestic jurisprudence (see Relevant domestic law and practice, above), the matters at issue in the present case have repeatedly come before the domestic courts, which have consistently rejected the claimants</w:t>
      </w:r>
      <w:r w:rsidR="006545FA">
        <w:t>’</w:t>
      </w:r>
      <w:r>
        <w:t xml:space="preserve"> requests. In these circumstances the Court can accept that an attempt to bring proceedings before the regional administrative tribunals followed by an appeal to the Supreme Administrative Court had no prospects of success. Thus, in line with the Government</w:t>
      </w:r>
      <w:r w:rsidR="006545FA">
        <w:t>’</w:t>
      </w:r>
      <w:r>
        <w:t>s lack of an objection in this respect, the Court finds no reason to reject this part of the application for non-exhaustion of domestic remedies.</w:t>
      </w:r>
    </w:p>
    <w:p w:rsidR="004C568D" w:rsidP="004C568D" w:rsidRDefault="004C568D">
      <w:pPr>
        <w:pStyle w:val="JuPara"/>
      </w:pPr>
      <w:r>
        <w:fldChar w:fldCharType="begin"/>
      </w:r>
      <w:r>
        <w:instrText xml:space="preserve"> SEQ level0 \*arabic </w:instrText>
      </w:r>
      <w:r>
        <w:fldChar w:fldCharType="separate"/>
      </w:r>
      <w:r>
        <w:rPr>
          <w:noProof/>
        </w:rPr>
        <w:t>32</w:t>
      </w:r>
      <w:r>
        <w:fldChar w:fldCharType="end"/>
      </w:r>
      <w:r>
        <w:t>.  The same holds in respect of the subsidiary complaint of the eighth applicant.</w:t>
      </w:r>
    </w:p>
    <w:p w:rsidRPr="00CF79A7" w:rsidR="004C568D" w:rsidP="004C568D" w:rsidRDefault="004C568D">
      <w:pPr>
        <w:pStyle w:val="JuPara"/>
      </w:pPr>
      <w:r>
        <w:fldChar w:fldCharType="begin"/>
      </w:r>
      <w:r>
        <w:instrText xml:space="preserve"> SEQ level0 \*arabic </w:instrText>
      </w:r>
      <w:r>
        <w:fldChar w:fldCharType="separate"/>
      </w:r>
      <w:r>
        <w:rPr>
          <w:noProof/>
        </w:rPr>
        <w:t>33</w:t>
      </w:r>
      <w:r>
        <w:fldChar w:fldCharType="end"/>
      </w:r>
      <w:r>
        <w:t>.  The Court further notes that since the first applicant sat the examination again in 2008 and 2009, no issue arises in respect of the six-month time-limit regarding the above-mentioned extraordinary remedy.</w:t>
      </w:r>
    </w:p>
    <w:p w:rsidRPr="00E73B86"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34</w:t>
      </w:r>
      <w:r w:rsidRPr="00E73B86">
        <w:fldChar w:fldCharType="end"/>
      </w:r>
      <w:r w:rsidRPr="00E73B86">
        <w:t>.  </w:t>
      </w:r>
      <w:r>
        <w:t>Lastly, t</w:t>
      </w:r>
      <w:r w:rsidRPr="00E73B86">
        <w:t xml:space="preserve">he Court notes that this </w:t>
      </w:r>
      <w:r>
        <w:t>part of the application</w:t>
      </w:r>
      <w:r w:rsidRPr="00E73B86">
        <w:t xml:space="preserve"> </w:t>
      </w:r>
      <w:r>
        <w:t xml:space="preserve">is </w:t>
      </w:r>
      <w:r w:rsidRPr="00E73B86">
        <w:t>not manifestly ill-founded within the meaning of Article 35 § 3 (a) of the Convention. It further notes that it is not inadmissible on any other grounds. It must therefore be declared admissible.</w:t>
      </w:r>
    </w:p>
    <w:p w:rsidR="004C568D" w:rsidP="004C568D" w:rsidRDefault="004C568D">
      <w:pPr>
        <w:pStyle w:val="JuHA"/>
        <w:outlineLvl w:val="0"/>
      </w:pPr>
      <w:r w:rsidRPr="00E73B86">
        <w:t>B.  Merits</w:t>
      </w:r>
    </w:p>
    <w:p w:rsidR="004C568D" w:rsidP="004C568D" w:rsidRDefault="004C568D">
      <w:pPr>
        <w:pStyle w:val="JuH1"/>
      </w:pPr>
      <w:r>
        <w:t>1.  The parties</w:t>
      </w:r>
      <w:r w:rsidR="006545FA">
        <w:t>’</w:t>
      </w:r>
      <w:r>
        <w:t xml:space="preserve"> observations</w:t>
      </w:r>
    </w:p>
    <w:p w:rsidRPr="004E68E9" w:rsidR="004C568D" w:rsidP="004C568D" w:rsidRDefault="004C568D">
      <w:pPr>
        <w:pStyle w:val="JuHa0"/>
      </w:pPr>
      <w:r>
        <w:t>(a)  The applicants</w:t>
      </w:r>
    </w:p>
    <w:p w:rsidR="004C568D" w:rsidP="004C568D" w:rsidRDefault="004C568D">
      <w:pPr>
        <w:pStyle w:val="JuPara"/>
        <w:rPr>
          <w:szCs w:val="24"/>
        </w:rPr>
      </w:pPr>
      <w:r w:rsidRPr="00E73B86">
        <w:fldChar w:fldCharType="begin"/>
      </w:r>
      <w:r w:rsidRPr="00E73B86">
        <w:instrText xml:space="preserve"> SEQ level0 \*arabic </w:instrText>
      </w:r>
      <w:r w:rsidRPr="00E73B86">
        <w:fldChar w:fldCharType="separate"/>
      </w:r>
      <w:r>
        <w:rPr>
          <w:noProof/>
        </w:rPr>
        <w:t>35</w:t>
      </w:r>
      <w:r w:rsidRPr="00E73B86">
        <w:fldChar w:fldCharType="end"/>
      </w:r>
      <w:r w:rsidRPr="00E73B86">
        <w:t>.  </w:t>
      </w:r>
      <w:r w:rsidRPr="004E68E9">
        <w:rPr>
          <w:szCs w:val="24"/>
        </w:rPr>
        <w:t xml:space="preserve">The applicants </w:t>
      </w:r>
      <w:r>
        <w:rPr>
          <w:szCs w:val="24"/>
        </w:rPr>
        <w:t xml:space="preserve">contended that the restriction applicable to admission to the courses of their choice, namely the basis for applying the </w:t>
      </w:r>
      <w:proofErr w:type="spellStart"/>
      <w:r w:rsidRPr="00A963A9">
        <w:rPr>
          <w:i/>
          <w:szCs w:val="24"/>
        </w:rPr>
        <w:t>numerus</w:t>
      </w:r>
      <w:proofErr w:type="spellEnd"/>
      <w:r w:rsidRPr="00A963A9">
        <w:rPr>
          <w:i/>
          <w:szCs w:val="24"/>
        </w:rPr>
        <w:t xml:space="preserve"> </w:t>
      </w:r>
      <w:proofErr w:type="spellStart"/>
      <w:r w:rsidRPr="00A963A9">
        <w:rPr>
          <w:i/>
          <w:szCs w:val="24"/>
        </w:rPr>
        <w:t>clausus</w:t>
      </w:r>
      <w:proofErr w:type="spellEnd"/>
      <w:r>
        <w:rPr>
          <w:szCs w:val="24"/>
        </w:rPr>
        <w:t>, was contrary to the Constitution and EU law.</w:t>
      </w:r>
    </w:p>
    <w:p w:rsidR="004C568D" w:rsidP="004C568D" w:rsidRDefault="004C568D">
      <w:pPr>
        <w:pStyle w:val="JuPara"/>
        <w:keepNext/>
        <w:keepLines/>
      </w:pPr>
      <w:r>
        <w:rPr>
          <w:szCs w:val="24"/>
        </w:rPr>
        <w:fldChar w:fldCharType="begin"/>
      </w:r>
      <w:r>
        <w:rPr>
          <w:szCs w:val="24"/>
        </w:rPr>
        <w:instrText xml:space="preserve"> SEQ level0 \*arabic </w:instrText>
      </w:r>
      <w:r>
        <w:rPr>
          <w:szCs w:val="24"/>
        </w:rPr>
        <w:fldChar w:fldCharType="separate"/>
      </w:r>
      <w:r>
        <w:rPr>
          <w:noProof/>
          <w:szCs w:val="24"/>
        </w:rPr>
        <w:t>36</w:t>
      </w:r>
      <w:r>
        <w:rPr>
          <w:szCs w:val="24"/>
        </w:rPr>
        <w:fldChar w:fldCharType="end"/>
      </w:r>
      <w:r>
        <w:rPr>
          <w:szCs w:val="24"/>
        </w:rPr>
        <w:t xml:space="preserve">.  They further alleged that the aims pursued by the law </w:t>
      </w:r>
      <w:r>
        <w:t>were not legitimate or proportionate.</w:t>
      </w:r>
      <w:r>
        <w:rPr>
          <w:szCs w:val="24"/>
        </w:rPr>
        <w:t xml:space="preserve"> In particular, while acknowledging the need to guarantee an appropriate level of skills for future professionals, they </w:t>
      </w:r>
      <w:r w:rsidRPr="00C24964">
        <w:rPr>
          <w:szCs w:val="24"/>
        </w:rPr>
        <w:t xml:space="preserve">contested </w:t>
      </w:r>
      <w:r w:rsidRPr="00C24964">
        <w:t>the t</w:t>
      </w:r>
      <w:r>
        <w:t>wo criteria established by L</w:t>
      </w:r>
      <w:r w:rsidRPr="00C24964">
        <w:t>aw</w:t>
      </w:r>
      <w:r>
        <w:t xml:space="preserve"> no. 264/1999 and applicable to both public and private universities. Furthermore, they considered that the needs of the community could not be assessed only on the basis of the public sector, particularly given that the majority of professionals, especially in the dental field, worked in the private sector. Moreover, the assessment was exclusively local and did not take into consideration the possibility that persons studying in Italy might want to practise in another country.</w:t>
      </w:r>
    </w:p>
    <w:p w:rsidR="004C568D" w:rsidP="004C568D" w:rsidRDefault="004C568D">
      <w:pPr>
        <w:pStyle w:val="JuPara"/>
        <w:keepNext/>
        <w:keepLines/>
      </w:pPr>
      <w:r>
        <w:fldChar w:fldCharType="begin"/>
      </w:r>
      <w:r>
        <w:instrText xml:space="preserve"> SEQ level0 \*arabic </w:instrText>
      </w:r>
      <w:r>
        <w:fldChar w:fldCharType="separate"/>
      </w:r>
      <w:r>
        <w:rPr>
          <w:noProof/>
        </w:rPr>
        <w:t>37</w:t>
      </w:r>
      <w:r>
        <w:fldChar w:fldCharType="end"/>
      </w:r>
      <w:r>
        <w:t xml:space="preserve">.  The applicants explained that the number of places at individual universities was established by the Ministry of Universities on a regional basis according to the needs of the area. Recently, however, the Italian institutions had realised that the limited access had created a lack of professionals to the extent that certain regions had stated that their hospitals would soon be short of doctors and dentists. They cited as an example (as reported by the press) the region of </w:t>
      </w:r>
      <w:smartTag w:uri="urn:schemas-microsoft-com:office:smarttags" w:element="place">
        <w:r>
          <w:t>Lombardy</w:t>
        </w:r>
      </w:smartTag>
      <w:r>
        <w:t xml:space="preserve">, which had estimated that by 2015 it would have lost 40 % of the current workforce (doctors and dentists) owing to retirement. The region had asked the Government to abolish the current system of limited access, but the Italian Ministry of Health had considered that there were already more doctors than necessary in </w:t>
      </w:r>
      <w:smartTag w:uri="urn:schemas-microsoft-com:office:smarttags" w:element="place">
        <w:smartTag w:uri="urn:schemas-microsoft-com:office:smarttags" w:element="country-region">
          <w:r>
            <w:t>Italy</w:t>
          </w:r>
        </w:smartTag>
      </w:smartTag>
      <w:r>
        <w:t xml:space="preserve">. The applicants considered that the extent to which a sector was saturated was not a legal reason to impede operators from accessing the market. The applicants opined </w:t>
      </w:r>
      <w:r w:rsidRPr="00C24964">
        <w:t xml:space="preserve">that the real </w:t>
      </w:r>
      <w:r>
        <w:t>purpose</w:t>
      </w:r>
      <w:r w:rsidRPr="00C24964">
        <w:t xml:space="preserve"> of the restrictions was to protect doctors</w:t>
      </w:r>
      <w:r w:rsidR="006545FA">
        <w:t>’</w:t>
      </w:r>
      <w:r w:rsidRPr="00C24964">
        <w:t xml:space="preserve"> and dentists</w:t>
      </w:r>
      <w:r w:rsidR="006545FA">
        <w:t>’</w:t>
      </w:r>
      <w:r w:rsidRPr="00C24964">
        <w:t xml:space="preserve"> interests</w:t>
      </w:r>
      <w:r>
        <w:t xml:space="preserve"> by restricting competition in the sector, a purpose in conflict with EU law</w:t>
      </w:r>
      <w:r w:rsidRPr="00C24964">
        <w:t>.</w:t>
      </w:r>
      <w:r>
        <w:t xml:space="preserve"> In particular, they contested the application of those restrictive measures to private universities, which could otherwise increase their admission numbers without imposing an extra financial burden on the State. Thus, the current system denied the applicants access to an education of their choice, even against payment to a private university or, if necessary, to a State one. This amounted to restricting the right to education without a valid reason. In this connection the applicants noted that in the </w:t>
      </w:r>
      <w:r w:rsidRPr="003F2370">
        <w:rPr>
          <w:i/>
        </w:rPr>
        <w:t>Belgian linguistics case</w:t>
      </w:r>
      <w:r>
        <w:t xml:space="preserve"> the Court had found the impugned measure to be proportionate in view of the fact that it did not prevent the applicants from enrolling (at their own expense) in private French language schools in the region.</w:t>
      </w:r>
    </w:p>
    <w:p w:rsidR="004C568D" w:rsidP="004C568D" w:rsidRDefault="004C568D">
      <w:pPr>
        <w:pStyle w:val="JuPara"/>
      </w:pPr>
      <w:r>
        <w:fldChar w:fldCharType="begin"/>
      </w:r>
      <w:r>
        <w:instrText xml:space="preserve"> SEQ level0 \*arabic </w:instrText>
      </w:r>
      <w:r>
        <w:fldChar w:fldCharType="separate"/>
      </w:r>
      <w:r>
        <w:rPr>
          <w:noProof/>
        </w:rPr>
        <w:t>38</w:t>
      </w:r>
      <w:r>
        <w:fldChar w:fldCharType="end"/>
      </w:r>
      <w:r>
        <w:t>.  The applicants noted that the Court was being called upon to determine the compatibility with the Convention of the measure at issue and not the facts of the case examined by the national courts. They considered that the measure, namely the combination of the entrance examination and the restriction based on “society</w:t>
      </w:r>
      <w:r w:rsidR="006545FA">
        <w:t>’</w:t>
      </w:r>
      <w:r>
        <w:t xml:space="preserve">s need for a particular profession” (and not the </w:t>
      </w:r>
      <w:proofErr w:type="spellStart"/>
      <w:r w:rsidRPr="00CE7C6F">
        <w:rPr>
          <w:i/>
        </w:rPr>
        <w:t>numerus</w:t>
      </w:r>
      <w:proofErr w:type="spellEnd"/>
      <w:r w:rsidRPr="00CE7C6F">
        <w:rPr>
          <w:i/>
        </w:rPr>
        <w:t xml:space="preserve"> </w:t>
      </w:r>
      <w:proofErr w:type="spellStart"/>
      <w:r w:rsidRPr="00CE7C6F">
        <w:rPr>
          <w:i/>
        </w:rPr>
        <w:t>clausus</w:t>
      </w:r>
      <w:proofErr w:type="spellEnd"/>
      <w:r>
        <w:t xml:space="preserve"> </w:t>
      </w:r>
      <w:r w:rsidRPr="00980D4A">
        <w:rPr>
          <w:i/>
        </w:rPr>
        <w:t>per se</w:t>
      </w:r>
      <w:r>
        <w:t>), was not proportionate given the aims pursued.</w:t>
      </w:r>
    </w:p>
    <w:p w:rsidR="004C568D" w:rsidP="004C568D" w:rsidRDefault="004C568D">
      <w:pPr>
        <w:pStyle w:val="JuPara"/>
      </w:pPr>
      <w:r>
        <w:fldChar w:fldCharType="begin"/>
      </w:r>
      <w:r>
        <w:instrText xml:space="preserve"> SEQ level0 \*arabic </w:instrText>
      </w:r>
      <w:r>
        <w:fldChar w:fldCharType="separate"/>
      </w:r>
      <w:r>
        <w:rPr>
          <w:noProof/>
        </w:rPr>
        <w:t>39</w:t>
      </w:r>
      <w:r>
        <w:fldChar w:fldCharType="end"/>
      </w:r>
      <w:r>
        <w:t>.  </w:t>
      </w:r>
      <w:r w:rsidRPr="00C24964">
        <w:t xml:space="preserve">They </w:t>
      </w:r>
      <w:r>
        <w:t xml:space="preserve">further </w:t>
      </w:r>
      <w:r w:rsidRPr="00C24964">
        <w:t xml:space="preserve">contended that the existence of a </w:t>
      </w:r>
      <w:r>
        <w:t>professional</w:t>
      </w:r>
      <w:r w:rsidRPr="00C24964">
        <w:t xml:space="preserve"> exam </w:t>
      </w:r>
      <w:r>
        <w:t>devised</w:t>
      </w:r>
      <w:r w:rsidRPr="00C24964">
        <w:t xml:space="preserve"> to assess the adequate preparation of doctors and dentists following their</w:t>
      </w:r>
      <w:r>
        <w:t xml:space="preserve"> tertiary</w:t>
      </w:r>
      <w:r w:rsidRPr="00C24964">
        <w:t xml:space="preserve"> studies made it unnecessary to restrict prior access to </w:t>
      </w:r>
      <w:r>
        <w:t>u</w:t>
      </w:r>
      <w:r w:rsidRPr="00C24964">
        <w:t>niversity.</w:t>
      </w:r>
      <w:r>
        <w:t xml:space="preserve"> Moreover, the entrance examination consisted of a multiple-choice questionnaire and was therefore only adequate to assess </w:t>
      </w:r>
      <w:proofErr w:type="spellStart"/>
      <w:r>
        <w:t>sciolistic</w:t>
      </w:r>
      <w:proofErr w:type="spellEnd"/>
      <w:r>
        <w:t xml:space="preserve"> notions and not one</w:t>
      </w:r>
      <w:r w:rsidR="006545FA">
        <w:t>’</w:t>
      </w:r>
      <w:r>
        <w:t>s natural disposition. They contended that it was random, inadequate and tainted by numerous episodes of corruption and errors in formulating questions. They contended that most of the applicants had obtained a distinction in their other degrees and that their failure to pass the entrance examination was not attributable to their lack of preparation but to the low quota established. They cited as an example the examination in</w:t>
      </w:r>
      <w:r w:rsidRPr="008A409B">
        <w:t xml:space="preserve"> </w:t>
      </w:r>
      <w:r>
        <w:t>dentistry in 2010, where, for every place available, there were twenty-six candidates.</w:t>
      </w:r>
    </w:p>
    <w:p w:rsidRPr="00E73B86" w:rsidR="004C568D" w:rsidP="004C568D" w:rsidRDefault="004C568D">
      <w:pPr>
        <w:pStyle w:val="JuHa0"/>
      </w:pPr>
      <w:r>
        <w:t>(b)  The Government</w:t>
      </w:r>
    </w:p>
    <w:p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40</w:t>
      </w:r>
      <w:r w:rsidRPr="00E73B86">
        <w:fldChar w:fldCharType="end"/>
      </w:r>
      <w:r w:rsidRPr="00E73B86">
        <w:t xml:space="preserve">.  The Government </w:t>
      </w:r>
      <w:r>
        <w:t xml:space="preserve">submitted that in principle it was not incompatible with Article 2 of Protocol No. 1 to limit admission to university studies, bearing in mind the available resources and the aim of achieving high levels of professionalism, particularly in respect of critical professions such as those in the medical field. Thus, the application of a </w:t>
      </w:r>
      <w:proofErr w:type="spellStart"/>
      <w:r w:rsidRPr="00EB00E9">
        <w:rPr>
          <w:i/>
        </w:rPr>
        <w:t>numerus</w:t>
      </w:r>
      <w:proofErr w:type="spellEnd"/>
      <w:r w:rsidRPr="00EB00E9">
        <w:rPr>
          <w:i/>
        </w:rPr>
        <w:t xml:space="preserve"> </w:t>
      </w:r>
      <w:proofErr w:type="spellStart"/>
      <w:r w:rsidRPr="00EB00E9">
        <w:rPr>
          <w:i/>
        </w:rPr>
        <w:t>clausus</w:t>
      </w:r>
      <w:proofErr w:type="spellEnd"/>
      <w:r>
        <w:t xml:space="preserve"> could not breach the said provision if it were reasonable and in the general interest of society. The matter fell within the wide margin of appreciation of the State.</w:t>
      </w:r>
    </w:p>
    <w:p w:rsidR="004C568D" w:rsidP="004C568D" w:rsidRDefault="004C568D">
      <w:pPr>
        <w:pStyle w:val="JuPara"/>
      </w:pPr>
      <w:r>
        <w:fldChar w:fldCharType="begin"/>
      </w:r>
      <w:r>
        <w:instrText xml:space="preserve"> SEQ level0 \*arabic </w:instrText>
      </w:r>
      <w:r>
        <w:fldChar w:fldCharType="separate"/>
      </w:r>
      <w:r>
        <w:rPr>
          <w:noProof/>
        </w:rPr>
        <w:t>41</w:t>
      </w:r>
      <w:r>
        <w:fldChar w:fldCharType="end"/>
      </w:r>
      <w:r>
        <w:t>.  In the present case the State had opted for a selection process based on an aptitude test, which provided for an objective assessment allowing the best candidates to benefit from the limited number of places available. They further considered that the AA</w:t>
      </w:r>
      <w:r w:rsidR="006545FA">
        <w:t>’</w:t>
      </w:r>
      <w:r>
        <w:t>s recommendation did not concern the general aspects justifying the measure. Moreover, the Government submitted that it was not for the Court to examine the facts which lead the domestic courts to take one particular decision as opposed to another.</w:t>
      </w:r>
    </w:p>
    <w:p w:rsidR="004C568D" w:rsidP="004C568D" w:rsidRDefault="004C568D">
      <w:pPr>
        <w:pStyle w:val="JuPara"/>
      </w:pPr>
      <w:r>
        <w:fldChar w:fldCharType="begin"/>
      </w:r>
      <w:r>
        <w:instrText xml:space="preserve"> SEQ level0 \*arabic </w:instrText>
      </w:r>
      <w:r>
        <w:fldChar w:fldCharType="separate"/>
      </w:r>
      <w:r>
        <w:rPr>
          <w:noProof/>
        </w:rPr>
        <w:t>42</w:t>
      </w:r>
      <w:r>
        <w:fldChar w:fldCharType="end"/>
      </w:r>
      <w:r>
        <w:t>.   The Government further considered that the eighth applicant</w:t>
      </w:r>
      <w:r w:rsidR="006545FA">
        <w:t>’</w:t>
      </w:r>
      <w:r>
        <w:t>s situation was in accordance with pre-established regulations.</w:t>
      </w:r>
    </w:p>
    <w:p w:rsidR="004C568D" w:rsidP="004C568D" w:rsidRDefault="004C568D">
      <w:pPr>
        <w:pStyle w:val="JuH1"/>
      </w:pPr>
      <w:r>
        <w:t>2.  The Court</w:t>
      </w:r>
      <w:r w:rsidR="006545FA">
        <w:t>’</w:t>
      </w:r>
      <w:r>
        <w:t>s assessment</w:t>
      </w:r>
    </w:p>
    <w:p w:rsidR="004C568D" w:rsidP="004C568D" w:rsidRDefault="004C568D">
      <w:pPr>
        <w:pStyle w:val="JuHa0"/>
      </w:pPr>
      <w:r>
        <w:t>(a)  General principles</w:t>
      </w:r>
    </w:p>
    <w:p w:rsidR="004C568D" w:rsidP="004C568D" w:rsidRDefault="004C568D">
      <w:pPr>
        <w:pStyle w:val="JuPara"/>
        <w:rPr>
          <w:szCs w:val="24"/>
          <w:lang w:eastAsia="en-US"/>
        </w:rPr>
      </w:pPr>
      <w:r>
        <w:rPr>
          <w:szCs w:val="24"/>
        </w:rPr>
        <w:fldChar w:fldCharType="begin"/>
      </w:r>
      <w:r>
        <w:rPr>
          <w:szCs w:val="24"/>
        </w:rPr>
        <w:instrText xml:space="preserve"> SEQ level0 \*arabic </w:instrText>
      </w:r>
      <w:r>
        <w:rPr>
          <w:szCs w:val="24"/>
        </w:rPr>
        <w:fldChar w:fldCharType="separate"/>
      </w:r>
      <w:r>
        <w:rPr>
          <w:noProof/>
          <w:szCs w:val="24"/>
        </w:rPr>
        <w:t>43</w:t>
      </w:r>
      <w:r>
        <w:rPr>
          <w:szCs w:val="24"/>
        </w:rPr>
        <w:fldChar w:fldCharType="end"/>
      </w:r>
      <w:r>
        <w:rPr>
          <w:szCs w:val="24"/>
        </w:rPr>
        <w:t>.  </w:t>
      </w:r>
      <w:r w:rsidRPr="00763388">
        <w:rPr>
          <w:szCs w:val="24"/>
        </w:rPr>
        <w:t xml:space="preserve">The Court </w:t>
      </w:r>
      <w:r>
        <w:rPr>
          <w:szCs w:val="24"/>
        </w:rPr>
        <w:t>reiterates</w:t>
      </w:r>
      <w:r w:rsidRPr="00763388">
        <w:rPr>
          <w:szCs w:val="24"/>
        </w:rPr>
        <w:t xml:space="preserve"> </w:t>
      </w:r>
      <w:r>
        <w:rPr>
          <w:szCs w:val="24"/>
        </w:rPr>
        <w:t xml:space="preserve">that </w:t>
      </w:r>
      <w:r w:rsidRPr="00763388">
        <w:rPr>
          <w:szCs w:val="24"/>
        </w:rPr>
        <w:t xml:space="preserve">the guarantees of Article </w:t>
      </w:r>
      <w:r>
        <w:rPr>
          <w:szCs w:val="24"/>
        </w:rPr>
        <w:t>2 of Protocol No. 1</w:t>
      </w:r>
      <w:r w:rsidRPr="003E732A">
        <w:rPr>
          <w:szCs w:val="24"/>
        </w:rPr>
        <w:t xml:space="preserve"> </w:t>
      </w:r>
      <w:r>
        <w:rPr>
          <w:szCs w:val="24"/>
        </w:rPr>
        <w:t xml:space="preserve">apply </w:t>
      </w:r>
      <w:r w:rsidRPr="00763388">
        <w:rPr>
          <w:szCs w:val="24"/>
        </w:rPr>
        <w:t>to existing institutions of higher education within the member States of the Council of Europe</w:t>
      </w:r>
      <w:r>
        <w:rPr>
          <w:szCs w:val="24"/>
        </w:rPr>
        <w:t xml:space="preserve"> and that </w:t>
      </w:r>
      <w:r w:rsidRPr="00763388">
        <w:rPr>
          <w:szCs w:val="24"/>
        </w:rPr>
        <w:t xml:space="preserve">access to any institution of higher education existing at a given time is an inherent part of the right set out in the first sentence </w:t>
      </w:r>
      <w:r>
        <w:rPr>
          <w:szCs w:val="24"/>
        </w:rPr>
        <w:t xml:space="preserve">of Article 2 of Protocol No. 1 </w:t>
      </w:r>
      <w:r w:rsidRPr="00763388">
        <w:rPr>
          <w:szCs w:val="24"/>
        </w:rPr>
        <w:t>(</w:t>
      </w:r>
      <w:r>
        <w:rPr>
          <w:szCs w:val="24"/>
        </w:rPr>
        <w:t xml:space="preserve">see </w:t>
      </w:r>
      <w:r w:rsidRPr="00763388">
        <w:rPr>
          <w:i/>
          <w:szCs w:val="24"/>
          <w:lang w:eastAsia="en-US"/>
        </w:rPr>
        <w:t xml:space="preserve">Leyla </w:t>
      </w:r>
      <w:proofErr w:type="spellStart"/>
      <w:r w:rsidRPr="00763388">
        <w:rPr>
          <w:i/>
          <w:szCs w:val="24"/>
          <w:lang w:eastAsia="en-US"/>
        </w:rPr>
        <w:t>Şahin</w:t>
      </w:r>
      <w:proofErr w:type="spellEnd"/>
      <w:r w:rsidRPr="00763388">
        <w:rPr>
          <w:i/>
          <w:szCs w:val="24"/>
          <w:lang w:eastAsia="en-US"/>
        </w:rPr>
        <w:t xml:space="preserve"> v. Turkey </w:t>
      </w:r>
      <w:r w:rsidRPr="00763388">
        <w:rPr>
          <w:szCs w:val="24"/>
          <w:lang w:eastAsia="en-US"/>
        </w:rPr>
        <w:t>[GC], no. 44</w:t>
      </w:r>
      <w:r>
        <w:rPr>
          <w:szCs w:val="24"/>
          <w:lang w:eastAsia="en-US"/>
        </w:rPr>
        <w:t xml:space="preserve">774/98, §§ 134-42, ECHR 2005-XI, and </w:t>
      </w:r>
      <w:proofErr w:type="spellStart"/>
      <w:r>
        <w:rPr>
          <w:i/>
          <w:szCs w:val="24"/>
          <w:lang w:eastAsia="en-US"/>
        </w:rPr>
        <w:t>Mürsel</w:t>
      </w:r>
      <w:proofErr w:type="spellEnd"/>
      <w:r>
        <w:rPr>
          <w:i/>
          <w:szCs w:val="24"/>
          <w:lang w:eastAsia="en-US"/>
        </w:rPr>
        <w:t xml:space="preserve"> </w:t>
      </w:r>
      <w:proofErr w:type="spellStart"/>
      <w:r>
        <w:rPr>
          <w:i/>
          <w:szCs w:val="24"/>
          <w:lang w:eastAsia="en-US"/>
        </w:rPr>
        <w:t>Eren</w:t>
      </w:r>
      <w:proofErr w:type="spellEnd"/>
      <w:r>
        <w:rPr>
          <w:i/>
          <w:szCs w:val="24"/>
          <w:lang w:eastAsia="en-US"/>
        </w:rPr>
        <w:t xml:space="preserve"> v. </w:t>
      </w:r>
      <w:r w:rsidRPr="00763388">
        <w:rPr>
          <w:i/>
          <w:szCs w:val="24"/>
          <w:lang w:eastAsia="en-US"/>
        </w:rPr>
        <w:t>Turkey</w:t>
      </w:r>
      <w:r w:rsidRPr="00763388">
        <w:rPr>
          <w:szCs w:val="24"/>
          <w:lang w:eastAsia="en-US"/>
        </w:rPr>
        <w:t>, no. 60856/00, § 41, ECHR 2006</w:t>
      </w:r>
      <w:r w:rsidRPr="00763388">
        <w:rPr>
          <w:szCs w:val="24"/>
          <w:lang w:eastAsia="en-US"/>
        </w:rPr>
        <w:noBreakHyphen/>
        <w:t>II).</w:t>
      </w:r>
    </w:p>
    <w:p w:rsidRPr="00DC47BF" w:rsidR="004C568D" w:rsidP="004C568D" w:rsidRDefault="004C568D">
      <w:pPr>
        <w:pStyle w:val="JuPara"/>
        <w:rPr>
          <w:i/>
          <w:lang w:eastAsia="en-US"/>
        </w:rPr>
      </w:pPr>
      <w:r>
        <w:rPr>
          <w:szCs w:val="24"/>
        </w:rPr>
        <w:fldChar w:fldCharType="begin"/>
      </w:r>
      <w:r>
        <w:rPr>
          <w:szCs w:val="24"/>
        </w:rPr>
        <w:instrText xml:space="preserve"> SEQ level0 \*arabic </w:instrText>
      </w:r>
      <w:r>
        <w:rPr>
          <w:szCs w:val="24"/>
        </w:rPr>
        <w:fldChar w:fldCharType="separate"/>
      </w:r>
      <w:r>
        <w:rPr>
          <w:noProof/>
          <w:szCs w:val="24"/>
        </w:rPr>
        <w:t>44</w:t>
      </w:r>
      <w:r>
        <w:rPr>
          <w:szCs w:val="24"/>
        </w:rPr>
        <w:fldChar w:fldCharType="end"/>
      </w:r>
      <w:r>
        <w:rPr>
          <w:szCs w:val="24"/>
        </w:rPr>
        <w:t>.  </w:t>
      </w:r>
      <w:r>
        <w:rPr>
          <w:rStyle w:val="sb8d990e2"/>
        </w:rPr>
        <w:t>In spite of its importance, this right is not, however, absolute, but may be subject to limitations; these are permitted by implication since the right of access “by its very nature calls for regulation by the State” (see “C</w:t>
      </w:r>
      <w:r>
        <w:rPr>
          <w:rStyle w:val="ju--005fpara----char--char"/>
          <w:i/>
          <w:iCs/>
        </w:rPr>
        <w:t xml:space="preserve">ase relating to certain aspects of the laws on the use of languages in education in Belgium” v. Belgium </w:t>
      </w:r>
      <w:r>
        <w:rPr>
          <w:rStyle w:val="ju--005fpara----char--char"/>
          <w:iCs/>
        </w:rPr>
        <w:t>(</w:t>
      </w:r>
      <w:r>
        <w:rPr>
          <w:rStyle w:val="ju--005fpara----char--char"/>
          <w:i/>
          <w:iCs/>
        </w:rPr>
        <w:t>(Merits)</w:t>
      </w:r>
      <w:r>
        <w:t>, 23 July 1968, Series A no. 6</w:t>
      </w:r>
      <w:r>
        <w:rPr>
          <w:szCs w:val="24"/>
        </w:rPr>
        <w:t>)</w:t>
      </w:r>
      <w:r>
        <w:rPr>
          <w:rStyle w:val="sb8d990e2"/>
        </w:rPr>
        <w:t xml:space="preserve">). Admittedly, the regulation of educational institutions may vary in time and in place, </w:t>
      </w:r>
      <w:r w:rsidRPr="00145722">
        <w:rPr>
          <w:rStyle w:val="s6b621b36"/>
          <w:i/>
        </w:rPr>
        <w:t>inter alia</w:t>
      </w:r>
      <w:r>
        <w:rPr>
          <w:rStyle w:val="sb8d990e2"/>
        </w:rPr>
        <w:t>, according to the needs and resources of the community and the distinctive features of different levels of education. Consequently, the Contracting States enjoy a certain margin of appreciation in this sphere, although the final decision as to the observance of the Convention</w:t>
      </w:r>
      <w:r w:rsidR="006545FA">
        <w:rPr>
          <w:rStyle w:val="sb8d990e2"/>
        </w:rPr>
        <w:t>’</w:t>
      </w:r>
      <w:r>
        <w:rPr>
          <w:rStyle w:val="sb8d990e2"/>
        </w:rPr>
        <w:t>s requirements rests with the Court</w:t>
      </w:r>
      <w:bookmarkStart w:name="File22" w:id="3"/>
      <w:r>
        <w:rPr>
          <w:rStyle w:val="sb8d990e2"/>
        </w:rPr>
        <w:t xml:space="preserve"> (see </w:t>
      </w:r>
      <w:r w:rsidRPr="00763388">
        <w:rPr>
          <w:i/>
          <w:szCs w:val="24"/>
          <w:lang w:eastAsia="en-US"/>
        </w:rPr>
        <w:t xml:space="preserve">Leyla </w:t>
      </w:r>
      <w:proofErr w:type="spellStart"/>
      <w:r w:rsidRPr="00763388">
        <w:rPr>
          <w:i/>
          <w:szCs w:val="24"/>
          <w:lang w:eastAsia="en-US"/>
        </w:rPr>
        <w:t>Şahin</w:t>
      </w:r>
      <w:proofErr w:type="spellEnd"/>
      <w:r>
        <w:rPr>
          <w:szCs w:val="24"/>
          <w:lang w:eastAsia="en-US"/>
        </w:rPr>
        <w:t>,</w:t>
      </w:r>
      <w:r w:rsidRPr="00145722">
        <w:rPr>
          <w:szCs w:val="24"/>
          <w:lang w:eastAsia="en-US"/>
        </w:rPr>
        <w:t xml:space="preserve"> </w:t>
      </w:r>
      <w:r>
        <w:rPr>
          <w:szCs w:val="24"/>
          <w:lang w:eastAsia="en-US"/>
        </w:rPr>
        <w:t>[GC],</w:t>
      </w:r>
      <w:r w:rsidRPr="00763388">
        <w:rPr>
          <w:i/>
          <w:szCs w:val="24"/>
          <w:lang w:eastAsia="en-US"/>
        </w:rPr>
        <w:t xml:space="preserve"> </w:t>
      </w:r>
      <w:r>
        <w:rPr>
          <w:szCs w:val="24"/>
          <w:lang w:eastAsia="en-US"/>
        </w:rPr>
        <w:t xml:space="preserve">cited above, § 154, and </w:t>
      </w:r>
      <w:r w:rsidRPr="00DC47BF">
        <w:rPr>
          <w:i/>
          <w:lang w:eastAsia="en-US"/>
        </w:rPr>
        <w:t>Ali</w:t>
      </w:r>
      <w:bookmarkEnd w:id="3"/>
      <w:r w:rsidRPr="00DC47BF">
        <w:rPr>
          <w:i/>
          <w:lang w:eastAsia="en-US"/>
        </w:rPr>
        <w:t xml:space="preserve"> v. the </w:t>
      </w:r>
      <w:smartTag w:uri="urn:schemas-microsoft-com:office:smarttags" w:element="place">
        <w:smartTag w:uri="urn:schemas-microsoft-com:office:smarttags" w:element="country-region">
          <w:r w:rsidRPr="00DC47BF">
            <w:rPr>
              <w:i/>
              <w:lang w:eastAsia="en-US"/>
            </w:rPr>
            <w:t>United Kingdom</w:t>
          </w:r>
        </w:smartTag>
      </w:smartTag>
      <w:r w:rsidRPr="00DC47BF">
        <w:rPr>
          <w:lang w:eastAsia="en-US"/>
        </w:rPr>
        <w:t>, no. 40385/06</w:t>
      </w:r>
      <w:r>
        <w:rPr>
          <w:snapToGrid w:val="0"/>
          <w:lang w:val="pt-BR" w:eastAsia="en-US"/>
        </w:rPr>
        <w:t>, § 53</w:t>
      </w:r>
      <w:r w:rsidRPr="00DC47BF">
        <w:rPr>
          <w:snapToGrid w:val="0"/>
          <w:lang w:val="pt-BR" w:eastAsia="en-US"/>
        </w:rPr>
        <w:t xml:space="preserve">, 11 </w:t>
      </w:r>
      <w:proofErr w:type="spellStart"/>
      <w:r w:rsidRPr="00DC47BF">
        <w:rPr>
          <w:snapToGrid w:val="0"/>
          <w:lang w:val="pt-BR" w:eastAsia="en-US"/>
        </w:rPr>
        <w:t>January</w:t>
      </w:r>
      <w:proofErr w:type="spellEnd"/>
      <w:r w:rsidRPr="00DC47BF">
        <w:rPr>
          <w:snapToGrid w:val="0"/>
          <w:lang w:val="pt-BR" w:eastAsia="en-US"/>
        </w:rPr>
        <w:t xml:space="preserve"> 2011</w:t>
      </w:r>
      <w:r>
        <w:rPr>
          <w:snapToGrid w:val="0"/>
          <w:lang w:val="pt-BR" w:eastAsia="en-US"/>
        </w:rPr>
        <w:t>)</w:t>
      </w:r>
      <w:r>
        <w:rPr>
          <w:rStyle w:val="sb8d990e2"/>
        </w:rPr>
        <w:t>.</w:t>
      </w:r>
    </w:p>
    <w:p w:rsidR="004C568D" w:rsidP="004C568D" w:rsidRDefault="004C568D">
      <w:pPr>
        <w:pStyle w:val="JuPara"/>
        <w:rPr>
          <w:szCs w:val="24"/>
          <w:lang w:eastAsia="en-US"/>
        </w:rPr>
      </w:pPr>
      <w:r>
        <w:rPr>
          <w:szCs w:val="24"/>
        </w:rPr>
        <w:fldChar w:fldCharType="begin"/>
      </w:r>
      <w:r>
        <w:rPr>
          <w:szCs w:val="24"/>
        </w:rPr>
        <w:instrText xml:space="preserve"> SEQ level0 \*arabic </w:instrText>
      </w:r>
      <w:r>
        <w:rPr>
          <w:szCs w:val="24"/>
        </w:rPr>
        <w:fldChar w:fldCharType="separate"/>
      </w:r>
      <w:r>
        <w:rPr>
          <w:noProof/>
          <w:szCs w:val="24"/>
        </w:rPr>
        <w:t>45</w:t>
      </w:r>
      <w:r>
        <w:rPr>
          <w:szCs w:val="24"/>
        </w:rPr>
        <w:fldChar w:fldCharType="end"/>
      </w:r>
      <w:r>
        <w:rPr>
          <w:szCs w:val="24"/>
        </w:rPr>
        <w:t>.  </w:t>
      </w:r>
      <w:r w:rsidRPr="00763388">
        <w:rPr>
          <w:szCs w:val="24"/>
        </w:rPr>
        <w:t xml:space="preserve">In order to ensure that the restrictions that are imposed do not curtail the right in question to such an extent as to impair its very essence and deprive it of its effectiveness, the Court must satisfy itself that they are foreseeable for those concerned and </w:t>
      </w:r>
      <w:bookmarkStart w:name="OLE_LINK4" w:id="4"/>
      <w:bookmarkStart w:name="OLE_LINK5" w:id="5"/>
      <w:r w:rsidRPr="00763388">
        <w:rPr>
          <w:szCs w:val="24"/>
        </w:rPr>
        <w:t>pursue a legitimate aim</w:t>
      </w:r>
      <w:bookmarkEnd w:id="4"/>
      <w:bookmarkEnd w:id="5"/>
      <w:r w:rsidRPr="00763388">
        <w:rPr>
          <w:szCs w:val="24"/>
        </w:rPr>
        <w:t>. However, unlike the position with respect to Articles 8 to 11 of the Convention, it is not bound by an exhaustive list of “legitimate aims” under Article 2 of Protocol No. 1</w:t>
      </w:r>
      <w:r>
        <w:rPr>
          <w:szCs w:val="24"/>
        </w:rPr>
        <w:t xml:space="preserve">. </w:t>
      </w:r>
      <w:r w:rsidRPr="00763388">
        <w:rPr>
          <w:szCs w:val="24"/>
        </w:rPr>
        <w:t>Furthermore, a limitation will only be compatible with Article 2 of Protocol No. 1 if there is a reasonable relationship of proportionality between the means employed and the aim sought to be achieved</w:t>
      </w:r>
      <w:r>
        <w:rPr>
          <w:szCs w:val="24"/>
        </w:rPr>
        <w:t xml:space="preserve"> (see </w:t>
      </w:r>
      <w:r w:rsidRPr="00763388">
        <w:rPr>
          <w:i/>
          <w:szCs w:val="24"/>
          <w:lang w:eastAsia="en-US"/>
        </w:rPr>
        <w:t xml:space="preserve">Leyla </w:t>
      </w:r>
      <w:proofErr w:type="spellStart"/>
      <w:r w:rsidRPr="00763388">
        <w:rPr>
          <w:i/>
          <w:szCs w:val="24"/>
          <w:lang w:eastAsia="en-US"/>
        </w:rPr>
        <w:t>Şahin</w:t>
      </w:r>
      <w:proofErr w:type="spellEnd"/>
      <w:r w:rsidRPr="00763388">
        <w:rPr>
          <w:szCs w:val="24"/>
          <w:lang w:eastAsia="en-US"/>
        </w:rPr>
        <w:t>,</w:t>
      </w:r>
      <w:r>
        <w:rPr>
          <w:szCs w:val="24"/>
          <w:lang w:eastAsia="en-US"/>
        </w:rPr>
        <w:t xml:space="preserve"> </w:t>
      </w:r>
      <w:r w:rsidRPr="00763388">
        <w:rPr>
          <w:szCs w:val="24"/>
          <w:lang w:eastAsia="en-US"/>
        </w:rPr>
        <w:t xml:space="preserve">[GC], </w:t>
      </w:r>
      <w:r>
        <w:rPr>
          <w:szCs w:val="24"/>
          <w:lang w:eastAsia="en-US"/>
        </w:rPr>
        <w:t>cited above, § 154</w:t>
      </w:r>
      <w:r w:rsidRPr="00763388">
        <w:rPr>
          <w:szCs w:val="24"/>
          <w:lang w:eastAsia="en-US"/>
        </w:rPr>
        <w:t>).</w:t>
      </w:r>
    </w:p>
    <w:p w:rsidR="004C568D" w:rsidP="004C568D" w:rsidRDefault="004C568D">
      <w:pPr>
        <w:pStyle w:val="JuPara"/>
        <w:rPr>
          <w:szCs w:val="24"/>
        </w:rPr>
      </w:pPr>
      <w:r>
        <w:rPr>
          <w:szCs w:val="24"/>
          <w:lang w:eastAsia="en-US"/>
        </w:rPr>
        <w:fldChar w:fldCharType="begin"/>
      </w:r>
      <w:r>
        <w:rPr>
          <w:szCs w:val="24"/>
          <w:lang w:eastAsia="en-US"/>
        </w:rPr>
        <w:instrText xml:space="preserve"> SEQ level0 \*arabic </w:instrText>
      </w:r>
      <w:r>
        <w:rPr>
          <w:szCs w:val="24"/>
          <w:lang w:eastAsia="en-US"/>
        </w:rPr>
        <w:fldChar w:fldCharType="separate"/>
      </w:r>
      <w:r>
        <w:rPr>
          <w:noProof/>
          <w:szCs w:val="24"/>
          <w:lang w:eastAsia="en-US"/>
        </w:rPr>
        <w:t>46</w:t>
      </w:r>
      <w:r>
        <w:rPr>
          <w:szCs w:val="24"/>
          <w:lang w:eastAsia="en-US"/>
        </w:rPr>
        <w:fldChar w:fldCharType="end"/>
      </w:r>
      <w:r>
        <w:rPr>
          <w:szCs w:val="24"/>
          <w:lang w:eastAsia="en-US"/>
        </w:rPr>
        <w:t xml:space="preserve">.  The Court notes that </w:t>
      </w:r>
      <w:r>
        <w:t xml:space="preserve">Article 2 of Protocol No. 1 in any event permits limiting admission to universities to those who duly applied for entrance and passed the examination (see </w:t>
      </w:r>
      <w:proofErr w:type="spellStart"/>
      <w:r w:rsidRPr="00B65D0A">
        <w:rPr>
          <w:i/>
        </w:rPr>
        <w:t>Lukach</w:t>
      </w:r>
      <w:proofErr w:type="spellEnd"/>
      <w:r w:rsidRPr="00B65D0A">
        <w:rPr>
          <w:i/>
        </w:rPr>
        <w:t xml:space="preserve"> v</w:t>
      </w:r>
      <w:r>
        <w:rPr>
          <w:i/>
        </w:rPr>
        <w:t>.</w:t>
      </w:r>
      <w:r w:rsidRPr="00B65D0A">
        <w:rPr>
          <w:i/>
        </w:rPr>
        <w:t xml:space="preserve"> </w:t>
      </w:r>
      <w:smartTag w:uri="urn:schemas-microsoft-com:office:smarttags" w:element="place">
        <w:smartTag w:uri="urn:schemas-microsoft-com:office:smarttags" w:element="country-region">
          <w:r w:rsidRPr="00B65D0A">
            <w:rPr>
              <w:i/>
            </w:rPr>
            <w:t>Russia</w:t>
          </w:r>
        </w:smartTag>
      </w:smartTag>
      <w:r>
        <w:t xml:space="preserve"> (</w:t>
      </w:r>
      <w:proofErr w:type="spellStart"/>
      <w:r>
        <w:t>dec.</w:t>
      </w:r>
      <w:proofErr w:type="spellEnd"/>
      <w:r>
        <w:t>), no. 48041/99, 16 November 1999).</w:t>
      </w:r>
    </w:p>
    <w:p w:rsidR="004C568D" w:rsidP="004C568D" w:rsidRDefault="004C568D">
      <w:pPr>
        <w:pStyle w:val="JuHa0"/>
      </w:pPr>
      <w:r>
        <w:t>(b)  Application to the present case regarding all the applicants</w:t>
      </w:r>
    </w:p>
    <w:p w:rsidR="004C568D" w:rsidP="004C568D" w:rsidRDefault="004C568D">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Pr>
          <w:noProof/>
          <w:szCs w:val="24"/>
          <w:lang w:eastAsia="en-US"/>
        </w:rPr>
        <w:t>47</w:t>
      </w:r>
      <w:r>
        <w:rPr>
          <w:szCs w:val="24"/>
          <w:lang w:eastAsia="en-US"/>
        </w:rPr>
        <w:fldChar w:fldCharType="end"/>
      </w:r>
      <w:r>
        <w:rPr>
          <w:szCs w:val="24"/>
          <w:lang w:eastAsia="en-US"/>
        </w:rPr>
        <w:t>.  </w:t>
      </w:r>
      <w:r w:rsidRPr="00A8050E">
        <w:rPr>
          <w:szCs w:val="24"/>
          <w:lang w:eastAsia="en-US"/>
        </w:rPr>
        <w:t xml:space="preserve">In the present case </w:t>
      </w:r>
      <w:r>
        <w:t>the Court accepts that</w:t>
      </w:r>
      <w:r>
        <w:rPr>
          <w:szCs w:val="24"/>
          <w:lang w:eastAsia="en-US"/>
        </w:rPr>
        <w:t xml:space="preserve"> the restrictions chosen by the Italian State, namely </w:t>
      </w:r>
      <w:r w:rsidRPr="00A8050E">
        <w:rPr>
          <w:szCs w:val="24"/>
          <w:lang w:eastAsia="en-US"/>
        </w:rPr>
        <w:t xml:space="preserve">the </w:t>
      </w:r>
      <w:r>
        <w:rPr>
          <w:szCs w:val="24"/>
          <w:lang w:eastAsia="en-US"/>
        </w:rPr>
        <w:t>entrance examination and</w:t>
      </w:r>
      <w:r w:rsidRPr="00A8050E">
        <w:rPr>
          <w:szCs w:val="24"/>
          <w:lang w:eastAsia="en-US"/>
        </w:rPr>
        <w:t xml:space="preserve"> the </w:t>
      </w:r>
      <w:proofErr w:type="spellStart"/>
      <w:r w:rsidRPr="00A8050E">
        <w:rPr>
          <w:i/>
          <w:szCs w:val="24"/>
          <w:lang w:eastAsia="en-US"/>
        </w:rPr>
        <w:t>numerus</w:t>
      </w:r>
      <w:proofErr w:type="spellEnd"/>
      <w:r w:rsidRPr="00A8050E">
        <w:rPr>
          <w:i/>
          <w:szCs w:val="24"/>
          <w:lang w:eastAsia="en-US"/>
        </w:rPr>
        <w:t xml:space="preserve"> </w:t>
      </w:r>
      <w:proofErr w:type="spellStart"/>
      <w:r w:rsidRPr="00A8050E">
        <w:rPr>
          <w:i/>
          <w:szCs w:val="24"/>
          <w:lang w:eastAsia="en-US"/>
        </w:rPr>
        <w:t>clausus</w:t>
      </w:r>
      <w:proofErr w:type="spellEnd"/>
      <w:r>
        <w:rPr>
          <w:i/>
          <w:szCs w:val="24"/>
          <w:lang w:eastAsia="en-US"/>
        </w:rPr>
        <w:t xml:space="preserve"> </w:t>
      </w:r>
      <w:r w:rsidRPr="006D3338">
        <w:rPr>
          <w:i/>
          <w:szCs w:val="24"/>
          <w:lang w:eastAsia="en-US"/>
        </w:rPr>
        <w:t>per se</w:t>
      </w:r>
      <w:r>
        <w:rPr>
          <w:szCs w:val="24"/>
          <w:lang w:eastAsia="en-US"/>
        </w:rPr>
        <w:t>,</w:t>
      </w:r>
      <w:r w:rsidRPr="00A8050E">
        <w:rPr>
          <w:szCs w:val="24"/>
          <w:lang w:eastAsia="en-US"/>
        </w:rPr>
        <w:t xml:space="preserve"> </w:t>
      </w:r>
      <w:r>
        <w:rPr>
          <w:szCs w:val="24"/>
          <w:lang w:eastAsia="en-US"/>
        </w:rPr>
        <w:t xml:space="preserve">were foreseeable, on the basis of </w:t>
      </w:r>
      <w:r>
        <w:t>Law no. 127/1997</w:t>
      </w:r>
      <w:r>
        <w:rPr>
          <w:szCs w:val="24"/>
        </w:rPr>
        <w:t xml:space="preserve"> and </w:t>
      </w:r>
      <w:r w:rsidRPr="00763388">
        <w:rPr>
          <w:szCs w:val="24"/>
        </w:rPr>
        <w:t>Law n</w:t>
      </w:r>
      <w:r>
        <w:rPr>
          <w:szCs w:val="24"/>
        </w:rPr>
        <w:t>o.</w:t>
      </w:r>
      <w:r w:rsidRPr="00763388">
        <w:rPr>
          <w:szCs w:val="24"/>
        </w:rPr>
        <w:t> 264/1999</w:t>
      </w:r>
      <w:r>
        <w:rPr>
          <w:szCs w:val="24"/>
        </w:rPr>
        <w:t xml:space="preserve">, enacted later, which gave further details as to the application of the </w:t>
      </w:r>
      <w:proofErr w:type="spellStart"/>
      <w:r w:rsidRPr="002C4B79">
        <w:rPr>
          <w:i/>
          <w:szCs w:val="24"/>
        </w:rPr>
        <w:t>numerus</w:t>
      </w:r>
      <w:proofErr w:type="spellEnd"/>
      <w:r w:rsidRPr="002C4B79">
        <w:rPr>
          <w:i/>
          <w:szCs w:val="24"/>
        </w:rPr>
        <w:t xml:space="preserve"> </w:t>
      </w:r>
      <w:proofErr w:type="spellStart"/>
      <w:r w:rsidRPr="002C4B79">
        <w:rPr>
          <w:i/>
          <w:szCs w:val="24"/>
        </w:rPr>
        <w:t>clausus</w:t>
      </w:r>
      <w:proofErr w:type="spellEnd"/>
      <w:r>
        <w:rPr>
          <w:szCs w:val="24"/>
        </w:rPr>
        <w:t>.</w:t>
      </w:r>
    </w:p>
    <w:p w:rsidRPr="00BB226B" w:rsidR="004C568D" w:rsidP="004C568D" w:rsidRDefault="004C568D">
      <w:pPr>
        <w:pStyle w:val="JuPara"/>
        <w:rPr>
          <w:szCs w:val="24"/>
        </w:rPr>
      </w:pPr>
      <w:r>
        <w:rPr>
          <w:szCs w:val="24"/>
        </w:rPr>
        <w:fldChar w:fldCharType="begin"/>
      </w:r>
      <w:r>
        <w:rPr>
          <w:szCs w:val="24"/>
        </w:rPr>
        <w:instrText xml:space="preserve"> SEQ level0 \*arabic </w:instrText>
      </w:r>
      <w:r>
        <w:rPr>
          <w:szCs w:val="24"/>
        </w:rPr>
        <w:fldChar w:fldCharType="separate"/>
      </w:r>
      <w:r>
        <w:rPr>
          <w:noProof/>
          <w:szCs w:val="24"/>
        </w:rPr>
        <w:t>48</w:t>
      </w:r>
      <w:r>
        <w:rPr>
          <w:szCs w:val="24"/>
        </w:rPr>
        <w:fldChar w:fldCharType="end"/>
      </w:r>
      <w:r>
        <w:rPr>
          <w:szCs w:val="24"/>
        </w:rPr>
        <w:t xml:space="preserve">.  The Court further considers that </w:t>
      </w:r>
      <w:r>
        <w:rPr>
          <w:szCs w:val="24"/>
          <w:lang w:eastAsia="en-US"/>
        </w:rPr>
        <w:t>these restrictions</w:t>
      </w:r>
      <w:r w:rsidRPr="00834BD9">
        <w:rPr>
          <w:szCs w:val="24"/>
          <w:lang w:eastAsia="en-US"/>
        </w:rPr>
        <w:t xml:space="preserve"> </w:t>
      </w:r>
      <w:r>
        <w:rPr>
          <w:szCs w:val="24"/>
          <w:lang w:eastAsia="en-US"/>
        </w:rPr>
        <w:t xml:space="preserve">conform to the legitimate aim </w:t>
      </w:r>
      <w:r>
        <w:t>of achieving high levels of professionalism,</w:t>
      </w:r>
      <w:r>
        <w:rPr>
          <w:szCs w:val="24"/>
          <w:lang w:eastAsia="en-US"/>
        </w:rPr>
        <w:t xml:space="preserve"> by ensuring a minimum and</w:t>
      </w:r>
      <w:r w:rsidRPr="00A8050E">
        <w:rPr>
          <w:szCs w:val="24"/>
          <w:lang w:eastAsia="en-US"/>
        </w:rPr>
        <w:t xml:space="preserve"> adequate </w:t>
      </w:r>
      <w:r>
        <w:rPr>
          <w:szCs w:val="24"/>
          <w:lang w:eastAsia="en-US"/>
        </w:rPr>
        <w:t xml:space="preserve">education </w:t>
      </w:r>
      <w:r w:rsidRPr="00A8050E">
        <w:rPr>
          <w:szCs w:val="24"/>
          <w:lang w:eastAsia="en-US"/>
        </w:rPr>
        <w:t>level</w:t>
      </w:r>
      <w:r>
        <w:rPr>
          <w:szCs w:val="24"/>
          <w:lang w:eastAsia="en-US"/>
        </w:rPr>
        <w:t xml:space="preserve"> in universities in appropriate conditions, which is in the general interest.</w:t>
      </w:r>
    </w:p>
    <w:p w:rsidR="004C568D" w:rsidP="004C568D" w:rsidRDefault="004C568D">
      <w:pPr>
        <w:pStyle w:val="JuPara"/>
      </w:pPr>
      <w:r>
        <w:rPr>
          <w:szCs w:val="24"/>
        </w:rPr>
        <w:fldChar w:fldCharType="begin"/>
      </w:r>
      <w:r>
        <w:rPr>
          <w:szCs w:val="24"/>
        </w:rPr>
        <w:instrText xml:space="preserve"> SEQ level0 \*arabic </w:instrText>
      </w:r>
      <w:r>
        <w:rPr>
          <w:szCs w:val="24"/>
        </w:rPr>
        <w:fldChar w:fldCharType="separate"/>
      </w:r>
      <w:r>
        <w:rPr>
          <w:noProof/>
          <w:szCs w:val="24"/>
        </w:rPr>
        <w:t>49</w:t>
      </w:r>
      <w:r>
        <w:rPr>
          <w:szCs w:val="24"/>
        </w:rPr>
        <w:fldChar w:fldCharType="end"/>
      </w:r>
      <w:r>
        <w:rPr>
          <w:szCs w:val="24"/>
        </w:rPr>
        <w:t>.  As to the proportionality of the restrictions, in relation</w:t>
      </w:r>
      <w:r w:rsidRPr="00476C6B">
        <w:rPr>
          <w:szCs w:val="24"/>
        </w:rPr>
        <w:t xml:space="preserve"> </w:t>
      </w:r>
      <w:r>
        <w:rPr>
          <w:szCs w:val="24"/>
        </w:rPr>
        <w:t>firstly to the entrance examination, t</w:t>
      </w:r>
      <w:r>
        <w:t xml:space="preserve">he Court notes that assessing candidates through relevant tests in order to identify the most meritorious students is a proportionate measure designed to </w:t>
      </w:r>
      <w:r>
        <w:rPr>
          <w:szCs w:val="24"/>
          <w:lang w:eastAsia="en-US"/>
        </w:rPr>
        <w:t>ensure a minimum and</w:t>
      </w:r>
      <w:r w:rsidRPr="00A8050E">
        <w:rPr>
          <w:szCs w:val="24"/>
          <w:lang w:eastAsia="en-US"/>
        </w:rPr>
        <w:t xml:space="preserve"> adequate </w:t>
      </w:r>
      <w:r>
        <w:rPr>
          <w:szCs w:val="24"/>
          <w:lang w:eastAsia="en-US"/>
        </w:rPr>
        <w:t xml:space="preserve">education </w:t>
      </w:r>
      <w:r w:rsidRPr="00A8050E">
        <w:rPr>
          <w:szCs w:val="24"/>
          <w:lang w:eastAsia="en-US"/>
        </w:rPr>
        <w:t>level</w:t>
      </w:r>
      <w:r>
        <w:rPr>
          <w:szCs w:val="24"/>
          <w:lang w:eastAsia="en-US"/>
        </w:rPr>
        <w:t xml:space="preserve"> in the universities.</w:t>
      </w:r>
      <w:r>
        <w:t xml:space="preserve"> With regard to the content of the tests, albeit in a different context, the Court has held in </w:t>
      </w:r>
      <w:bookmarkStart w:name="File1" w:id="6"/>
      <w:proofErr w:type="spellStart"/>
      <w:r w:rsidRPr="00A06FAE">
        <w:rPr>
          <w:i/>
          <w:lang w:eastAsia="en-US"/>
        </w:rPr>
        <w:t>Kjeldsen</w:t>
      </w:r>
      <w:bookmarkEnd w:id="6"/>
      <w:proofErr w:type="spellEnd"/>
      <w:r w:rsidRPr="00A06FAE">
        <w:rPr>
          <w:i/>
          <w:iCs/>
          <w:lang w:eastAsia="en-US"/>
        </w:rPr>
        <w:t>,</w:t>
      </w:r>
      <w:r>
        <w:rPr>
          <w:i/>
          <w:lang w:eastAsia="en-US"/>
        </w:rPr>
        <w:t xml:space="preserve"> Busk Madsen and Pedersen v. </w:t>
      </w:r>
      <w:r w:rsidRPr="00A06FAE">
        <w:rPr>
          <w:i/>
          <w:lang w:eastAsia="en-US"/>
        </w:rPr>
        <w:t>Denmark</w:t>
      </w:r>
      <w:r>
        <w:rPr>
          <w:lang w:eastAsia="en-US"/>
        </w:rPr>
        <w:t xml:space="preserve"> (7 December 1976, § 53</w:t>
      </w:r>
      <w:r w:rsidRPr="00A06FAE">
        <w:rPr>
          <w:lang w:eastAsia="en-US"/>
        </w:rPr>
        <w:t>, Series A no. 23</w:t>
      </w:r>
      <w:r>
        <w:rPr>
          <w:iCs/>
          <w:lang w:eastAsia="en-US"/>
        </w:rPr>
        <w:t>)</w:t>
      </w:r>
      <w:r>
        <w:t xml:space="preserve"> </w:t>
      </w:r>
      <w:r w:rsidRPr="00F63D41">
        <w:t>that the setting and planning of the curriculum fall in principle within the competence of the Contracting States and it is not for the Court to rule on such matters. Similarly, the Court is not competent to decide on the content or appropriateness of the tests involved.</w:t>
      </w:r>
    </w:p>
    <w:p w:rsidR="004C568D" w:rsidP="004C568D" w:rsidRDefault="004C568D">
      <w:pPr>
        <w:pStyle w:val="JuPara"/>
      </w:pPr>
      <w:r>
        <w:fldChar w:fldCharType="begin"/>
      </w:r>
      <w:r>
        <w:instrText xml:space="preserve"> SEQ level0 \*arabic </w:instrText>
      </w:r>
      <w:r>
        <w:fldChar w:fldCharType="separate"/>
      </w:r>
      <w:r>
        <w:rPr>
          <w:noProof/>
        </w:rPr>
        <w:t>50</w:t>
      </w:r>
      <w:r>
        <w:fldChar w:fldCharType="end"/>
      </w:r>
      <w:r>
        <w:t>.  </w:t>
      </w:r>
      <w:r>
        <w:rPr>
          <w:szCs w:val="24"/>
        </w:rPr>
        <w:t xml:space="preserve">With regard to the </w:t>
      </w:r>
      <w:proofErr w:type="spellStart"/>
      <w:r w:rsidRPr="00B635BE">
        <w:rPr>
          <w:i/>
          <w:szCs w:val="24"/>
        </w:rPr>
        <w:t>numerus</w:t>
      </w:r>
      <w:proofErr w:type="spellEnd"/>
      <w:r w:rsidRPr="00B635BE">
        <w:rPr>
          <w:i/>
          <w:szCs w:val="24"/>
        </w:rPr>
        <w:t xml:space="preserve"> </w:t>
      </w:r>
      <w:proofErr w:type="spellStart"/>
      <w:r w:rsidRPr="00B635BE">
        <w:rPr>
          <w:i/>
          <w:szCs w:val="24"/>
        </w:rPr>
        <w:t>clausus</w:t>
      </w:r>
      <w:proofErr w:type="spellEnd"/>
      <w:r>
        <w:rPr>
          <w:szCs w:val="24"/>
        </w:rPr>
        <w:t xml:space="preserve">, the Court notes that the applicants complained in particular about the basis used for applying the </w:t>
      </w:r>
      <w:proofErr w:type="spellStart"/>
      <w:r w:rsidRPr="00B635BE">
        <w:rPr>
          <w:i/>
          <w:szCs w:val="24"/>
        </w:rPr>
        <w:t>numerus</w:t>
      </w:r>
      <w:proofErr w:type="spellEnd"/>
      <w:r w:rsidRPr="00B635BE">
        <w:rPr>
          <w:i/>
          <w:szCs w:val="24"/>
        </w:rPr>
        <w:t xml:space="preserve"> </w:t>
      </w:r>
      <w:proofErr w:type="spellStart"/>
      <w:r w:rsidRPr="00B635BE">
        <w:rPr>
          <w:i/>
          <w:szCs w:val="24"/>
        </w:rPr>
        <w:t>clausus</w:t>
      </w:r>
      <w:proofErr w:type="spellEnd"/>
      <w:r>
        <w:rPr>
          <w:szCs w:val="24"/>
        </w:rPr>
        <w:t>, namely the two criteria referring to a)</w:t>
      </w:r>
      <w:r w:rsidRPr="007E1D16">
        <w:rPr>
          <w:szCs w:val="24"/>
        </w:rPr>
        <w:t xml:space="preserve"> the </w:t>
      </w:r>
      <w:r>
        <w:rPr>
          <w:szCs w:val="24"/>
        </w:rPr>
        <w:t xml:space="preserve">capacity and resource potential </w:t>
      </w:r>
      <w:r w:rsidRPr="007E1D16">
        <w:rPr>
          <w:szCs w:val="24"/>
        </w:rPr>
        <w:t>of universities</w:t>
      </w:r>
      <w:r>
        <w:rPr>
          <w:szCs w:val="24"/>
        </w:rPr>
        <w:t>,</w:t>
      </w:r>
      <w:r w:rsidRPr="007E1D16">
        <w:rPr>
          <w:szCs w:val="24"/>
        </w:rPr>
        <w:t xml:space="preserve"> </w:t>
      </w:r>
      <w:r>
        <w:rPr>
          <w:szCs w:val="24"/>
        </w:rPr>
        <w:t>and</w:t>
      </w:r>
      <w:r w:rsidRPr="007E1D16">
        <w:rPr>
          <w:szCs w:val="24"/>
        </w:rPr>
        <w:t xml:space="preserve"> </w:t>
      </w:r>
      <w:r>
        <w:rPr>
          <w:szCs w:val="24"/>
        </w:rPr>
        <w:t>b) society</w:t>
      </w:r>
      <w:r w:rsidR="006545FA">
        <w:rPr>
          <w:szCs w:val="24"/>
        </w:rPr>
        <w:t>’</w:t>
      </w:r>
      <w:r>
        <w:rPr>
          <w:szCs w:val="24"/>
        </w:rPr>
        <w:t>s</w:t>
      </w:r>
      <w:r w:rsidRPr="007E1D16">
        <w:rPr>
          <w:szCs w:val="24"/>
        </w:rPr>
        <w:t xml:space="preserve"> </w:t>
      </w:r>
      <w:r>
        <w:rPr>
          <w:szCs w:val="24"/>
        </w:rPr>
        <w:t>need</w:t>
      </w:r>
      <w:r w:rsidRPr="007E1D16">
        <w:rPr>
          <w:szCs w:val="24"/>
        </w:rPr>
        <w:t xml:space="preserve"> </w:t>
      </w:r>
      <w:r>
        <w:rPr>
          <w:szCs w:val="24"/>
        </w:rPr>
        <w:t xml:space="preserve">for a particular profession. The Court considers that </w:t>
      </w:r>
      <w:r>
        <w:t xml:space="preserve">a balance must be struck between the individual interest of the applicants and those of society at large, including other students attending the university courses. </w:t>
      </w:r>
      <w:r w:rsidRPr="00762AEB">
        <w:t>The Court notes that the two criteria are in line with the Court</w:t>
      </w:r>
      <w:r w:rsidR="006545FA">
        <w:t>’</w:t>
      </w:r>
      <w:r w:rsidRPr="00762AEB">
        <w:t xml:space="preserve">s case-law holding that regulation of the right to education may vary according to the needs and resources of the community and of individuals (see </w:t>
      </w:r>
      <w:r w:rsidRPr="00541B5F">
        <w:rPr>
          <w:i/>
        </w:rPr>
        <w:t>Belgian linguistics case</w:t>
      </w:r>
      <w:r w:rsidRPr="00762AEB">
        <w:t>, cited above)</w:t>
      </w:r>
      <w:r>
        <w:t>.</w:t>
      </w:r>
      <w:r w:rsidRPr="00762AEB">
        <w:t xml:space="preserve"> </w:t>
      </w:r>
      <w:r>
        <w:t>It further notes</w:t>
      </w:r>
      <w:r w:rsidRPr="00762AEB">
        <w:t xml:space="preserve"> that, in the present case, such restrictions</w:t>
      </w:r>
      <w:r>
        <w:t xml:space="preserve"> need</w:t>
      </w:r>
      <w:r w:rsidRPr="00762AEB">
        <w:t xml:space="preserve"> to be seen in the context of the highest level of education, namely tertiary education.</w:t>
      </w:r>
    </w:p>
    <w:p w:rsidR="004C568D" w:rsidP="004C568D" w:rsidRDefault="004C568D">
      <w:pPr>
        <w:pStyle w:val="JuPara"/>
      </w:pPr>
      <w:r>
        <w:rPr>
          <w:szCs w:val="24"/>
        </w:rPr>
        <w:fldChar w:fldCharType="begin"/>
      </w:r>
      <w:r>
        <w:rPr>
          <w:szCs w:val="24"/>
        </w:rPr>
        <w:instrText xml:space="preserve"> SEQ level0 \*arabic </w:instrText>
      </w:r>
      <w:r>
        <w:rPr>
          <w:szCs w:val="24"/>
        </w:rPr>
        <w:fldChar w:fldCharType="separate"/>
      </w:r>
      <w:r>
        <w:rPr>
          <w:noProof/>
          <w:szCs w:val="24"/>
        </w:rPr>
        <w:t>51</w:t>
      </w:r>
      <w:r>
        <w:rPr>
          <w:szCs w:val="24"/>
        </w:rPr>
        <w:fldChar w:fldCharType="end"/>
      </w:r>
      <w:r>
        <w:rPr>
          <w:szCs w:val="24"/>
        </w:rPr>
        <w:t xml:space="preserve">.  Concerning the first criterion, resource considerations are clearly relevant and undoubtedly acceptable – a notion which follows logically from the interpretation given to the provision, namely that the right to education entails </w:t>
      </w:r>
      <w:r w:rsidRPr="00763388">
        <w:rPr>
          <w:szCs w:val="24"/>
        </w:rPr>
        <w:t xml:space="preserve">access to any institution of higher education </w:t>
      </w:r>
      <w:r>
        <w:rPr>
          <w:szCs w:val="24"/>
        </w:rPr>
        <w:t>“</w:t>
      </w:r>
      <w:r w:rsidRPr="00763388">
        <w:rPr>
          <w:szCs w:val="24"/>
        </w:rPr>
        <w:t>existing</w:t>
      </w:r>
      <w:r>
        <w:rPr>
          <w:szCs w:val="24"/>
        </w:rPr>
        <w:t>”</w:t>
      </w:r>
      <w:r w:rsidRPr="00763388">
        <w:rPr>
          <w:szCs w:val="24"/>
        </w:rPr>
        <w:t xml:space="preserve"> at a given time</w:t>
      </w:r>
      <w:r>
        <w:rPr>
          <w:szCs w:val="24"/>
        </w:rPr>
        <w:t xml:space="preserve"> </w:t>
      </w:r>
      <w:r w:rsidRPr="00662173">
        <w:rPr>
          <w:i/>
          <w:szCs w:val="24"/>
        </w:rPr>
        <w:t>(ibid</w:t>
      </w:r>
      <w:r>
        <w:rPr>
          <w:szCs w:val="24"/>
        </w:rPr>
        <w:t>.). The Court reiterates that t</w:t>
      </w:r>
      <w:r w:rsidRPr="008E258D">
        <w:rPr>
          <w:szCs w:val="24"/>
          <w:lang w:eastAsia="en-GB"/>
        </w:rPr>
        <w:t>he Convention lays down no specific obligations concerning the extent of the means of instruction and the manner of their organisation or subsidisation</w:t>
      </w:r>
      <w:r>
        <w:rPr>
          <w:szCs w:val="24"/>
          <w:lang w:eastAsia="en-GB"/>
        </w:rPr>
        <w:t xml:space="preserve"> (see</w:t>
      </w:r>
      <w:r w:rsidRPr="008E258D">
        <w:rPr>
          <w:rStyle w:val="Header"/>
          <w:i/>
          <w:iCs/>
        </w:rPr>
        <w:t xml:space="preserve"> </w:t>
      </w:r>
      <w:r>
        <w:rPr>
          <w:rStyle w:val="ju-005fpara--char"/>
          <w:i/>
          <w:iCs/>
        </w:rPr>
        <w:t>X v. the United Kingdom</w:t>
      </w:r>
      <w:r>
        <w:t xml:space="preserve">, no. 8844/80, Commission decision of 9 December 1980, DR 23, p. 228, and </w:t>
      </w:r>
      <w:r>
        <w:rPr>
          <w:rStyle w:val="normal--char"/>
          <w:i/>
          <w:iCs/>
        </w:rPr>
        <w:t>Georgiou v. Greece</w:t>
      </w:r>
      <w:r>
        <w:t xml:space="preserve"> (</w:t>
      </w:r>
      <w:proofErr w:type="spellStart"/>
      <w:r>
        <w:t>dec.</w:t>
      </w:r>
      <w:proofErr w:type="spellEnd"/>
      <w:r>
        <w:t>), no. 45138/98, 13 January 2000)</w:t>
      </w:r>
      <w:r>
        <w:rPr>
          <w:sz w:val="16"/>
          <w:szCs w:val="16"/>
          <w:lang w:eastAsia="en-GB"/>
        </w:rPr>
        <w:t xml:space="preserve">. </w:t>
      </w:r>
      <w:r>
        <w:rPr>
          <w:szCs w:val="24"/>
        </w:rPr>
        <w:t xml:space="preserve">This implies a right of access to education only in as far as it is available and within the relevant limits. </w:t>
      </w:r>
      <w:r>
        <w:rPr>
          <w:szCs w:val="24"/>
          <w:lang w:eastAsia="en-GB"/>
        </w:rPr>
        <w:t xml:space="preserve">The Court notes that </w:t>
      </w:r>
      <w:r>
        <w:rPr>
          <w:szCs w:val="24"/>
        </w:rPr>
        <w:t xml:space="preserve">such limits are often dependent on the assets necessary to run such institutions, including, </w:t>
      </w:r>
      <w:r w:rsidRPr="007B39D8">
        <w:rPr>
          <w:i/>
          <w:szCs w:val="24"/>
        </w:rPr>
        <w:t>inter alia</w:t>
      </w:r>
      <w:r>
        <w:rPr>
          <w:szCs w:val="24"/>
        </w:rPr>
        <w:t>, human, material and financial resources with the relevant considerations, such as the quality of such resources. This is relevant particularly when the universities are State run.</w:t>
      </w:r>
    </w:p>
    <w:p w:rsidR="004C568D" w:rsidP="004C568D" w:rsidRDefault="004C568D">
      <w:pPr>
        <w:pStyle w:val="JuPara"/>
        <w:rPr>
          <w:szCs w:val="24"/>
        </w:rPr>
      </w:pPr>
      <w:r>
        <w:fldChar w:fldCharType="begin"/>
      </w:r>
      <w:r>
        <w:instrText xml:space="preserve"> SEQ level0 \*arabic </w:instrText>
      </w:r>
      <w:r>
        <w:fldChar w:fldCharType="separate"/>
      </w:r>
      <w:r>
        <w:rPr>
          <w:noProof/>
        </w:rPr>
        <w:t>52</w:t>
      </w:r>
      <w:r>
        <w:fldChar w:fldCharType="end"/>
      </w:r>
      <w:r>
        <w:t>.  In so far as the applicants complained that the same restrictions applied to private universities and therefore to instruction they were willing to pay for, it is undeniable that the resources for theoretical and practical education would in fact be largely dependent upon the private universities</w:t>
      </w:r>
      <w:r w:rsidR="006545FA">
        <w:t>’</w:t>
      </w:r>
      <w:r>
        <w:t xml:space="preserve"> </w:t>
      </w:r>
      <w:r>
        <w:rPr>
          <w:szCs w:val="24"/>
        </w:rPr>
        <w:t>human, material and financial capital</w:t>
      </w:r>
      <w:r>
        <w:t xml:space="preserve"> and therefore on that basis it would be possible to have higher admission numbers without imposing an extra burden on the State and its structures. However, it is not irrelevant that the private sector in </w:t>
      </w:r>
      <w:smartTag w:uri="urn:schemas-microsoft-com:office:smarttags" w:element="place">
        <w:smartTag w:uri="urn:schemas-microsoft-com:office:smarttags" w:element="country-region">
          <w:r>
            <w:t>Italy</w:t>
          </w:r>
        </w:smartTag>
      </w:smartTag>
      <w:r>
        <w:t xml:space="preserve"> is partly reliant on State subsidies. More importantly, in the present circumstances the Court cannot find disproportionate or arbitrary the State</w:t>
      </w:r>
      <w:r w:rsidR="006545FA">
        <w:t>’</w:t>
      </w:r>
      <w:r>
        <w:t xml:space="preserve">s regulation of private institutions as well, in so far as such action can be considered necessary to prevent arbitrary admission or exclusion and to guarantee equal treatment of persons. </w:t>
      </w:r>
      <w:r w:rsidRPr="00C05ED0">
        <w:t xml:space="preserve">It </w:t>
      </w:r>
      <w:r>
        <w:t>reiterates</w:t>
      </w:r>
      <w:r w:rsidRPr="00C05ED0">
        <w:t xml:space="preserve"> that </w:t>
      </w:r>
      <w:r w:rsidRPr="00C05ED0">
        <w:rPr>
          <w:rStyle w:val="sb8d990e2"/>
        </w:rPr>
        <w:t>the fundamental right of everyone to education is a right guaranteed equally to pupils in State and independent schools, without distinction</w:t>
      </w:r>
      <w:r w:rsidRPr="00C05ED0">
        <w:t xml:space="preserve"> (see </w:t>
      </w:r>
      <w:r w:rsidRPr="00C05ED0">
        <w:rPr>
          <w:i/>
        </w:rPr>
        <w:t>Leyla Sahin</w:t>
      </w:r>
      <w:r w:rsidRPr="00C05ED0">
        <w:t>,</w:t>
      </w:r>
      <w:r w:rsidRPr="00C05ED0">
        <w:rPr>
          <w:szCs w:val="24"/>
          <w:lang w:eastAsia="en-US"/>
        </w:rPr>
        <w:t xml:space="preserve"> [GC],</w:t>
      </w:r>
      <w:r w:rsidRPr="00C05ED0">
        <w:t xml:space="preserve"> cited above, § 153). </w:t>
      </w:r>
      <w:r w:rsidRPr="00C05ED0">
        <w:rPr>
          <w:szCs w:val="24"/>
        </w:rPr>
        <w:t>Accordingly, the State has an obligation to regulate them</w:t>
      </w:r>
      <w:r>
        <w:rPr>
          <w:szCs w:val="24"/>
        </w:rPr>
        <w:t xml:space="preserve"> so as</w:t>
      </w:r>
      <w:r w:rsidRPr="00C05ED0">
        <w:rPr>
          <w:szCs w:val="24"/>
        </w:rPr>
        <w:t xml:space="preserve"> to ensure </w:t>
      </w:r>
      <w:r>
        <w:rPr>
          <w:szCs w:val="24"/>
        </w:rPr>
        <w:t xml:space="preserve">that </w:t>
      </w:r>
      <w:r w:rsidRPr="00C05ED0">
        <w:rPr>
          <w:szCs w:val="24"/>
        </w:rPr>
        <w:t xml:space="preserve">the Convention is complied with. In particular, the Court considers that the State </w:t>
      </w:r>
      <w:r>
        <w:rPr>
          <w:szCs w:val="24"/>
        </w:rPr>
        <w:t>is justified in</w:t>
      </w:r>
      <w:r w:rsidRPr="00C05ED0">
        <w:rPr>
          <w:szCs w:val="24"/>
        </w:rPr>
        <w:t xml:space="preserve"> be</w:t>
      </w:r>
      <w:r>
        <w:rPr>
          <w:szCs w:val="24"/>
        </w:rPr>
        <w:t>ing</w:t>
      </w:r>
      <w:r w:rsidRPr="00C05ED0">
        <w:rPr>
          <w:szCs w:val="24"/>
        </w:rPr>
        <w:t xml:space="preserve"> rigorous in its regulation of the sector </w:t>
      </w:r>
      <w:r>
        <w:rPr>
          <w:szCs w:val="24"/>
        </w:rPr>
        <w:t>–</w:t>
      </w:r>
      <w:r w:rsidRPr="00C05ED0">
        <w:rPr>
          <w:szCs w:val="24"/>
        </w:rPr>
        <w:t xml:space="preserve"> especially in the fields of study in question</w:t>
      </w:r>
      <w:r w:rsidRPr="00C05ED0">
        <w:rPr>
          <w:szCs w:val="24"/>
          <w:lang w:eastAsia="en-US"/>
        </w:rPr>
        <w:t xml:space="preserve"> where a minimum and adequate education level is of utmost importance</w:t>
      </w:r>
      <w:r w:rsidRPr="00C05ED0">
        <w:rPr>
          <w:szCs w:val="24"/>
        </w:rPr>
        <w:t xml:space="preserve"> </w:t>
      </w:r>
      <w:r>
        <w:rPr>
          <w:szCs w:val="24"/>
        </w:rPr>
        <w:t>– in order</w:t>
      </w:r>
      <w:r w:rsidRPr="00C05ED0">
        <w:rPr>
          <w:szCs w:val="24"/>
        </w:rPr>
        <w:t xml:space="preserve"> to ensure that access to private institutions </w:t>
      </w:r>
      <w:r>
        <w:rPr>
          <w:szCs w:val="24"/>
        </w:rPr>
        <w:t>is</w:t>
      </w:r>
      <w:r w:rsidRPr="00C05ED0">
        <w:rPr>
          <w:szCs w:val="24"/>
        </w:rPr>
        <w:t xml:space="preserve"> not available purely on </w:t>
      </w:r>
      <w:r>
        <w:rPr>
          <w:szCs w:val="24"/>
        </w:rPr>
        <w:t>the basis</w:t>
      </w:r>
      <w:r w:rsidRPr="00C05ED0">
        <w:rPr>
          <w:szCs w:val="24"/>
        </w:rPr>
        <w:t xml:space="preserve"> of the financial </w:t>
      </w:r>
      <w:r>
        <w:rPr>
          <w:szCs w:val="24"/>
        </w:rPr>
        <w:t>means</w:t>
      </w:r>
      <w:r w:rsidRPr="00C05ED0">
        <w:rPr>
          <w:szCs w:val="24"/>
        </w:rPr>
        <w:t xml:space="preserve"> of candidates, irrespective of their qualifications and </w:t>
      </w:r>
      <w:r>
        <w:rPr>
          <w:szCs w:val="24"/>
        </w:rPr>
        <w:t>suitability</w:t>
      </w:r>
      <w:r w:rsidRPr="00C05ED0">
        <w:rPr>
          <w:szCs w:val="24"/>
        </w:rPr>
        <w:t xml:space="preserve"> for the profession.</w:t>
      </w:r>
    </w:p>
    <w:p w:rsidR="004C568D" w:rsidP="004C568D" w:rsidRDefault="004C568D">
      <w:pPr>
        <w:pStyle w:val="JuPara"/>
      </w:pPr>
      <w:r>
        <w:fldChar w:fldCharType="begin"/>
      </w:r>
      <w:r>
        <w:instrText xml:space="preserve"> SEQ level0 \*arabic </w:instrText>
      </w:r>
      <w:r>
        <w:fldChar w:fldCharType="separate"/>
      </w:r>
      <w:r>
        <w:rPr>
          <w:noProof/>
        </w:rPr>
        <w:t>53</w:t>
      </w:r>
      <w:r>
        <w:fldChar w:fldCharType="end"/>
      </w:r>
      <w:r>
        <w:t xml:space="preserve">.  Furthermore, the Court recognises that overcrowded classes can be detrimental to the effectiveness of the education system in a way which hinders the </w:t>
      </w:r>
      <w:r>
        <w:rPr>
          <w:szCs w:val="24"/>
          <w:lang w:eastAsia="en-US"/>
        </w:rPr>
        <w:t>specific training experience</w:t>
      </w:r>
      <w:r>
        <w:t>.</w:t>
      </w:r>
    </w:p>
    <w:p w:rsidR="004C568D" w:rsidP="004C568D" w:rsidRDefault="004C568D">
      <w:pPr>
        <w:pStyle w:val="JuPara"/>
      </w:pPr>
      <w:r>
        <w:fldChar w:fldCharType="begin"/>
      </w:r>
      <w:r>
        <w:instrText xml:space="preserve"> SEQ level0 \*arabic </w:instrText>
      </w:r>
      <w:r>
        <w:fldChar w:fldCharType="separate"/>
      </w:r>
      <w:r>
        <w:rPr>
          <w:noProof/>
        </w:rPr>
        <w:t>54</w:t>
      </w:r>
      <w:r>
        <w:fldChar w:fldCharType="end"/>
      </w:r>
      <w:r>
        <w:t>.  Thus, bearing in mind the competing interests, the Court considers that the first criterion imposed is both legitimate and proportionate.</w:t>
      </w:r>
    </w:p>
    <w:p w:rsidR="004C568D" w:rsidP="004C568D" w:rsidRDefault="004C568D">
      <w:pPr>
        <w:pStyle w:val="JuPara"/>
      </w:pPr>
      <w:r>
        <w:fldChar w:fldCharType="begin"/>
      </w:r>
      <w:r>
        <w:instrText xml:space="preserve"> SEQ level0 \*arabic </w:instrText>
      </w:r>
      <w:r>
        <w:fldChar w:fldCharType="separate"/>
      </w:r>
      <w:r>
        <w:rPr>
          <w:noProof/>
        </w:rPr>
        <w:t>55</w:t>
      </w:r>
      <w:r>
        <w:fldChar w:fldCharType="end"/>
      </w:r>
      <w:r>
        <w:t>.  </w:t>
      </w:r>
      <w:r w:rsidRPr="006A4D48">
        <w:t>As to the second criterion,</w:t>
      </w:r>
      <w:r w:rsidRPr="005C4227">
        <w:rPr>
          <w:szCs w:val="24"/>
        </w:rPr>
        <w:t xml:space="preserve"> </w:t>
      </w:r>
      <w:r>
        <w:rPr>
          <w:szCs w:val="24"/>
        </w:rPr>
        <w:t>namely, society</w:t>
      </w:r>
      <w:r w:rsidR="006545FA">
        <w:rPr>
          <w:szCs w:val="24"/>
        </w:rPr>
        <w:t>’</w:t>
      </w:r>
      <w:r>
        <w:rPr>
          <w:szCs w:val="24"/>
        </w:rPr>
        <w:t>s</w:t>
      </w:r>
      <w:r w:rsidRPr="007E1D16">
        <w:rPr>
          <w:szCs w:val="24"/>
        </w:rPr>
        <w:t xml:space="preserve"> </w:t>
      </w:r>
      <w:r>
        <w:rPr>
          <w:szCs w:val="24"/>
        </w:rPr>
        <w:t>need</w:t>
      </w:r>
      <w:r w:rsidRPr="007E1D16">
        <w:rPr>
          <w:szCs w:val="24"/>
        </w:rPr>
        <w:t xml:space="preserve"> </w:t>
      </w:r>
      <w:r>
        <w:rPr>
          <w:szCs w:val="24"/>
        </w:rPr>
        <w:t>for a particular profession,</w:t>
      </w:r>
      <w:r w:rsidRPr="006A4D48">
        <w:t xml:space="preserve"> the Court considers that it</w:t>
      </w:r>
      <w:r>
        <w:t>s interpretation</w:t>
      </w:r>
      <w:r w:rsidRPr="006A4D48">
        <w:t xml:space="preserve"> is indeed </w:t>
      </w:r>
      <w:r>
        <w:t>re</w:t>
      </w:r>
      <w:r w:rsidRPr="006A4D48">
        <w:t>strictive</w:t>
      </w:r>
      <w:r>
        <w:t>.</w:t>
      </w:r>
      <w:r w:rsidRPr="006A4D48">
        <w:t xml:space="preserve"> </w:t>
      </w:r>
      <w:r>
        <w:t xml:space="preserve">It is confined to </w:t>
      </w:r>
      <w:r w:rsidRPr="006A4D48">
        <w:t>a national outlook</w:t>
      </w:r>
      <w:r>
        <w:t>, which pertains, moreover, to the public sector,</w:t>
      </w:r>
      <w:r w:rsidRPr="006A4D48">
        <w:t xml:space="preserve"> thus </w:t>
      </w:r>
      <w:r w:rsidRPr="006A4D48">
        <w:rPr>
          <w:szCs w:val="24"/>
        </w:rPr>
        <w:t>ignoring</w:t>
      </w:r>
      <w:r w:rsidRPr="006A4D48">
        <w:t xml:space="preserve"> any relevant needs originating in a wider EU</w:t>
      </w:r>
      <w:r>
        <w:t xml:space="preserve"> or private</w:t>
      </w:r>
      <w:r w:rsidRPr="006A4D48">
        <w:t xml:space="preserve"> context</w:t>
      </w:r>
      <w:r>
        <w:t>. Furthermore,</w:t>
      </w:r>
      <w:r w:rsidRPr="006A4D48">
        <w:t xml:space="preserve"> </w:t>
      </w:r>
      <w:r>
        <w:t xml:space="preserve">it may be considered short-sighted </w:t>
      </w:r>
      <w:r w:rsidRPr="006A4D48">
        <w:t xml:space="preserve">in so far as </w:t>
      </w:r>
      <w:r>
        <w:t>it does not appear that serious consideration i</w:t>
      </w:r>
      <w:r w:rsidRPr="006A4D48">
        <w:t>s given to future local needs.</w:t>
      </w:r>
    </w:p>
    <w:p w:rsidR="004C568D" w:rsidP="004C568D" w:rsidRDefault="004C568D">
      <w:pPr>
        <w:pStyle w:val="JuPara"/>
      </w:pPr>
      <w:r>
        <w:fldChar w:fldCharType="begin"/>
      </w:r>
      <w:r>
        <w:instrText xml:space="preserve"> SEQ level0 \*arabic </w:instrText>
      </w:r>
      <w:r>
        <w:fldChar w:fldCharType="separate"/>
      </w:r>
      <w:r>
        <w:rPr>
          <w:noProof/>
        </w:rPr>
        <w:t>56</w:t>
      </w:r>
      <w:r>
        <w:fldChar w:fldCharType="end"/>
      </w:r>
      <w:r>
        <w:t>.  However, in the Court</w:t>
      </w:r>
      <w:r w:rsidR="006545FA">
        <w:t>’</w:t>
      </w:r>
      <w:r>
        <w:t>s view such a measure is nevertheless balanced in so far as the Government are entitled to take action with a view to avoiding excessive public expenditure. The Court observes that the training of certain specific categories of professionals constitutes a huge investment. It is therefore reasonable for the State to aspire to the assimilation of each successful candidate into the labour market. Indeed, a</w:t>
      </w:r>
      <w:r w:rsidR="006545FA">
        <w:t xml:space="preserve"> </w:t>
      </w:r>
      <w:r>
        <w:t>lack of posts for such categories due to saturation represents further expenditure, since unemployment is without doubt a social burden on society at large. Given that it is impossible for the State to ascertain how many graduates might seek to exit the local market and seek employment abroad, the Court cannot consider it unreasonable for the State to exercise caution</w:t>
      </w:r>
      <w:r w:rsidRPr="008676EB">
        <w:rPr>
          <w:rFonts w:ascii="Arial" w:hAnsi="Arial" w:cs="Arial"/>
          <w:sz w:val="20"/>
        </w:rPr>
        <w:t xml:space="preserve"> </w:t>
      </w:r>
      <w:r w:rsidRPr="008676EB">
        <w:rPr>
          <w:szCs w:val="24"/>
        </w:rPr>
        <w:t>a</w:t>
      </w:r>
      <w:r>
        <w:rPr>
          <w:szCs w:val="24"/>
        </w:rPr>
        <w:t>nd thus</w:t>
      </w:r>
      <w:r w:rsidRPr="008676EB">
        <w:rPr>
          <w:szCs w:val="24"/>
        </w:rPr>
        <w:t xml:space="preserve"> to base its policy on the assumption that a high percentage</w:t>
      </w:r>
      <w:r>
        <w:rPr>
          <w:szCs w:val="24"/>
        </w:rPr>
        <w:t xml:space="preserve"> of them</w:t>
      </w:r>
      <w:r w:rsidRPr="008676EB">
        <w:rPr>
          <w:szCs w:val="24"/>
        </w:rPr>
        <w:t xml:space="preserve"> may remain in the country to seek employment there. </w:t>
      </w:r>
      <w:r>
        <w:t>In the Court</w:t>
      </w:r>
      <w:r w:rsidR="006545FA">
        <w:t>’</w:t>
      </w:r>
      <w:r>
        <w:t>s view,</w:t>
      </w:r>
      <w:r w:rsidRPr="0095657A">
        <w:t xml:space="preserve"> </w:t>
      </w:r>
      <w:r>
        <w:t>therefore, the second criterion is also proportionate.</w:t>
      </w:r>
    </w:p>
    <w:p w:rsidR="004C568D" w:rsidP="004C568D" w:rsidRDefault="004C568D">
      <w:pPr>
        <w:pStyle w:val="JuPara"/>
      </w:pPr>
      <w:r>
        <w:fldChar w:fldCharType="begin"/>
      </w:r>
      <w:r>
        <w:instrText xml:space="preserve"> SEQ level0 \*arabic </w:instrText>
      </w:r>
      <w:r>
        <w:fldChar w:fldCharType="separate"/>
      </w:r>
      <w:r>
        <w:rPr>
          <w:noProof/>
        </w:rPr>
        <w:t>57</w:t>
      </w:r>
      <w:r>
        <w:fldChar w:fldCharType="end"/>
      </w:r>
      <w:r>
        <w:t xml:space="preserve">.  Lastly, the Court notes that the applicants were not denied the right to apply for any other course in which they might have expressed an interest (see, </w:t>
      </w:r>
      <w:r w:rsidRPr="008B7739">
        <w:rPr>
          <w:i/>
        </w:rPr>
        <w:t>mutatis mutandis</w:t>
      </w:r>
      <w:r>
        <w:t>,</w:t>
      </w:r>
      <w:r w:rsidRPr="008B7739">
        <w:rPr>
          <w:i/>
        </w:rPr>
        <w:t xml:space="preserve"> </w:t>
      </w:r>
      <w:proofErr w:type="spellStart"/>
      <w:r w:rsidRPr="00B65D0A">
        <w:rPr>
          <w:i/>
        </w:rPr>
        <w:t>Lukach</w:t>
      </w:r>
      <w:proofErr w:type="spellEnd"/>
      <w:r>
        <w:rPr>
          <w:i/>
        </w:rPr>
        <w:t xml:space="preserve">, </w:t>
      </w:r>
      <w:r w:rsidRPr="008B7739">
        <w:t>(</w:t>
      </w:r>
      <w:proofErr w:type="spellStart"/>
      <w:r w:rsidRPr="008B7739">
        <w:t>dec.</w:t>
      </w:r>
      <w:proofErr w:type="spellEnd"/>
      <w:r w:rsidRPr="008B7739">
        <w:t>) cited above)</w:t>
      </w:r>
      <w:r>
        <w:t>, and in respect of which they had the requisite qualifications. Nor have they been denied the opportunity to pursue their studies abroad in line with their possible wish to pursue careers abroad. Given that it does not appear that there is a limit on the number of times a candidate can sit the test, the applicants still have the opportunity to pass it and gain admission to the course of their first choice.</w:t>
      </w:r>
    </w:p>
    <w:p w:rsidR="004C568D" w:rsidP="004C568D" w:rsidRDefault="004C568D">
      <w:pPr>
        <w:pStyle w:val="JuPara"/>
      </w:pPr>
      <w:r>
        <w:fldChar w:fldCharType="begin"/>
      </w:r>
      <w:r>
        <w:instrText xml:space="preserve"> SEQ level0 \*arabic </w:instrText>
      </w:r>
      <w:r>
        <w:fldChar w:fldCharType="separate"/>
      </w:r>
      <w:r>
        <w:rPr>
          <w:noProof/>
        </w:rPr>
        <w:t>58</w:t>
      </w:r>
      <w:r>
        <w:fldChar w:fldCharType="end"/>
      </w:r>
      <w:r>
        <w:t>.  In conclusion, the Court considers that the</w:t>
      </w:r>
      <w:r w:rsidRPr="006A4D48">
        <w:t xml:space="preserve"> measures imposed were not disproportionate</w:t>
      </w:r>
      <w:r>
        <w:t xml:space="preserve"> </w:t>
      </w:r>
      <w:r w:rsidRPr="006A4D48">
        <w:t>and</w:t>
      </w:r>
      <w:r>
        <w:t xml:space="preserve"> that in applying those measures the State did not exceed its margin of appreciation.</w:t>
      </w:r>
    </w:p>
    <w:p w:rsidRPr="00541986" w:rsidR="004C568D" w:rsidP="004C568D" w:rsidRDefault="004C568D">
      <w:pPr>
        <w:pStyle w:val="JuPara"/>
        <w:rPr>
          <w:b/>
          <w:sz w:val="28"/>
          <w:szCs w:val="28"/>
        </w:rPr>
      </w:pPr>
      <w:r>
        <w:fldChar w:fldCharType="begin"/>
      </w:r>
      <w:r>
        <w:instrText xml:space="preserve"> SEQ level0 \*arabic </w:instrText>
      </w:r>
      <w:r>
        <w:fldChar w:fldCharType="separate"/>
      </w:r>
      <w:r>
        <w:rPr>
          <w:noProof/>
        </w:rPr>
        <w:t>59</w:t>
      </w:r>
      <w:r>
        <w:fldChar w:fldCharType="end"/>
      </w:r>
      <w:r>
        <w:t>.  It follows that there has not been a violation of Article 2 of Protocol No. 1 to the Convention.</w:t>
      </w:r>
    </w:p>
    <w:p w:rsidR="004C568D" w:rsidP="004C568D" w:rsidRDefault="004C568D">
      <w:pPr>
        <w:pStyle w:val="JuHa0"/>
      </w:pPr>
      <w:r>
        <w:t xml:space="preserve">(c)  Application to the present case regarding Mr </w:t>
      </w:r>
      <w:proofErr w:type="spellStart"/>
      <w:r>
        <w:t>Marcuzzo</w:t>
      </w:r>
      <w:proofErr w:type="spellEnd"/>
      <w:r>
        <w:t>, the eighth applicant</w:t>
      </w:r>
    </w:p>
    <w:p w:rsidR="004C568D" w:rsidP="004C568D" w:rsidRDefault="004C568D">
      <w:pPr>
        <w:pStyle w:val="JuPara"/>
        <w:rPr>
          <w:szCs w:val="24"/>
        </w:rPr>
      </w:pPr>
      <w:r>
        <w:fldChar w:fldCharType="begin"/>
      </w:r>
      <w:r>
        <w:instrText xml:space="preserve"> SEQ level0 \*arabic </w:instrText>
      </w:r>
      <w:r>
        <w:fldChar w:fldCharType="separate"/>
      </w:r>
      <w:r>
        <w:rPr>
          <w:noProof/>
        </w:rPr>
        <w:t>60</w:t>
      </w:r>
      <w:r>
        <w:fldChar w:fldCharType="end"/>
      </w:r>
      <w:r>
        <w:t>.  In so far as it can be said that the eighth applicant</w:t>
      </w:r>
      <w:r w:rsidR="006545FA">
        <w:t>’</w:t>
      </w:r>
      <w:r>
        <w:t xml:space="preserve">s claim goes further than that argued above, in that he was made to </w:t>
      </w:r>
      <w:proofErr w:type="spellStart"/>
      <w:r>
        <w:t>resit</w:t>
      </w:r>
      <w:proofErr w:type="spellEnd"/>
      <w:r>
        <w:t xml:space="preserve"> the entrance examination after having been excluded from the course following his eight-year absence, the Court notes that it has not been argued that the measure was unforeseeable. It further considers that it is not unreasonable to exclude from a course of studies a student who has </w:t>
      </w:r>
      <w:r>
        <w:rPr>
          <w:szCs w:val="24"/>
        </w:rPr>
        <w:t xml:space="preserve">failed to sit examinations for eight consecutive years, particularly in view of the fact that a </w:t>
      </w:r>
      <w:proofErr w:type="spellStart"/>
      <w:r w:rsidRPr="00AF76B8">
        <w:rPr>
          <w:i/>
          <w:szCs w:val="24"/>
        </w:rPr>
        <w:t>numerus</w:t>
      </w:r>
      <w:proofErr w:type="spellEnd"/>
      <w:r w:rsidRPr="00AF76B8">
        <w:rPr>
          <w:i/>
          <w:szCs w:val="24"/>
        </w:rPr>
        <w:t xml:space="preserve"> </w:t>
      </w:r>
      <w:proofErr w:type="spellStart"/>
      <w:r w:rsidRPr="00AF76B8">
        <w:rPr>
          <w:i/>
          <w:szCs w:val="24"/>
        </w:rPr>
        <w:t>clausus</w:t>
      </w:r>
      <w:proofErr w:type="spellEnd"/>
      <w:r>
        <w:rPr>
          <w:szCs w:val="24"/>
        </w:rPr>
        <w:t xml:space="preserve"> applies to the university course in question. In consequence,</w:t>
      </w:r>
      <w:r w:rsidRPr="002729D7">
        <w:rPr>
          <w:szCs w:val="24"/>
        </w:rPr>
        <w:t xml:space="preserve"> </w:t>
      </w:r>
      <w:r>
        <w:rPr>
          <w:szCs w:val="24"/>
        </w:rPr>
        <w:t>the Court finds that the measure pursued a legitimate aim and, in the light of the State</w:t>
      </w:r>
      <w:r w:rsidR="006545FA">
        <w:rPr>
          <w:szCs w:val="24"/>
        </w:rPr>
        <w:t>’</w:t>
      </w:r>
      <w:r>
        <w:rPr>
          <w:szCs w:val="24"/>
        </w:rPr>
        <w:t>s entitlement to regulate the right to education, the measure was proportionate. In fact it struck a balance between the interests of the applicant on the one hand and those of other persons wishing to enrol on the course and the needs of the community at large on the other hand.</w:t>
      </w:r>
    </w:p>
    <w:p w:rsidR="004C568D" w:rsidP="004C568D" w:rsidRDefault="004C568D">
      <w:pPr>
        <w:pStyle w:val="JuPara"/>
      </w:pPr>
      <w:r>
        <w:fldChar w:fldCharType="begin"/>
      </w:r>
      <w:r>
        <w:instrText xml:space="preserve"> SEQ level0 \*arabic </w:instrText>
      </w:r>
      <w:r>
        <w:fldChar w:fldCharType="separate"/>
      </w:r>
      <w:r>
        <w:rPr>
          <w:noProof/>
        </w:rPr>
        <w:t>61</w:t>
      </w:r>
      <w:r>
        <w:fldChar w:fldCharType="end"/>
      </w:r>
      <w:r>
        <w:t>.  It follows that there has not been a violation in respect of this part of the complaint related to the eighth applicant.</w:t>
      </w:r>
    </w:p>
    <w:p w:rsidRPr="00E73B86" w:rsidR="004C568D" w:rsidP="004C568D" w:rsidRDefault="004C568D">
      <w:pPr>
        <w:pStyle w:val="JuHIRoman"/>
      </w:pPr>
      <w:r>
        <w:t>II</w:t>
      </w:r>
      <w:r w:rsidRPr="00E73B86">
        <w:t>. </w:t>
      </w:r>
      <w:r>
        <w:t> </w:t>
      </w:r>
      <w:r w:rsidRPr="00E73B86">
        <w:t xml:space="preserve">ALLEGED VIOLATION OF ARTICLE </w:t>
      </w:r>
      <w:r>
        <w:t>6</w:t>
      </w:r>
      <w:r w:rsidRPr="00E73B86">
        <w:t xml:space="preserve"> OF THE CONVENTION</w:t>
      </w:r>
    </w:p>
    <w:p w:rsidR="004C568D" w:rsidP="004C568D" w:rsidRDefault="004C568D">
      <w:pPr>
        <w:pStyle w:val="JuPara"/>
      </w:pPr>
      <w:r w:rsidRPr="00E73B86">
        <w:fldChar w:fldCharType="begin"/>
      </w:r>
      <w:r w:rsidRPr="00E73B86">
        <w:instrText xml:space="preserve"> SEQ level0 \*arabic </w:instrText>
      </w:r>
      <w:r w:rsidRPr="00E73B86">
        <w:fldChar w:fldCharType="separate"/>
      </w:r>
      <w:r>
        <w:rPr>
          <w:noProof/>
        </w:rPr>
        <w:t>62</w:t>
      </w:r>
      <w:r w:rsidRPr="00E73B86">
        <w:fldChar w:fldCharType="end"/>
      </w:r>
      <w:r w:rsidRPr="00E73B86">
        <w:t>.  </w:t>
      </w:r>
      <w:r>
        <w:t xml:space="preserve">The first applicant complained of the unfairness of </w:t>
      </w:r>
      <w:r>
        <w:rPr>
          <w:color w:val="000000"/>
        </w:rPr>
        <w:t>the proceedings</w:t>
      </w:r>
      <w:r>
        <w:t xml:space="preserve">, in particular their outcome, the fact that the domestic court had failed to request a referral to the ECJ to ensure that the measures complied with EU law, and a lack of reasons in that the decision of </w:t>
      </w:r>
      <w:r w:rsidRPr="00763388">
        <w:rPr>
          <w:szCs w:val="24"/>
        </w:rPr>
        <w:t xml:space="preserve">28 April </w:t>
      </w:r>
      <w:r>
        <w:rPr>
          <w:szCs w:val="24"/>
        </w:rPr>
        <w:t>2009 had not addressed all her arguments. She invoked</w:t>
      </w:r>
      <w:r>
        <w:rPr>
          <w:color w:val="000000"/>
        </w:rPr>
        <w:t xml:space="preserve"> Article 6 § 1 of the Convention, which, </w:t>
      </w:r>
      <w:r>
        <w:t>in so far as relevant, provides as follows:</w:t>
      </w:r>
    </w:p>
    <w:p w:rsidR="004C568D" w:rsidP="004C568D" w:rsidRDefault="004C568D">
      <w:pPr>
        <w:pStyle w:val="JuQuot"/>
      </w:pPr>
      <w:r>
        <w:t>“1.  In the determination of his civil rights and obligations ... everyone is entitled to a fair and public hearing within a reasonable time by an independent and impartial tribunal established by law.”</w:t>
      </w:r>
    </w:p>
    <w:p w:rsidR="004C568D" w:rsidP="004C568D" w:rsidRDefault="004C568D">
      <w:pPr>
        <w:pStyle w:val="JuPara"/>
        <w:rPr>
          <w:lang w:eastAsia="en-US"/>
        </w:rPr>
      </w:pPr>
      <w:r>
        <w:fldChar w:fldCharType="begin"/>
      </w:r>
      <w:r>
        <w:instrText xml:space="preserve"> SEQ level0 \*arabic </w:instrText>
      </w:r>
      <w:r>
        <w:fldChar w:fldCharType="separate"/>
      </w:r>
      <w:r>
        <w:rPr>
          <w:noProof/>
        </w:rPr>
        <w:t>63</w:t>
      </w:r>
      <w:r>
        <w:fldChar w:fldCharType="end"/>
      </w:r>
      <w:r>
        <w:t xml:space="preserve">.  The Court notes that the first applicant, in lodging a special appeal with the President of the Republic in 2007, did not institute contentious proceedings falling within the scope of Article 6 of the Convention (see </w:t>
      </w:r>
      <w:proofErr w:type="spellStart"/>
      <w:r w:rsidRPr="0052608A">
        <w:rPr>
          <w:i/>
          <w:lang w:eastAsia="en-US"/>
        </w:rPr>
        <w:t>Nardella</w:t>
      </w:r>
      <w:proofErr w:type="spellEnd"/>
      <w:r w:rsidRPr="0052608A">
        <w:rPr>
          <w:i/>
          <w:lang w:eastAsia="en-US"/>
        </w:rPr>
        <w:t xml:space="preserve"> v. </w:t>
      </w:r>
      <w:smartTag w:uri="urn:schemas-microsoft-com:office:smarttags" w:element="country-region">
        <w:r w:rsidRPr="0052608A">
          <w:rPr>
            <w:i/>
            <w:lang w:eastAsia="en-US"/>
          </w:rPr>
          <w:t>Italy</w:t>
        </w:r>
      </w:smartTag>
      <w:r w:rsidRPr="0052608A">
        <w:rPr>
          <w:lang w:eastAsia="en-US"/>
        </w:rPr>
        <w:t xml:space="preserve"> (</w:t>
      </w:r>
      <w:proofErr w:type="spellStart"/>
      <w:r w:rsidRPr="0052608A">
        <w:rPr>
          <w:lang w:eastAsia="en-US"/>
        </w:rPr>
        <w:t>dec.</w:t>
      </w:r>
      <w:proofErr w:type="spellEnd"/>
      <w:r w:rsidRPr="0052608A">
        <w:rPr>
          <w:lang w:eastAsia="en-US"/>
        </w:rPr>
        <w:t>), no. 45814/99</w:t>
      </w:r>
      <w:r w:rsidRPr="0052608A">
        <w:rPr>
          <w:szCs w:val="24"/>
          <w:lang w:eastAsia="en-US"/>
        </w:rPr>
        <w:t xml:space="preserve">, </w:t>
      </w:r>
      <w:r w:rsidRPr="0052608A">
        <w:rPr>
          <w:lang w:eastAsia="en-US"/>
        </w:rPr>
        <w:t>ECHR 1999</w:t>
      </w:r>
      <w:r w:rsidRPr="0052608A">
        <w:rPr>
          <w:lang w:eastAsia="en-US"/>
        </w:rPr>
        <w:noBreakHyphen/>
        <w:t>VII</w:t>
      </w:r>
      <w:r>
        <w:rPr>
          <w:lang w:eastAsia="en-US"/>
        </w:rPr>
        <w:t>,</w:t>
      </w:r>
      <w:r>
        <w:t xml:space="preserve"> and </w:t>
      </w:r>
      <w:proofErr w:type="spellStart"/>
      <w:r w:rsidRPr="0052608A">
        <w:rPr>
          <w:i/>
        </w:rPr>
        <w:t>Nasalli</w:t>
      </w:r>
      <w:proofErr w:type="spellEnd"/>
      <w:r w:rsidRPr="0052608A">
        <w:rPr>
          <w:i/>
        </w:rPr>
        <w:t xml:space="preserve"> Rocca</w:t>
      </w:r>
      <w:r w:rsidRPr="0052608A">
        <w:rPr>
          <w:lang w:eastAsia="en-US"/>
        </w:rPr>
        <w:t xml:space="preserve"> (</w:t>
      </w:r>
      <w:proofErr w:type="spellStart"/>
      <w:r w:rsidRPr="0052608A">
        <w:rPr>
          <w:lang w:eastAsia="en-US"/>
        </w:rPr>
        <w:t>dec.</w:t>
      </w:r>
      <w:proofErr w:type="spellEnd"/>
      <w:r w:rsidRPr="0052608A">
        <w:rPr>
          <w:lang w:eastAsia="en-US"/>
        </w:rPr>
        <w:t>),</w:t>
      </w:r>
      <w:r>
        <w:rPr>
          <w:lang w:eastAsia="en-US"/>
        </w:rPr>
        <w:t xml:space="preserve"> cited above), and therefore the provision is not applicable.</w:t>
      </w:r>
    </w:p>
    <w:p w:rsidR="004C568D" w:rsidP="004C568D" w:rsidRDefault="004C568D">
      <w:pPr>
        <w:pStyle w:val="JuPara"/>
      </w:pPr>
      <w:r>
        <w:fldChar w:fldCharType="begin"/>
      </w:r>
      <w:r>
        <w:instrText xml:space="preserve"> SEQ level0 \*arabic </w:instrText>
      </w:r>
      <w:r>
        <w:fldChar w:fldCharType="separate"/>
      </w:r>
      <w:r>
        <w:rPr>
          <w:noProof/>
        </w:rPr>
        <w:t>64</w:t>
      </w:r>
      <w:r>
        <w:fldChar w:fldCharType="end"/>
      </w:r>
      <w:r>
        <w:t xml:space="preserve">.  It follows that the complaint is incompatible </w:t>
      </w:r>
      <w:proofErr w:type="spellStart"/>
      <w:r>
        <w:rPr>
          <w:rStyle w:val="ju-005fpara--char"/>
          <w:i/>
          <w:iCs/>
        </w:rPr>
        <w:t>ratione</w:t>
      </w:r>
      <w:proofErr w:type="spellEnd"/>
      <w:r>
        <w:rPr>
          <w:rStyle w:val="ju-005fpara--char"/>
          <w:i/>
          <w:iCs/>
        </w:rPr>
        <w:t xml:space="preserve"> </w:t>
      </w:r>
      <w:proofErr w:type="spellStart"/>
      <w:r>
        <w:rPr>
          <w:rStyle w:val="ju-005fpara--char"/>
          <w:i/>
          <w:iCs/>
        </w:rPr>
        <w:t>materiae</w:t>
      </w:r>
      <w:proofErr w:type="spellEnd"/>
      <w:r>
        <w:t xml:space="preserve"> with the provisions of the Convention within the meaning of Article 35 § 3 and must be rejected in accordance with Article 35 § 4 of the Convention.</w:t>
      </w:r>
    </w:p>
    <w:p w:rsidRPr="00E73B86" w:rsidR="004C568D" w:rsidP="004C568D" w:rsidRDefault="004C568D">
      <w:pPr>
        <w:pStyle w:val="JuHIRoman"/>
      </w:pPr>
      <w:r>
        <w:t>III</w:t>
      </w:r>
      <w:r w:rsidRPr="00E73B86">
        <w:t xml:space="preserve">.  ALLEGED VIOLATION OF ARTICLE </w:t>
      </w:r>
      <w:r>
        <w:t>14</w:t>
      </w:r>
      <w:r w:rsidRPr="00E73B86">
        <w:t xml:space="preserve"> OF THE CONVENTION</w:t>
      </w:r>
    </w:p>
    <w:p w:rsidR="004C568D" w:rsidP="004C568D" w:rsidRDefault="004C568D">
      <w:pPr>
        <w:pStyle w:val="JuPara"/>
        <w:rPr>
          <w:bCs/>
          <w:color w:val="000000"/>
        </w:rPr>
      </w:pPr>
      <w:r w:rsidRPr="00E73B86">
        <w:fldChar w:fldCharType="begin"/>
      </w:r>
      <w:r w:rsidRPr="00E73B86">
        <w:instrText xml:space="preserve"> SEQ level0 \*arabic </w:instrText>
      </w:r>
      <w:r w:rsidRPr="00E73B86">
        <w:fldChar w:fldCharType="separate"/>
      </w:r>
      <w:r>
        <w:rPr>
          <w:noProof/>
        </w:rPr>
        <w:t>65</w:t>
      </w:r>
      <w:r w:rsidRPr="00E73B86">
        <w:fldChar w:fldCharType="end"/>
      </w:r>
      <w:r w:rsidRPr="00E73B86">
        <w:t>.  </w:t>
      </w:r>
      <w:r>
        <w:rPr>
          <w:bCs/>
          <w:color w:val="000000"/>
        </w:rPr>
        <w:t>The applicants (except the first applicant) complained that they had been discriminated against under Article 14, which provides as follow:</w:t>
      </w:r>
    </w:p>
    <w:p w:rsidR="004C568D" w:rsidP="004C568D" w:rsidRDefault="004C568D">
      <w:pPr>
        <w:pStyle w:val="JuQuot"/>
      </w:pPr>
      <w:r w:rsidRPr="00E70A4E">
        <w:tab/>
        <w:t>“ The enjoyment of the rights and freedoms set forth in this Convention shall be secured without discrimination on any ground such as sex, race, colour, language, religion, political or other opinion, national or social origin, association with a national minority, property, birth or other status.”</w:t>
      </w:r>
    </w:p>
    <w:p w:rsidR="004C568D" w:rsidP="004C568D" w:rsidRDefault="004C568D">
      <w:pPr>
        <w:pStyle w:val="JuPara"/>
      </w:pPr>
      <w:r>
        <w:fldChar w:fldCharType="begin"/>
      </w:r>
      <w:r>
        <w:instrText xml:space="preserve"> SEQ level0 \*arabic </w:instrText>
      </w:r>
      <w:r>
        <w:fldChar w:fldCharType="separate"/>
      </w:r>
      <w:r>
        <w:rPr>
          <w:noProof/>
        </w:rPr>
        <w:t>66</w:t>
      </w:r>
      <w:r>
        <w:fldChar w:fldCharType="end"/>
      </w:r>
      <w:r>
        <w:t xml:space="preserve">.  The applicants </w:t>
      </w:r>
      <w:r w:rsidRPr="0065085F">
        <w:t>allege</w:t>
      </w:r>
      <w:r>
        <w:t>d</w:t>
      </w:r>
      <w:r w:rsidRPr="0065085F">
        <w:t xml:space="preserve"> that fresh</w:t>
      </w:r>
      <w:r>
        <w:t>ly</w:t>
      </w:r>
      <w:r w:rsidRPr="0065085F">
        <w:t xml:space="preserve"> g</w:t>
      </w:r>
      <w:r>
        <w:t>raduated students had</w:t>
      </w:r>
      <w:r w:rsidRPr="0065085F">
        <w:t xml:space="preserve"> more chance </w:t>
      </w:r>
      <w:r>
        <w:t xml:space="preserve">of </w:t>
      </w:r>
      <w:r w:rsidRPr="0065085F">
        <w:t>pass</w:t>
      </w:r>
      <w:r>
        <w:t>ing</w:t>
      </w:r>
      <w:r w:rsidRPr="0065085F">
        <w:t xml:space="preserve"> knowledge-based examinations, in particular those based on high school sylla</w:t>
      </w:r>
      <w:r>
        <w:t>bi, and that therefore the system was discriminatory on grounds of age.</w:t>
      </w:r>
    </w:p>
    <w:p w:rsidR="004C568D" w:rsidP="004C568D" w:rsidRDefault="004C568D">
      <w:pPr>
        <w:pStyle w:val="JuPara"/>
      </w:pPr>
      <w:r>
        <w:fldChar w:fldCharType="begin"/>
      </w:r>
      <w:r>
        <w:instrText xml:space="preserve"> SEQ level0 \*arabic </w:instrText>
      </w:r>
      <w:r>
        <w:fldChar w:fldCharType="separate"/>
      </w:r>
      <w:r>
        <w:rPr>
          <w:noProof/>
        </w:rPr>
        <w:t>67</w:t>
      </w:r>
      <w:r>
        <w:fldChar w:fldCharType="end"/>
      </w:r>
      <w:r>
        <w:t>.  The Court observes that university is a knowledge-based institution, and therefore it cannot be considered unreasonable or arbitrary to set knowledge-based examinations. Moreover, it has not been shown that persons of a certain age have found it more difficult to pass the examination. The complaint is therefore unsubstantiated. Lastly, the Court considers that the subjective perception an applicant may have of an exam cannot in itself raise an issue under Article 14.</w:t>
      </w:r>
    </w:p>
    <w:p w:rsidRPr="00E70A4E" w:rsidR="004C568D" w:rsidP="004C568D" w:rsidRDefault="004C568D">
      <w:pPr>
        <w:pStyle w:val="JuPara"/>
      </w:pPr>
      <w:r>
        <w:fldChar w:fldCharType="begin"/>
      </w:r>
      <w:r>
        <w:instrText xml:space="preserve"> SEQ level0 \*arabic </w:instrText>
      </w:r>
      <w:r>
        <w:fldChar w:fldCharType="separate"/>
      </w:r>
      <w:r>
        <w:rPr>
          <w:noProof/>
        </w:rPr>
        <w:t>68</w:t>
      </w:r>
      <w:r>
        <w:fldChar w:fldCharType="end"/>
      </w:r>
      <w:r>
        <w:t>.  It follows that the complaint is manifestly ill-founded and must be rejected in accordance with Article 35 §§ 3 and 4 of the Convention.</w:t>
      </w:r>
    </w:p>
    <w:p w:rsidR="004C568D" w:rsidP="004C568D" w:rsidRDefault="004C568D">
      <w:pPr>
        <w:pStyle w:val="JuHHead"/>
      </w:pPr>
      <w:r w:rsidRPr="00E73B86">
        <w:t>FOR THESE REASONS, THE COURT</w:t>
      </w:r>
    </w:p>
    <w:p w:rsidRPr="00E73B86" w:rsidR="004C568D" w:rsidP="004C568D" w:rsidRDefault="004C568D">
      <w:pPr>
        <w:pStyle w:val="JuList"/>
      </w:pPr>
      <w:r w:rsidRPr="00E73B86">
        <w:t>1.  </w:t>
      </w:r>
      <w:r w:rsidRPr="00E73B86">
        <w:rPr>
          <w:i/>
        </w:rPr>
        <w:t>Declares</w:t>
      </w:r>
      <w:r>
        <w:t>,</w:t>
      </w:r>
      <w:r w:rsidRPr="00E73B86">
        <w:t xml:space="preserve"> unanimously</w:t>
      </w:r>
      <w:r>
        <w:t xml:space="preserve">, </w:t>
      </w:r>
      <w:r w:rsidRPr="00E73B86">
        <w:t>the complaint</w:t>
      </w:r>
      <w:r>
        <w:t>s</w:t>
      </w:r>
      <w:r w:rsidRPr="00E73B86">
        <w:t xml:space="preserve"> concerning </w:t>
      </w:r>
      <w:r>
        <w:t>Article 2 of Protocol No. 1 to the Convention</w:t>
      </w:r>
      <w:r w:rsidRPr="00E73B86">
        <w:t xml:space="preserve"> admissible and the remainder of the </w:t>
      </w:r>
      <w:r>
        <w:t>applications</w:t>
      </w:r>
      <w:r w:rsidRPr="00E73B86">
        <w:t xml:space="preserve"> inadmissible;</w:t>
      </w:r>
    </w:p>
    <w:p w:rsidRPr="00E73B86" w:rsidR="004C568D" w:rsidP="004C568D" w:rsidRDefault="004C568D">
      <w:pPr>
        <w:pStyle w:val="JuList"/>
      </w:pPr>
    </w:p>
    <w:p w:rsidR="004C568D" w:rsidP="004C568D" w:rsidRDefault="004C568D">
      <w:pPr>
        <w:pStyle w:val="JuList"/>
      </w:pPr>
      <w:r>
        <w:t>2</w:t>
      </w:r>
      <w:r w:rsidRPr="00E73B86">
        <w:t>.  </w:t>
      </w:r>
      <w:r w:rsidRPr="00E73B86">
        <w:rPr>
          <w:i/>
        </w:rPr>
        <w:t>Holds</w:t>
      </w:r>
      <w:r>
        <w:t>,</w:t>
      </w:r>
      <w:r w:rsidRPr="00E73B86">
        <w:t xml:space="preserve"> by </w:t>
      </w:r>
      <w:r>
        <w:t>six</w:t>
      </w:r>
      <w:r w:rsidRPr="00E73B86">
        <w:t xml:space="preserve"> votes to </w:t>
      </w:r>
      <w:r>
        <w:t>one,</w:t>
      </w:r>
      <w:r w:rsidRPr="00E73B86">
        <w:t xml:space="preserve"> that there has</w:t>
      </w:r>
      <w:r>
        <w:t xml:space="preserve"> </w:t>
      </w:r>
      <w:r w:rsidRPr="00EE184F">
        <w:t>not</w:t>
      </w:r>
      <w:r w:rsidRPr="00342AEA">
        <w:rPr>
          <w:b/>
        </w:rPr>
        <w:t xml:space="preserve"> </w:t>
      </w:r>
      <w:r w:rsidRPr="00E73B86">
        <w:t xml:space="preserve">been a violation of </w:t>
      </w:r>
      <w:r>
        <w:t xml:space="preserve">Article 2 of Protocol No. 1 to </w:t>
      </w:r>
      <w:r w:rsidRPr="00E73B86">
        <w:t>the Convention;</w:t>
      </w:r>
    </w:p>
    <w:p w:rsidRPr="00E73B86" w:rsidR="004C568D" w:rsidP="004C568D" w:rsidRDefault="004C568D">
      <w:pPr>
        <w:pStyle w:val="JuList"/>
      </w:pPr>
    </w:p>
    <w:p w:rsidRPr="00E73B86" w:rsidR="004C568D" w:rsidP="004C568D" w:rsidRDefault="004C568D">
      <w:pPr>
        <w:pStyle w:val="JuList"/>
      </w:pPr>
      <w:r>
        <w:t>3</w:t>
      </w:r>
      <w:r w:rsidRPr="00E73B86">
        <w:t>.  </w:t>
      </w:r>
      <w:r w:rsidRPr="00E73B86">
        <w:rPr>
          <w:i/>
        </w:rPr>
        <w:t>Holds</w:t>
      </w:r>
      <w:r>
        <w:t>,</w:t>
      </w:r>
      <w:r w:rsidRPr="00E73B86">
        <w:t xml:space="preserve"> unanimously</w:t>
      </w:r>
      <w:r>
        <w:t>,</w:t>
      </w:r>
      <w:r w:rsidRPr="00E73B86">
        <w:t xml:space="preserve"> that there has </w:t>
      </w:r>
      <w:r>
        <w:t xml:space="preserve">not </w:t>
      </w:r>
      <w:r w:rsidRPr="00E73B86">
        <w:t xml:space="preserve">been a violation of </w:t>
      </w:r>
      <w:r>
        <w:t>Article 2 of Protocol No. 1</w:t>
      </w:r>
      <w:r w:rsidRPr="00E73B86">
        <w:t xml:space="preserve"> </w:t>
      </w:r>
      <w:r>
        <w:t xml:space="preserve">to </w:t>
      </w:r>
      <w:r w:rsidRPr="00E73B86">
        <w:t>the Convention</w:t>
      </w:r>
      <w:r>
        <w:t xml:space="preserve"> in respect of the eighth applicant</w:t>
      </w:r>
      <w:r w:rsidR="006545FA">
        <w:t>’</w:t>
      </w:r>
      <w:r>
        <w:t>s further complaint.</w:t>
      </w:r>
    </w:p>
    <w:p w:rsidR="004C568D" w:rsidP="004C568D" w:rsidRDefault="004C568D">
      <w:pPr>
        <w:pStyle w:val="JuList"/>
      </w:pPr>
    </w:p>
    <w:p w:rsidRPr="00E73B86" w:rsidR="004C568D" w:rsidP="004C568D" w:rsidRDefault="004C568D">
      <w:pPr>
        <w:pStyle w:val="JuParaLast"/>
      </w:pPr>
      <w:r w:rsidRPr="00E73B86">
        <w:t xml:space="preserve">Done in English, and notified in writing on </w:t>
      </w:r>
      <w:r>
        <w:t>2 April 2013</w:t>
      </w:r>
      <w:r w:rsidRPr="00E73B86">
        <w:t>, pursuant to Rule 77 §§ 2 and 3 of the Rules of Court.</w:t>
      </w:r>
    </w:p>
    <w:p w:rsidR="004C568D" w:rsidP="004C568D" w:rsidRDefault="004C568D">
      <w:pPr>
        <w:pStyle w:val="JuSigned"/>
        <w:keepNext/>
        <w:keepLines/>
      </w:pPr>
      <w:r w:rsidRPr="00E73B86">
        <w:tab/>
      </w:r>
      <w:r>
        <w:t>Françoise Elens-Passos</w:t>
      </w:r>
      <w:r w:rsidRPr="00E73B86">
        <w:tab/>
      </w:r>
      <w:proofErr w:type="spellStart"/>
      <w:r w:rsidRPr="00E73B86">
        <w:rPr>
          <w:szCs w:val="24"/>
        </w:rPr>
        <w:t>Danutė</w:t>
      </w:r>
      <w:proofErr w:type="spellEnd"/>
      <w:r w:rsidRPr="00E73B86">
        <w:rPr>
          <w:szCs w:val="24"/>
        </w:rPr>
        <w:t xml:space="preserve"> </w:t>
      </w:r>
      <w:proofErr w:type="spellStart"/>
      <w:r w:rsidRPr="00E73B86">
        <w:rPr>
          <w:szCs w:val="24"/>
        </w:rPr>
        <w:t>Jočienė</w:t>
      </w:r>
      <w:proofErr w:type="spellEnd"/>
      <w:r>
        <w:rPr>
          <w:szCs w:val="24"/>
        </w:rPr>
        <w:br/>
        <w:t> </w:t>
      </w:r>
      <w:r w:rsidRPr="00E73B86">
        <w:tab/>
      </w:r>
      <w:r>
        <w:t xml:space="preserve">   Deputy </w:t>
      </w:r>
      <w:r w:rsidRPr="00E73B86">
        <w:rPr>
          <w:iCs/>
        </w:rPr>
        <w:t>Registrar</w:t>
      </w:r>
      <w:r w:rsidRPr="00E73B86">
        <w:tab/>
        <w:t>President</w:t>
      </w:r>
    </w:p>
    <w:p w:rsidR="004C568D" w:rsidP="004C568D" w:rsidRDefault="004C568D">
      <w:pPr>
        <w:pStyle w:val="JuParaLast"/>
        <w:rPr>
          <w:lang w:eastAsia="en-GB"/>
        </w:rPr>
      </w:pPr>
      <w:r w:rsidRPr="00F30CB0">
        <w:rPr>
          <w:lang w:eastAsia="en-GB"/>
        </w:rPr>
        <w:t xml:space="preserve">In accordance with Article 45 § 2 of the Convention and Rule 74 § 2 of </w:t>
      </w:r>
      <w:r>
        <w:rPr>
          <w:lang w:eastAsia="en-GB"/>
        </w:rPr>
        <w:t>the Rules of Court, the partly dissenting</w:t>
      </w:r>
      <w:r w:rsidRPr="00F30CB0">
        <w:rPr>
          <w:lang w:eastAsia="en-GB"/>
        </w:rPr>
        <w:t xml:space="preserve"> opinion of Judge </w:t>
      </w:r>
      <w:r>
        <w:rPr>
          <w:lang w:eastAsia="en-GB"/>
        </w:rPr>
        <w:t>Pinto de Albuquerque</w:t>
      </w:r>
      <w:r w:rsidRPr="00A729FE">
        <w:rPr>
          <w:lang w:eastAsia="en-GB"/>
        </w:rPr>
        <w:t xml:space="preserve"> </w:t>
      </w:r>
      <w:r w:rsidRPr="00F30CB0">
        <w:rPr>
          <w:lang w:eastAsia="en-GB"/>
        </w:rPr>
        <w:t>is annexed to this judgment.</w:t>
      </w:r>
    </w:p>
    <w:p w:rsidR="004C568D" w:rsidP="004C568D" w:rsidRDefault="004C568D">
      <w:pPr>
        <w:pStyle w:val="JuInitialled"/>
        <w:rPr>
          <w:lang w:eastAsia="en-GB"/>
        </w:rPr>
      </w:pPr>
      <w:r>
        <w:rPr>
          <w:lang w:eastAsia="en-GB"/>
        </w:rPr>
        <w:t>D.J.</w:t>
      </w:r>
      <w:r w:rsidRPr="00F30CB0">
        <w:rPr>
          <w:lang w:eastAsia="en-GB"/>
        </w:rPr>
        <w:br/>
      </w:r>
      <w:r>
        <w:rPr>
          <w:lang w:eastAsia="en-GB"/>
        </w:rPr>
        <w:t>F.E.P</w:t>
      </w:r>
      <w:r w:rsidRPr="00F30CB0">
        <w:rPr>
          <w:lang w:eastAsia="en-GB"/>
        </w:rPr>
        <w:t>.</w:t>
      </w:r>
    </w:p>
    <w:p w:rsidR="004C568D" w:rsidP="004C568D" w:rsidRDefault="004C568D">
      <w:pPr>
        <w:pStyle w:val="JuParaLast"/>
        <w:jc w:val="right"/>
      </w:pPr>
    </w:p>
    <w:p w:rsidRPr="004F5425" w:rsidR="004F5425" w:rsidP="004F5425" w:rsidRDefault="004F5425">
      <w:pPr>
        <w:pStyle w:val="JuPara"/>
      </w:pPr>
    </w:p>
    <w:p w:rsidR="004C568D" w:rsidP="004C568D" w:rsidRDefault="004C568D">
      <w:pPr>
        <w:pStyle w:val="JuPara"/>
        <w:sectPr w:rsidR="004C568D" w:rsidSect="00DA7040">
          <w:headerReference w:type="even" r:id="rId11"/>
          <w:headerReference w:type="default" r:id="rId12"/>
          <w:footerReference w:type="even" r:id="rId13"/>
          <w:footnotePr>
            <w:numRestart w:val="eachPage"/>
          </w:footnotePr>
          <w:pgSz w:w="11906" w:h="16838" w:code="9"/>
          <w:pgMar w:top="2274" w:right="2274" w:bottom="2274" w:left="2274" w:header="1701" w:footer="720" w:gutter="0"/>
          <w:pgNumType w:start="1"/>
          <w:cols w:space="720"/>
          <w:docGrid w:linePitch="326"/>
        </w:sectPr>
      </w:pPr>
    </w:p>
    <w:p w:rsidR="004C568D" w:rsidP="004C568D" w:rsidRDefault="004C568D">
      <w:pPr>
        <w:pStyle w:val="JuPara"/>
        <w:jc w:val="center"/>
        <w:rPr>
          <w:b/>
        </w:rPr>
      </w:pPr>
      <w:r w:rsidRPr="002D2654">
        <w:rPr>
          <w:b/>
        </w:rPr>
        <w:t>ANNEX</w:t>
      </w:r>
    </w:p>
    <w:p w:rsidRPr="002D2654" w:rsidR="004C568D" w:rsidP="004C568D" w:rsidRDefault="004C568D">
      <w:pPr>
        <w:pStyle w:val="JuPara"/>
        <w:jc w:val="center"/>
        <w:rPr>
          <w:b/>
        </w:rPr>
      </w:pPr>
    </w:p>
    <w:tbl>
      <w:tblPr>
        <w:tblW w:w="6720" w:type="dxa"/>
        <w:tblInd w:w="93" w:type="dxa"/>
        <w:tblLook w:val="0000" w:firstRow="0" w:lastRow="0" w:firstColumn="0" w:lastColumn="0" w:noHBand="0" w:noVBand="0"/>
      </w:tblPr>
      <w:tblGrid>
        <w:gridCol w:w="1770"/>
        <w:gridCol w:w="1824"/>
        <w:gridCol w:w="3126"/>
      </w:tblGrid>
      <w:tr w:rsidRPr="002D2654" w:rsidR="004C568D" w:rsidTr="00BB5D97">
        <w:trPr>
          <w:trHeight w:val="255"/>
        </w:trPr>
        <w:tc>
          <w:tcPr>
            <w:tcW w:w="1770" w:type="dxa"/>
            <w:tcBorders>
              <w:top w:val="single" w:color="auto" w:sz="4" w:space="0"/>
              <w:left w:val="single" w:color="auto" w:sz="4" w:space="0"/>
              <w:bottom w:val="single" w:color="auto" w:sz="4" w:space="0"/>
              <w:right w:val="single" w:color="auto" w:sz="4" w:space="0"/>
            </w:tcBorders>
            <w:shd w:val="clear" w:color="auto" w:fill="auto"/>
            <w:vAlign w:val="bottom"/>
          </w:tcPr>
          <w:p w:rsidRPr="00F25FD2" w:rsidR="004C568D" w:rsidP="00BB5D97" w:rsidRDefault="004C568D">
            <w:pPr>
              <w:suppressAutoHyphens w:val="0"/>
              <w:rPr>
                <w:rFonts w:ascii="Arial" w:hAnsi="Arial" w:cs="Arial"/>
                <w:b/>
                <w:sz w:val="20"/>
                <w:lang w:eastAsia="en-GB"/>
              </w:rPr>
            </w:pPr>
            <w:r w:rsidRPr="00F25FD2">
              <w:rPr>
                <w:rFonts w:ascii="Arial" w:hAnsi="Arial" w:cs="Arial"/>
                <w:b/>
                <w:sz w:val="20"/>
                <w:lang w:eastAsia="en-GB"/>
              </w:rPr>
              <w:t>Application nos.</w:t>
            </w:r>
          </w:p>
        </w:tc>
        <w:tc>
          <w:tcPr>
            <w:tcW w:w="1824" w:type="dxa"/>
            <w:tcBorders>
              <w:top w:val="single" w:color="auto" w:sz="4" w:space="0"/>
              <w:left w:val="nil"/>
              <w:bottom w:val="single" w:color="auto" w:sz="4" w:space="0"/>
              <w:right w:val="single" w:color="auto" w:sz="4" w:space="0"/>
            </w:tcBorders>
            <w:shd w:val="clear" w:color="auto" w:fill="auto"/>
            <w:vAlign w:val="bottom"/>
          </w:tcPr>
          <w:p w:rsidRPr="00F25FD2" w:rsidR="004C568D" w:rsidP="00BB5D97" w:rsidRDefault="004C568D">
            <w:pPr>
              <w:suppressAutoHyphens w:val="0"/>
              <w:rPr>
                <w:rFonts w:ascii="Arial" w:hAnsi="Arial" w:cs="Arial"/>
                <w:b/>
                <w:sz w:val="20"/>
                <w:lang w:eastAsia="en-GB"/>
              </w:rPr>
            </w:pPr>
            <w:r w:rsidRPr="00F25FD2">
              <w:rPr>
                <w:rFonts w:ascii="Arial" w:hAnsi="Arial" w:cs="Arial"/>
                <w:b/>
                <w:sz w:val="20"/>
                <w:lang w:eastAsia="en-GB"/>
              </w:rPr>
              <w:t>Date of introduction</w:t>
            </w:r>
          </w:p>
        </w:tc>
        <w:tc>
          <w:tcPr>
            <w:tcW w:w="3126" w:type="dxa"/>
            <w:tcBorders>
              <w:top w:val="single" w:color="auto" w:sz="4" w:space="0"/>
              <w:left w:val="nil"/>
              <w:bottom w:val="single" w:color="auto" w:sz="4" w:space="0"/>
              <w:right w:val="single" w:color="auto" w:sz="4" w:space="0"/>
            </w:tcBorders>
            <w:shd w:val="clear" w:color="auto" w:fill="auto"/>
            <w:vAlign w:val="bottom"/>
          </w:tcPr>
          <w:p w:rsidRPr="00F25FD2" w:rsidR="004C568D" w:rsidP="00BB5D97" w:rsidRDefault="004C568D">
            <w:pPr>
              <w:suppressAutoHyphens w:val="0"/>
              <w:rPr>
                <w:rFonts w:ascii="Arial" w:hAnsi="Arial" w:cs="Arial"/>
                <w:b/>
                <w:sz w:val="20"/>
                <w:lang w:eastAsia="en-GB"/>
              </w:rPr>
            </w:pPr>
            <w:r w:rsidRPr="00F25FD2">
              <w:rPr>
                <w:rFonts w:ascii="Arial" w:hAnsi="Arial" w:cs="Arial"/>
                <w:b/>
                <w:sz w:val="20"/>
                <w:lang w:eastAsia="en-GB"/>
              </w:rPr>
              <w:t>Name, DOB, residence</w:t>
            </w:r>
          </w:p>
        </w:tc>
      </w:tr>
      <w:tr w:rsidRPr="002D2654" w:rsidR="004C568D" w:rsidTr="00BB5D97">
        <w:trPr>
          <w:trHeight w:val="315"/>
        </w:trPr>
        <w:tc>
          <w:tcPr>
            <w:tcW w:w="1770" w:type="dxa"/>
            <w:vMerge w:val="restart"/>
            <w:tcBorders>
              <w:top w:val="nil"/>
              <w:left w:val="single" w:color="auto" w:sz="4" w:space="0"/>
              <w:bottom w:val="single" w:color="auto" w:sz="4" w:space="0"/>
              <w:right w:val="single" w:color="auto" w:sz="4" w:space="0"/>
            </w:tcBorders>
            <w:shd w:val="clear" w:color="auto" w:fill="auto"/>
            <w:vAlign w:val="bottom"/>
          </w:tcPr>
          <w:p w:rsidRPr="00E71F5E" w:rsidR="004C568D" w:rsidP="00BB5D97" w:rsidRDefault="004C568D">
            <w:pPr>
              <w:suppressAutoHyphens w:val="0"/>
              <w:jc w:val="both"/>
              <w:rPr>
                <w:i/>
                <w:szCs w:val="24"/>
                <w:lang w:eastAsia="en-GB"/>
              </w:rPr>
            </w:pPr>
            <w:r w:rsidRPr="00E71F5E">
              <w:rPr>
                <w:i/>
                <w:szCs w:val="24"/>
                <w:lang w:eastAsia="en-GB"/>
              </w:rPr>
              <w:t>25851/09</w:t>
            </w:r>
          </w:p>
        </w:tc>
        <w:tc>
          <w:tcPr>
            <w:tcW w:w="1824" w:type="dxa"/>
            <w:vMerge w:val="restart"/>
            <w:tcBorders>
              <w:top w:val="nil"/>
              <w:left w:val="single" w:color="auto" w:sz="4" w:space="0"/>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18/05/2009</w:t>
            </w: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Pr>
                <w:b/>
                <w:bCs/>
                <w:szCs w:val="24"/>
                <w:lang w:eastAsia="en-GB"/>
              </w:rPr>
              <w:t>C</w:t>
            </w:r>
            <w:r w:rsidRPr="002D2654">
              <w:rPr>
                <w:b/>
                <w:bCs/>
                <w:szCs w:val="24"/>
                <w:lang w:eastAsia="en-GB"/>
              </w:rPr>
              <w:t>l</w:t>
            </w:r>
            <w:r>
              <w:rPr>
                <w:b/>
                <w:bCs/>
                <w:szCs w:val="24"/>
                <w:lang w:eastAsia="en-GB"/>
              </w:rPr>
              <w:t>a</w:t>
            </w:r>
            <w:r w:rsidRPr="002D2654">
              <w:rPr>
                <w:b/>
                <w:bCs/>
                <w:szCs w:val="24"/>
                <w:lang w:eastAsia="en-GB"/>
              </w:rPr>
              <w:t>udia TARANTINO</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22/07/1988</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smartTag w:uri="urn:schemas-microsoft-com:office:smarttags" w:element="place">
              <w:smartTag w:uri="urn:schemas-microsoft-com:office:smarttags" w:element="City">
                <w:smartTagPr>
                  <w:attr w:name="w:st" w:val="on"/>
                </w:smartTagPr>
                <w:r w:rsidRPr="002D2654">
                  <w:rPr>
                    <w:szCs w:val="24"/>
                    <w:lang w:eastAsia="en-GB"/>
                  </w:rPr>
                  <w:t>Palermo</w:t>
                </w:r>
              </w:smartTag>
            </w:smartTag>
            <w:r w:rsidRPr="002D2654">
              <w:rPr>
                <w:szCs w:val="24"/>
                <w:lang w:eastAsia="en-GB"/>
              </w:rPr>
              <w:t xml:space="preserve">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val="restart"/>
            <w:tcBorders>
              <w:top w:val="nil"/>
              <w:left w:val="single" w:color="auto" w:sz="4" w:space="0"/>
              <w:bottom w:val="single" w:color="auto" w:sz="4" w:space="0"/>
              <w:right w:val="single" w:color="auto" w:sz="4" w:space="0"/>
            </w:tcBorders>
            <w:shd w:val="clear" w:color="auto" w:fill="auto"/>
            <w:vAlign w:val="bottom"/>
          </w:tcPr>
          <w:p w:rsidRPr="00E71F5E" w:rsidR="004C568D" w:rsidP="00BB5D97" w:rsidRDefault="004C568D">
            <w:pPr>
              <w:suppressAutoHyphens w:val="0"/>
              <w:jc w:val="both"/>
              <w:rPr>
                <w:i/>
                <w:szCs w:val="24"/>
                <w:lang w:eastAsia="en-GB"/>
              </w:rPr>
            </w:pPr>
            <w:r w:rsidRPr="00E71F5E">
              <w:rPr>
                <w:i/>
                <w:szCs w:val="24"/>
                <w:lang w:eastAsia="en-GB"/>
              </w:rPr>
              <w:t>29284/09</w:t>
            </w:r>
          </w:p>
        </w:tc>
        <w:tc>
          <w:tcPr>
            <w:tcW w:w="1824" w:type="dxa"/>
            <w:vMerge w:val="restart"/>
            <w:tcBorders>
              <w:top w:val="nil"/>
              <w:left w:val="single" w:color="auto" w:sz="4" w:space="0"/>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02/11/2009</w:t>
            </w: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Giuseppe REITANO</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30/01/1973</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smartTag w:uri="urn:schemas-microsoft-com:office:smarttags" w:element="place">
              <w:smartTag w:uri="urn:schemas-microsoft-com:office:smarttags" w:element="City">
                <w:smartTagPr>
                  <w:attr w:name="w:st" w:val="on"/>
                </w:smartTagPr>
                <w:r w:rsidRPr="002D2654">
                  <w:rPr>
                    <w:szCs w:val="24"/>
                    <w:lang w:eastAsia="en-GB"/>
                  </w:rPr>
                  <w:t>Catania</w:t>
                </w:r>
              </w:smartTag>
            </w:smartTag>
            <w:r w:rsidRPr="002D2654">
              <w:rPr>
                <w:szCs w:val="24"/>
                <w:lang w:eastAsia="en-GB"/>
              </w:rPr>
              <w:t xml:space="preserve">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val="restart"/>
            <w:tcBorders>
              <w:top w:val="nil"/>
              <w:left w:val="single" w:color="auto" w:sz="4" w:space="0"/>
              <w:bottom w:val="single" w:color="auto" w:sz="4" w:space="0"/>
              <w:right w:val="single" w:color="auto" w:sz="4" w:space="0"/>
            </w:tcBorders>
            <w:shd w:val="clear" w:color="auto" w:fill="auto"/>
            <w:vAlign w:val="bottom"/>
          </w:tcPr>
          <w:p w:rsidRPr="00E71F5E" w:rsidR="004C568D" w:rsidP="00BB5D97" w:rsidRDefault="004C568D">
            <w:pPr>
              <w:suppressAutoHyphens w:val="0"/>
              <w:jc w:val="both"/>
              <w:rPr>
                <w:i/>
                <w:szCs w:val="24"/>
                <w:lang w:eastAsia="en-GB"/>
              </w:rPr>
            </w:pPr>
            <w:r w:rsidRPr="00E71F5E">
              <w:rPr>
                <w:i/>
                <w:szCs w:val="24"/>
                <w:lang w:eastAsia="en-GB"/>
              </w:rPr>
              <w:t>64090/09</w:t>
            </w:r>
          </w:p>
        </w:tc>
        <w:tc>
          <w:tcPr>
            <w:tcW w:w="1824" w:type="dxa"/>
            <w:vMerge w:val="restart"/>
            <w:tcBorders>
              <w:top w:val="nil"/>
              <w:left w:val="single" w:color="auto" w:sz="4" w:space="0"/>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16/11/2009</w:t>
            </w: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Laura AZIZ</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22/10/1985</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Milano</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Maurizio BRANCADORI</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01/06/1966</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Macerata</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 xml:space="preserve">Massimo CROSIA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21/01/1969</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smartTag w:uri="urn:schemas-microsoft-com:office:smarttags" w:element="place">
              <w:smartTag w:uri="urn:schemas-microsoft-com:office:smarttags" w:element="City">
                <w:r w:rsidRPr="002D2654">
                  <w:rPr>
                    <w:szCs w:val="24"/>
                    <w:lang w:eastAsia="en-GB"/>
                  </w:rPr>
                  <w:t>Piacenza</w:t>
                </w:r>
              </w:smartTag>
            </w:smartTag>
            <w:r w:rsidRPr="002D2654">
              <w:rPr>
                <w:szCs w:val="24"/>
                <w:lang w:eastAsia="en-GB"/>
              </w:rPr>
              <w:t xml:space="preserve">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Massimo FILETTI</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11/12/1967</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smartTag w:uri="urn:schemas-microsoft-com:office:smarttags" w:element="place">
              <w:smartTag w:uri="urn:schemas-microsoft-com:office:smarttags" w:element="City">
                <w:r w:rsidRPr="002D2654">
                  <w:rPr>
                    <w:szCs w:val="24"/>
                    <w:lang w:eastAsia="en-GB"/>
                  </w:rPr>
                  <w:t>Catania</w:t>
                </w:r>
              </w:smartTag>
            </w:smartTag>
            <w:r w:rsidRPr="002D2654">
              <w:rPr>
                <w:szCs w:val="24"/>
                <w:lang w:eastAsia="en-GB"/>
              </w:rPr>
              <w:t xml:space="preserve">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proofErr w:type="spellStart"/>
            <w:r w:rsidRPr="002D2654">
              <w:rPr>
                <w:b/>
                <w:bCs/>
                <w:szCs w:val="24"/>
                <w:lang w:eastAsia="en-GB"/>
              </w:rPr>
              <w:t>Pasqualino</w:t>
            </w:r>
            <w:proofErr w:type="spellEnd"/>
            <w:r w:rsidRPr="002D2654">
              <w:rPr>
                <w:b/>
                <w:bCs/>
                <w:szCs w:val="24"/>
                <w:lang w:eastAsia="en-GB"/>
              </w:rPr>
              <w:t xml:space="preserve"> LA MELA</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24/04/1969</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smartTag w:uri="urn:schemas-microsoft-com:office:smarttags" w:element="place">
              <w:smartTag w:uri="urn:schemas-microsoft-com:office:smarttags" w:element="City">
                <w:r w:rsidRPr="002D2654">
                  <w:rPr>
                    <w:szCs w:val="24"/>
                    <w:lang w:eastAsia="en-GB"/>
                  </w:rPr>
                  <w:t>Catania</w:t>
                </w:r>
              </w:smartTag>
            </w:smartTag>
            <w:r w:rsidRPr="002D2654">
              <w:rPr>
                <w:szCs w:val="24"/>
                <w:lang w:eastAsia="en-GB"/>
              </w:rPr>
              <w:t xml:space="preserve">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 </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b/>
                <w:bCs/>
                <w:szCs w:val="24"/>
                <w:lang w:eastAsia="en-GB"/>
              </w:rPr>
            </w:pPr>
            <w:r w:rsidRPr="002D2654">
              <w:rPr>
                <w:b/>
                <w:bCs/>
                <w:szCs w:val="24"/>
                <w:lang w:eastAsia="en-GB"/>
              </w:rPr>
              <w:t>Carmelo MARCUZZO</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r w:rsidRPr="002D2654">
              <w:rPr>
                <w:szCs w:val="24"/>
                <w:lang w:eastAsia="en-GB"/>
              </w:rPr>
              <w:t>23/11/1974</w:t>
            </w:r>
          </w:p>
        </w:tc>
      </w:tr>
      <w:tr w:rsidRPr="002D2654" w:rsidR="004C568D" w:rsidTr="00BB5D97">
        <w:trPr>
          <w:trHeight w:val="3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proofErr w:type="spellStart"/>
            <w:r w:rsidRPr="002D2654">
              <w:rPr>
                <w:szCs w:val="24"/>
                <w:lang w:eastAsia="en-GB"/>
              </w:rPr>
              <w:t>Siracusa</w:t>
            </w:r>
            <w:proofErr w:type="spellEnd"/>
          </w:p>
        </w:tc>
      </w:tr>
      <w:tr w:rsidRPr="002D2654" w:rsidR="004C568D" w:rsidTr="00BB5D97">
        <w:trPr>
          <w:trHeight w:val="15"/>
        </w:trPr>
        <w:tc>
          <w:tcPr>
            <w:tcW w:w="1770"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1824" w:type="dxa"/>
            <w:vMerge/>
            <w:tcBorders>
              <w:top w:val="nil"/>
              <w:left w:val="single" w:color="auto" w:sz="4" w:space="0"/>
              <w:bottom w:val="single" w:color="auto" w:sz="4" w:space="0"/>
              <w:right w:val="single" w:color="auto" w:sz="4" w:space="0"/>
            </w:tcBorders>
            <w:vAlign w:val="center"/>
          </w:tcPr>
          <w:p w:rsidRPr="002D2654" w:rsidR="004C568D" w:rsidP="00BB5D97" w:rsidRDefault="004C568D">
            <w:pPr>
              <w:suppressAutoHyphens w:val="0"/>
              <w:rPr>
                <w:szCs w:val="24"/>
                <w:lang w:eastAsia="en-GB"/>
              </w:rPr>
            </w:pPr>
          </w:p>
        </w:tc>
        <w:tc>
          <w:tcPr>
            <w:tcW w:w="3126" w:type="dxa"/>
            <w:tcBorders>
              <w:top w:val="single" w:color="auto" w:sz="4" w:space="0"/>
              <w:left w:val="nil"/>
              <w:bottom w:val="single" w:color="auto" w:sz="4" w:space="0"/>
              <w:right w:val="single" w:color="auto" w:sz="4" w:space="0"/>
            </w:tcBorders>
            <w:shd w:val="clear" w:color="auto" w:fill="auto"/>
            <w:vAlign w:val="bottom"/>
          </w:tcPr>
          <w:p w:rsidRPr="002D2654" w:rsidR="004C568D" w:rsidP="00BB5D97" w:rsidRDefault="004C568D">
            <w:pPr>
              <w:suppressAutoHyphens w:val="0"/>
              <w:jc w:val="both"/>
              <w:rPr>
                <w:szCs w:val="24"/>
                <w:lang w:eastAsia="en-GB"/>
              </w:rPr>
            </w:pPr>
          </w:p>
        </w:tc>
      </w:tr>
    </w:tbl>
    <w:p w:rsidR="004C568D" w:rsidP="004C568D" w:rsidRDefault="004C568D">
      <w:pPr>
        <w:pStyle w:val="JuPara"/>
      </w:pPr>
    </w:p>
    <w:p w:rsidR="004F5425" w:rsidP="004C568D" w:rsidRDefault="004F5425">
      <w:pPr>
        <w:pStyle w:val="JuPara"/>
        <w:sectPr w:rsidR="004F5425" w:rsidSect="00E86895">
          <w:headerReference w:type="default" r:id="rId14"/>
          <w:footnotePr>
            <w:numRestart w:val="eachPage"/>
          </w:footnotePr>
          <w:pgSz w:w="11906" w:h="16838" w:code="9"/>
          <w:pgMar w:top="2274" w:right="2274" w:bottom="2274" w:left="2274" w:header="1701" w:footer="720" w:gutter="0"/>
          <w:cols w:space="720"/>
          <w:docGrid w:linePitch="326"/>
        </w:sectPr>
      </w:pPr>
    </w:p>
    <w:p w:rsidR="004F5425" w:rsidP="004C568D" w:rsidRDefault="004F5425">
      <w:pPr>
        <w:pStyle w:val="JuPara"/>
        <w:sectPr w:rsidR="004F5425" w:rsidSect="004F5425">
          <w:footnotePr>
            <w:numRestart w:val="eachPage"/>
          </w:footnotePr>
          <w:type w:val="continuous"/>
          <w:pgSz w:w="11906" w:h="16838" w:code="9"/>
          <w:pgMar w:top="2274" w:right="2274" w:bottom="2274" w:left="2274" w:header="1701" w:footer="720" w:gutter="0"/>
          <w:cols w:space="720"/>
          <w:docGrid w:linePitch="326"/>
        </w:sectPr>
      </w:pPr>
    </w:p>
    <w:p w:rsidRPr="00F6058D" w:rsidR="00A64543" w:rsidP="00A64543" w:rsidRDefault="00A64543">
      <w:pPr>
        <w:pStyle w:val="OpiHHead"/>
      </w:pPr>
      <w:r>
        <w:t>PARTLY DISSENTING OPINION OF JUDGE PINTO DE ALBUQUERQUE</w:t>
      </w:r>
    </w:p>
    <w:p w:rsidRPr="00DB3073" w:rsidR="00A64543" w:rsidP="00A64543" w:rsidRDefault="00A64543">
      <w:pPr>
        <w:pStyle w:val="OpiPara"/>
      </w:pPr>
      <w:r w:rsidRPr="0090223D">
        <w:rPr>
          <w:lang w:val="en-US"/>
        </w:rPr>
        <w:t xml:space="preserve">The </w:t>
      </w:r>
      <w:r w:rsidRPr="0090223D">
        <w:rPr>
          <w:i/>
        </w:rPr>
        <w:t>Tarantino and Others</w:t>
      </w:r>
      <w:r w:rsidRPr="00AC5CA7">
        <w:t xml:space="preserve"> </w:t>
      </w:r>
      <w:r>
        <w:t xml:space="preserve">case deals with a State-imposed </w:t>
      </w:r>
      <w:proofErr w:type="spellStart"/>
      <w:r w:rsidRPr="0090223D">
        <w:rPr>
          <w:i/>
        </w:rPr>
        <w:t>numerus</w:t>
      </w:r>
      <w:r>
        <w:rPr>
          <w:i/>
        </w:rPr>
        <w:t>-</w:t>
      </w:r>
      <w:r w:rsidRPr="0090223D">
        <w:rPr>
          <w:i/>
        </w:rPr>
        <w:t>clausus</w:t>
      </w:r>
      <w:proofErr w:type="spellEnd"/>
      <w:r>
        <w:t xml:space="preserve"> system for obtaining access to State or private university studies in certain areas such as dentistry and medicine. The dispute revolves around the disproportionate criteria used by the Government to regulate the </w:t>
      </w:r>
      <w:proofErr w:type="spellStart"/>
      <w:r w:rsidRPr="0090223D">
        <w:rPr>
          <w:i/>
        </w:rPr>
        <w:t>numerus</w:t>
      </w:r>
      <w:proofErr w:type="spellEnd"/>
      <w:r w:rsidRPr="0090223D">
        <w:rPr>
          <w:i/>
        </w:rPr>
        <w:t xml:space="preserve"> </w:t>
      </w:r>
      <w:proofErr w:type="spellStart"/>
      <w:r w:rsidRPr="0090223D">
        <w:rPr>
          <w:i/>
        </w:rPr>
        <w:t>clausus</w:t>
      </w:r>
      <w:proofErr w:type="spellEnd"/>
      <w:r>
        <w:t xml:space="preserve">, but underlying this question of proportionality are fundamental issues such as the scope and implications of the right to university education and the States Parties’ margin of appreciation in university regulation. With all due respect, I cannot agree with the majority, since I find that the criteria used by the respondent State were indeed disproportionate. With </w:t>
      </w:r>
      <w:r w:rsidRPr="00DB3073">
        <w:t xml:space="preserve">regard to the </w:t>
      </w:r>
      <w:r>
        <w:t xml:space="preserve">applicants’ </w:t>
      </w:r>
      <w:r w:rsidRPr="00DB3073">
        <w:t>other complaints, I concur with the majority.</w:t>
      </w:r>
    </w:p>
    <w:p w:rsidRPr="00BA207E" w:rsidR="00A64543" w:rsidP="00A64543" w:rsidRDefault="00A64543">
      <w:pPr>
        <w:pStyle w:val="OpiPara"/>
        <w:spacing w:before="240" w:after="120"/>
        <w:rPr>
          <w:b/>
          <w:bCs/>
        </w:rPr>
      </w:pPr>
      <w:r w:rsidRPr="00BA207E">
        <w:rPr>
          <w:b/>
          <w:bCs/>
        </w:rPr>
        <w:t>University education as a human right</w:t>
      </w:r>
    </w:p>
    <w:p w:rsidR="00A64543" w:rsidP="00A64543" w:rsidRDefault="00A64543">
      <w:pPr>
        <w:pStyle w:val="OpiPara"/>
      </w:pPr>
      <w:r>
        <w:rPr>
          <w:u w:val="single"/>
        </w:rPr>
        <w:t xml:space="preserve">The right to university education is a human right. </w:t>
      </w:r>
      <w:r w:rsidRPr="00F42377">
        <w:rPr>
          <w:u w:val="single"/>
        </w:rPr>
        <w:t xml:space="preserve">In spite of the negative formulation of Article 2 of Protocol </w:t>
      </w:r>
      <w:r>
        <w:rPr>
          <w:u w:val="single"/>
        </w:rPr>
        <w:t xml:space="preserve">No. </w:t>
      </w:r>
      <w:r w:rsidRPr="00F42377">
        <w:rPr>
          <w:u w:val="single"/>
        </w:rPr>
        <w:t xml:space="preserve">1, </w:t>
      </w:r>
      <w:r>
        <w:rPr>
          <w:u w:val="single"/>
        </w:rPr>
        <w:t>States P</w:t>
      </w:r>
      <w:r w:rsidRPr="00F42377">
        <w:rPr>
          <w:u w:val="single"/>
        </w:rPr>
        <w:t xml:space="preserve">arties have </w:t>
      </w:r>
      <w:r>
        <w:rPr>
          <w:u w:val="single"/>
        </w:rPr>
        <w:t xml:space="preserve">a </w:t>
      </w:r>
      <w:r w:rsidRPr="00F42377">
        <w:rPr>
          <w:u w:val="single"/>
        </w:rPr>
        <w:t xml:space="preserve">positive obligation to provide not only </w:t>
      </w:r>
      <w:r>
        <w:rPr>
          <w:u w:val="single"/>
        </w:rPr>
        <w:t xml:space="preserve">access </w:t>
      </w:r>
      <w:r w:rsidRPr="00F42377">
        <w:rPr>
          <w:u w:val="single"/>
        </w:rPr>
        <w:t>to the existing schools and education</w:t>
      </w:r>
      <w:r>
        <w:rPr>
          <w:u w:val="single"/>
        </w:rPr>
        <w:t xml:space="preserve">al establishments and </w:t>
      </w:r>
      <w:r w:rsidRPr="008723D8">
        <w:rPr>
          <w:u w:val="single"/>
        </w:rPr>
        <w:t>offi</w:t>
      </w:r>
      <w:r>
        <w:rPr>
          <w:u w:val="single"/>
        </w:rPr>
        <w:t>c</w:t>
      </w:r>
      <w:r w:rsidRPr="008723D8">
        <w:rPr>
          <w:u w:val="single"/>
        </w:rPr>
        <w:t xml:space="preserve">ial recognition of </w:t>
      </w:r>
      <w:r>
        <w:rPr>
          <w:u w:val="single"/>
        </w:rPr>
        <w:t xml:space="preserve">completed </w:t>
      </w:r>
      <w:r w:rsidRPr="008723D8">
        <w:rPr>
          <w:u w:val="single"/>
        </w:rPr>
        <w:t>studies</w:t>
      </w:r>
      <w:r w:rsidRPr="00F42377">
        <w:rPr>
          <w:rStyle w:val="FootnoteReference"/>
          <w:u w:val="single"/>
        </w:rPr>
        <w:footnoteReference w:id="1"/>
      </w:r>
      <w:r w:rsidRPr="00F42377">
        <w:rPr>
          <w:u w:val="single"/>
        </w:rPr>
        <w:t xml:space="preserve">, but also to promote access to education </w:t>
      </w:r>
      <w:r>
        <w:rPr>
          <w:u w:val="single"/>
        </w:rPr>
        <w:t xml:space="preserve">for every child, </w:t>
      </w:r>
      <w:r w:rsidRPr="00F42377">
        <w:rPr>
          <w:u w:val="single"/>
        </w:rPr>
        <w:t>if necessary by creating additional educational possibilities</w:t>
      </w:r>
      <w:r>
        <w:rPr>
          <w:u w:val="single"/>
        </w:rPr>
        <w:t>.</w:t>
      </w:r>
      <w:r>
        <w:t xml:space="preserve"> This broad international obligation is also supported by Article 28 of the United Nations Convention on the Rights of the Child (193 States Parties, including the respondent State, which ratified it in 1991 without reservations), read in conjunction with Article 26 </w:t>
      </w:r>
      <w:r w:rsidRPr="00E379DA">
        <w:rPr>
          <w:lang w:val="en-US"/>
        </w:rPr>
        <w:t>§</w:t>
      </w:r>
      <w:r>
        <w:t xml:space="preserve"> 1 of the Universal Declaration of Human Rights and Article 13 of the International Covenant on Economic, Social and Cultural Rights (160 States Parties, including the respondent State, which ratified it in 1978 without </w:t>
      </w:r>
      <w:r w:rsidRPr="007762F3">
        <w:t>reservations</w:t>
      </w:r>
      <w:r>
        <w:t>)</w:t>
      </w:r>
      <w:r w:rsidRPr="007762F3">
        <w:rPr>
          <w:rStyle w:val="FootnoteReference"/>
        </w:rPr>
        <w:footnoteReference w:id="2"/>
      </w:r>
      <w:r w:rsidRPr="007762F3">
        <w:t>.</w:t>
      </w:r>
      <w:r>
        <w:t xml:space="preserve"> </w:t>
      </w:r>
      <w:r w:rsidRPr="00DB3D4A">
        <w:rPr>
          <w:u w:val="single"/>
        </w:rPr>
        <w:t>Th</w:t>
      </w:r>
      <w:r>
        <w:rPr>
          <w:u w:val="single"/>
        </w:rPr>
        <w:t>e</w:t>
      </w:r>
      <w:r w:rsidRPr="00DB3D4A">
        <w:rPr>
          <w:u w:val="single"/>
        </w:rPr>
        <w:t xml:space="preserve"> </w:t>
      </w:r>
      <w:r>
        <w:rPr>
          <w:u w:val="single"/>
        </w:rPr>
        <w:t xml:space="preserve">States Parties’ </w:t>
      </w:r>
      <w:r w:rsidRPr="00DB3D4A">
        <w:rPr>
          <w:u w:val="single"/>
        </w:rPr>
        <w:t xml:space="preserve">obligation corresponds to a human right </w:t>
      </w:r>
      <w:r>
        <w:rPr>
          <w:u w:val="single"/>
        </w:rPr>
        <w:t xml:space="preserve">to education in </w:t>
      </w:r>
      <w:r w:rsidRPr="00DB3D4A">
        <w:rPr>
          <w:u w:val="single"/>
        </w:rPr>
        <w:t>the public educ</w:t>
      </w:r>
      <w:r w:rsidRPr="00F42377">
        <w:rPr>
          <w:u w:val="single"/>
        </w:rPr>
        <w:t>ation system</w:t>
      </w:r>
      <w:r w:rsidRPr="00F42377">
        <w:rPr>
          <w:rStyle w:val="FootnoteReference"/>
          <w:u w:val="single"/>
        </w:rPr>
        <w:footnoteReference w:id="3"/>
      </w:r>
      <w:r w:rsidRPr="00F42377">
        <w:rPr>
          <w:u w:val="single"/>
        </w:rPr>
        <w:t xml:space="preserve">, including </w:t>
      </w:r>
      <w:r>
        <w:rPr>
          <w:u w:val="single"/>
        </w:rPr>
        <w:t xml:space="preserve">State </w:t>
      </w:r>
      <w:r w:rsidRPr="00F42377">
        <w:rPr>
          <w:u w:val="single"/>
        </w:rPr>
        <w:t>universities</w:t>
      </w:r>
      <w:r w:rsidRPr="00F42377">
        <w:rPr>
          <w:rStyle w:val="FootnoteReference"/>
          <w:u w:val="single"/>
        </w:rPr>
        <w:footnoteReference w:id="4"/>
      </w:r>
      <w:r>
        <w:t>.</w:t>
      </w:r>
    </w:p>
    <w:p w:rsidR="00A64543" w:rsidP="00A64543" w:rsidRDefault="00A64543">
      <w:pPr>
        <w:pStyle w:val="OpiPara"/>
      </w:pPr>
      <w:r>
        <w:t xml:space="preserve">In fact, States Parties have power to regulate access to education and </w:t>
      </w:r>
      <w:r w:rsidRPr="00F703AF">
        <w:rPr>
          <w:i/>
        </w:rPr>
        <w:t>a fortiori</w:t>
      </w:r>
      <w:r>
        <w:t xml:space="preserve"> to university studies</w:t>
      </w:r>
      <w:r>
        <w:rPr>
          <w:rStyle w:val="FootnoteReference"/>
        </w:rPr>
        <w:footnoteReference w:id="5"/>
      </w:r>
      <w:r>
        <w:t>, but this regulation is subject to the supervision of the European Court of Human Rights (“the Court”), as in the case of refusal to enter university for lack of timely proof of special requirements</w:t>
      </w:r>
      <w:r>
        <w:rPr>
          <w:rStyle w:val="FootnoteReference"/>
        </w:rPr>
        <w:footnoteReference w:id="6"/>
      </w:r>
      <w:r>
        <w:t>, refusal to readmit a student to repeat the first year of university studies on account of failing the first-year examinations and a poor attendance record at compulsory classes</w:t>
      </w:r>
      <w:r>
        <w:rPr>
          <w:rStyle w:val="FootnoteReference"/>
        </w:rPr>
        <w:footnoteReference w:id="7"/>
      </w:r>
      <w:r>
        <w:t>, suspension or expulsion from university or a similar higher-education institution</w:t>
      </w:r>
      <w:r>
        <w:rPr>
          <w:rStyle w:val="FootnoteReference"/>
        </w:rPr>
        <w:footnoteReference w:id="8"/>
      </w:r>
      <w:r>
        <w:t>, annulment of university entrance-exam results</w:t>
      </w:r>
      <w:r>
        <w:rPr>
          <w:rStyle w:val="FootnoteReference"/>
        </w:rPr>
        <w:footnoteReference w:id="9"/>
      </w:r>
      <w:r>
        <w:t>, and prohibition to sit a university exam or the forced interruption of studies due to the enforcement of a prison sentence</w:t>
      </w:r>
      <w:r>
        <w:rPr>
          <w:rStyle w:val="FootnoteReference"/>
        </w:rPr>
        <w:footnoteReference w:id="10"/>
      </w:r>
      <w:r>
        <w:t>.</w:t>
      </w:r>
    </w:p>
    <w:p w:rsidR="00A64543" w:rsidP="00A64543" w:rsidRDefault="00A64543">
      <w:pPr>
        <w:pStyle w:val="OpiPara"/>
        <w:rPr>
          <w:u w:val="single"/>
        </w:rPr>
      </w:pPr>
      <w:r w:rsidRPr="00220EDC">
        <w:rPr>
          <w:u w:val="single"/>
        </w:rPr>
        <w:t xml:space="preserve">Since the right to education comprises the freedom to provide for education, </w:t>
      </w:r>
      <w:r>
        <w:rPr>
          <w:u w:val="single"/>
        </w:rPr>
        <w:t>A</w:t>
      </w:r>
      <w:r w:rsidRPr="00220EDC">
        <w:rPr>
          <w:u w:val="single"/>
        </w:rPr>
        <w:t xml:space="preserve">rticle 2 of </w:t>
      </w:r>
      <w:r>
        <w:rPr>
          <w:u w:val="single"/>
        </w:rPr>
        <w:t>P</w:t>
      </w:r>
      <w:r w:rsidRPr="00220EDC">
        <w:rPr>
          <w:u w:val="single"/>
        </w:rPr>
        <w:t xml:space="preserve">rotocol </w:t>
      </w:r>
      <w:r>
        <w:rPr>
          <w:u w:val="single"/>
        </w:rPr>
        <w:t xml:space="preserve">No. </w:t>
      </w:r>
      <w:r w:rsidRPr="00220EDC">
        <w:rPr>
          <w:u w:val="single"/>
        </w:rPr>
        <w:t xml:space="preserve">1 also covers the right to establish and run private </w:t>
      </w:r>
      <w:r w:rsidRPr="00B63F44">
        <w:rPr>
          <w:u w:val="single"/>
        </w:rPr>
        <w:t>schools</w:t>
      </w:r>
      <w:r>
        <w:rPr>
          <w:u w:val="single"/>
        </w:rPr>
        <w:t xml:space="preserve"> and </w:t>
      </w:r>
      <w:r w:rsidRPr="00220EDC">
        <w:rPr>
          <w:u w:val="single"/>
        </w:rPr>
        <w:t>universities</w:t>
      </w:r>
      <w:r w:rsidRPr="00220EDC">
        <w:rPr>
          <w:rStyle w:val="FootnoteReference"/>
          <w:u w:val="single"/>
        </w:rPr>
        <w:footnoteReference w:id="11"/>
      </w:r>
      <w:r w:rsidRPr="00220EDC">
        <w:rPr>
          <w:u w:val="single"/>
        </w:rPr>
        <w:t xml:space="preserve">. </w:t>
      </w:r>
      <w:r>
        <w:rPr>
          <w:u w:val="single"/>
        </w:rPr>
        <w:t xml:space="preserve">Although </w:t>
      </w:r>
      <w:r w:rsidRPr="00C87595">
        <w:rPr>
          <w:u w:val="single"/>
        </w:rPr>
        <w:t xml:space="preserve">this right does not </w:t>
      </w:r>
      <w:r>
        <w:rPr>
          <w:u w:val="single"/>
        </w:rPr>
        <w:t xml:space="preserve">imply </w:t>
      </w:r>
      <w:r w:rsidRPr="00C87595">
        <w:rPr>
          <w:u w:val="single"/>
        </w:rPr>
        <w:t xml:space="preserve">a positive obligation </w:t>
      </w:r>
      <w:r>
        <w:rPr>
          <w:u w:val="single"/>
        </w:rPr>
        <w:t xml:space="preserve">on </w:t>
      </w:r>
      <w:r w:rsidRPr="00C87595">
        <w:rPr>
          <w:u w:val="single"/>
        </w:rPr>
        <w:t xml:space="preserve">the </w:t>
      </w:r>
      <w:r>
        <w:rPr>
          <w:u w:val="single"/>
        </w:rPr>
        <w:t>S</w:t>
      </w:r>
      <w:r w:rsidRPr="00C87595">
        <w:rPr>
          <w:u w:val="single"/>
        </w:rPr>
        <w:t>tate to fund private schools and universities</w:t>
      </w:r>
      <w:r w:rsidRPr="00C87595">
        <w:rPr>
          <w:rStyle w:val="FootnoteReference"/>
          <w:u w:val="single"/>
        </w:rPr>
        <w:footnoteReference w:id="12"/>
      </w:r>
      <w:r w:rsidRPr="00C87595">
        <w:rPr>
          <w:u w:val="single"/>
        </w:rPr>
        <w:t>, it does impose a</w:t>
      </w:r>
      <w:r>
        <w:rPr>
          <w:u w:val="single"/>
        </w:rPr>
        <w:t xml:space="preserve"> negative</w:t>
      </w:r>
      <w:r w:rsidRPr="00C87595">
        <w:rPr>
          <w:u w:val="single"/>
        </w:rPr>
        <w:t xml:space="preserve"> obligation not to discriminate </w:t>
      </w:r>
      <w:r>
        <w:rPr>
          <w:u w:val="single"/>
        </w:rPr>
        <w:t xml:space="preserve">against </w:t>
      </w:r>
      <w:r w:rsidRPr="00C87595">
        <w:rPr>
          <w:u w:val="single"/>
        </w:rPr>
        <w:t>private schools</w:t>
      </w:r>
      <w:r>
        <w:rPr>
          <w:u w:val="single"/>
        </w:rPr>
        <w:t xml:space="preserve"> and universities, that is, not to impose </w:t>
      </w:r>
      <w:r w:rsidRPr="00C87595">
        <w:rPr>
          <w:u w:val="single"/>
        </w:rPr>
        <w:t xml:space="preserve">unjustified constraints, restrictions or prohibitions in comparison to </w:t>
      </w:r>
      <w:r>
        <w:rPr>
          <w:u w:val="single"/>
        </w:rPr>
        <w:t>State</w:t>
      </w:r>
      <w:r w:rsidRPr="00C87595">
        <w:rPr>
          <w:u w:val="single"/>
        </w:rPr>
        <w:t xml:space="preserve"> schools</w:t>
      </w:r>
      <w:r>
        <w:rPr>
          <w:u w:val="single"/>
        </w:rPr>
        <w:t xml:space="preserve"> and universities</w:t>
      </w:r>
      <w:r w:rsidRPr="00C87595">
        <w:rPr>
          <w:u w:val="single"/>
        </w:rPr>
        <w:t>.</w:t>
      </w:r>
    </w:p>
    <w:p w:rsidR="00A64543" w:rsidP="00A64543" w:rsidRDefault="00A64543">
      <w:pPr>
        <w:pStyle w:val="OpiPara"/>
        <w:spacing w:before="240" w:after="120"/>
        <w:rPr>
          <w:b/>
        </w:rPr>
      </w:pPr>
      <w:r>
        <w:rPr>
          <w:b/>
        </w:rPr>
        <w:t xml:space="preserve">The State’s margin of appreciation in </w:t>
      </w:r>
      <w:r w:rsidRPr="00E737A4">
        <w:rPr>
          <w:b/>
        </w:rPr>
        <w:t xml:space="preserve">university </w:t>
      </w:r>
      <w:r>
        <w:rPr>
          <w:b/>
        </w:rPr>
        <w:t>regulation</w:t>
      </w:r>
    </w:p>
    <w:p w:rsidR="00A64543" w:rsidP="00A64543" w:rsidRDefault="00A64543">
      <w:pPr>
        <w:pStyle w:val="OpiPara"/>
      </w:pPr>
      <w:r>
        <w:rPr>
          <w:rStyle w:val="sf97c7c07"/>
        </w:rPr>
        <w:t xml:space="preserve">Governments enjoy a </w:t>
      </w:r>
      <w:r w:rsidRPr="00C11CCB">
        <w:rPr>
          <w:rStyle w:val="sf97c7c07"/>
        </w:rPr>
        <w:t xml:space="preserve">certain discretion </w:t>
      </w:r>
      <w:r>
        <w:rPr>
          <w:rStyle w:val="sf97c7c07"/>
        </w:rPr>
        <w:t xml:space="preserve">in exercising </w:t>
      </w:r>
      <w:r w:rsidRPr="00C11CCB">
        <w:rPr>
          <w:rStyle w:val="sf97c7c07"/>
        </w:rPr>
        <w:t xml:space="preserve">their regulatory powers over </w:t>
      </w:r>
      <w:r>
        <w:rPr>
          <w:rStyle w:val="sf97c7c07"/>
        </w:rPr>
        <w:t>State</w:t>
      </w:r>
      <w:r w:rsidRPr="00C11CCB">
        <w:rPr>
          <w:rStyle w:val="sf97c7c07"/>
        </w:rPr>
        <w:t xml:space="preserve"> schools</w:t>
      </w:r>
      <w:r w:rsidRPr="00C11CCB">
        <w:rPr>
          <w:rStyle w:val="FootnoteReference"/>
        </w:rPr>
        <w:footnoteReference w:id="13"/>
      </w:r>
      <w:r>
        <w:rPr>
          <w:rStyle w:val="sf97c7c07"/>
        </w:rPr>
        <w:t xml:space="preserve">. </w:t>
      </w:r>
      <w:r>
        <w:t>States Parties may impose a mandatory period of attendance at State school</w:t>
      </w:r>
      <w:r>
        <w:rPr>
          <w:rStyle w:val="FootnoteReference"/>
        </w:rPr>
        <w:footnoteReference w:id="14"/>
      </w:r>
      <w:r>
        <w:t xml:space="preserve">, but State schools have an obligation to provide </w:t>
      </w:r>
      <w:r>
        <w:rPr>
          <w:rStyle w:val="sb8d990e2"/>
        </w:rPr>
        <w:t>teaching of national languages</w:t>
      </w:r>
      <w:r>
        <w:rPr>
          <w:rStyle w:val="FootnoteReference"/>
        </w:rPr>
        <w:footnoteReference w:id="15"/>
      </w:r>
      <w:r>
        <w:rPr>
          <w:rStyle w:val="sb8d990e2"/>
        </w:rPr>
        <w:t>, to convey knowledge in an objective, critical and pluralistic manner</w:t>
      </w:r>
      <w:r>
        <w:rPr>
          <w:rStyle w:val="FootnoteReference"/>
        </w:rPr>
        <w:footnoteReference w:id="16"/>
      </w:r>
      <w:r>
        <w:rPr>
          <w:rStyle w:val="sb8d990e2"/>
        </w:rPr>
        <w:t>, and to organise non-discriminatory classes</w:t>
      </w:r>
      <w:r>
        <w:rPr>
          <w:rStyle w:val="FootnoteReference"/>
        </w:rPr>
        <w:footnoteReference w:id="17"/>
      </w:r>
      <w:r>
        <w:rPr>
          <w:rStyle w:val="sb8d990e2"/>
        </w:rPr>
        <w:t xml:space="preserve"> and </w:t>
      </w:r>
      <w:r>
        <w:t>a safe environment, free from any form of ill-treatment</w:t>
      </w:r>
      <w:r>
        <w:rPr>
          <w:rStyle w:val="FootnoteReference"/>
        </w:rPr>
        <w:footnoteReference w:id="18"/>
      </w:r>
      <w:r>
        <w:t xml:space="preserve">. </w:t>
      </w:r>
    </w:p>
    <w:p w:rsidR="00A64543" w:rsidP="00A64543" w:rsidRDefault="00A64543">
      <w:pPr>
        <w:pStyle w:val="OpiPara"/>
      </w:pPr>
      <w:r>
        <w:t>Governments may not exercise the same degree of control in respect of private schools as that applied to State schools. While State schools enjoy a certain degree of institutional autonomy, in line with each State’s educational policy, private schools must enjoy a greater degree of autonomy. Institutional autonomy includes, as a minimum, establishment of the academic curriculum and control over the admission, evaluation, suspension and expulsion of students, the selection and promotion of academic and administrative staff, and the budget and financial organisation of the institution</w:t>
      </w:r>
      <w:r>
        <w:rPr>
          <w:rStyle w:val="FootnoteReference"/>
        </w:rPr>
        <w:footnoteReference w:id="19"/>
      </w:r>
      <w:r>
        <w:t>. As a crucial guarantee of academic freedom, institutional autonomy is simultaneously the best insurance of the freedom to provide for education and the right to education</w:t>
      </w:r>
      <w:r>
        <w:rPr>
          <w:rStyle w:val="FootnoteReference"/>
        </w:rPr>
        <w:footnoteReference w:id="20"/>
      </w:r>
      <w:r>
        <w:t xml:space="preserve">. Were the government or other public authority to intervene in the regulation of any of these aspects, either by imposing </w:t>
      </w:r>
      <w:r w:rsidRPr="00DB42F3">
        <w:rPr>
          <w:i/>
        </w:rPr>
        <w:t>a priori</w:t>
      </w:r>
      <w:r>
        <w:t xml:space="preserve"> certain rules or quashing </w:t>
      </w:r>
      <w:r w:rsidRPr="00DB42F3">
        <w:rPr>
          <w:i/>
        </w:rPr>
        <w:t>a posteriori</w:t>
      </w:r>
      <w:r>
        <w:t xml:space="preserve"> rules or decisions approved by private schools, this intervention would have to comply with strict requirements of necessity and proportionality</w:t>
      </w:r>
      <w:r>
        <w:rPr>
          <w:rStyle w:val="FootnoteReference"/>
        </w:rPr>
        <w:footnoteReference w:id="21"/>
      </w:r>
      <w:r>
        <w:rPr>
          <w:rStyle w:val="sf97c7c07"/>
        </w:rPr>
        <w:t xml:space="preserve">. </w:t>
      </w:r>
      <w:r w:rsidRPr="00D546F9">
        <w:rPr>
          <w:u w:val="single"/>
        </w:rPr>
        <w:t xml:space="preserve">Thus, the </w:t>
      </w:r>
      <w:r>
        <w:rPr>
          <w:u w:val="single"/>
        </w:rPr>
        <w:t>S</w:t>
      </w:r>
      <w:r w:rsidRPr="00D546F9">
        <w:rPr>
          <w:u w:val="single"/>
        </w:rPr>
        <w:t xml:space="preserve">tates </w:t>
      </w:r>
      <w:r>
        <w:rPr>
          <w:u w:val="single"/>
        </w:rPr>
        <w:t>P</w:t>
      </w:r>
      <w:r w:rsidRPr="00D546F9">
        <w:rPr>
          <w:u w:val="single"/>
        </w:rPr>
        <w:t>arties</w:t>
      </w:r>
      <w:r>
        <w:rPr>
          <w:u w:val="single"/>
        </w:rPr>
        <w:t>’</w:t>
      </w:r>
      <w:r w:rsidRPr="00D546F9">
        <w:rPr>
          <w:u w:val="single"/>
        </w:rPr>
        <w:t xml:space="preserve"> margin of appreciation is wider </w:t>
      </w:r>
      <w:r>
        <w:rPr>
          <w:u w:val="single"/>
        </w:rPr>
        <w:t xml:space="preserve">with </w:t>
      </w:r>
      <w:r w:rsidRPr="00D546F9">
        <w:rPr>
          <w:u w:val="single"/>
        </w:rPr>
        <w:t xml:space="preserve">regard to the regulation of </w:t>
      </w:r>
      <w:r>
        <w:rPr>
          <w:u w:val="single"/>
        </w:rPr>
        <w:t>State</w:t>
      </w:r>
      <w:r w:rsidRPr="00D546F9">
        <w:rPr>
          <w:u w:val="single"/>
        </w:rPr>
        <w:t xml:space="preserve"> schools and narrower </w:t>
      </w:r>
      <w:r>
        <w:rPr>
          <w:u w:val="single"/>
        </w:rPr>
        <w:t xml:space="preserve">with </w:t>
      </w:r>
      <w:r w:rsidRPr="00D546F9">
        <w:rPr>
          <w:u w:val="single"/>
        </w:rPr>
        <w:t xml:space="preserve">regard to that of private schools. </w:t>
      </w:r>
      <w:r>
        <w:rPr>
          <w:u w:val="single"/>
        </w:rPr>
        <w:t>An even narrower</w:t>
      </w:r>
      <w:r w:rsidRPr="00D546F9">
        <w:rPr>
          <w:u w:val="single"/>
        </w:rPr>
        <w:t xml:space="preserve"> margin of appreciation applies </w:t>
      </w:r>
      <w:r w:rsidRPr="00D546F9">
        <w:rPr>
          <w:i/>
          <w:u w:val="single"/>
        </w:rPr>
        <w:t>a fortiori</w:t>
      </w:r>
      <w:r w:rsidRPr="00D546F9">
        <w:rPr>
          <w:u w:val="single"/>
        </w:rPr>
        <w:t xml:space="preserve"> to higher education, where institutional autonomy plays a pivotal </w:t>
      </w:r>
      <w:r w:rsidRPr="00AE1819">
        <w:rPr>
          <w:u w:val="single"/>
        </w:rPr>
        <w:t>role</w:t>
      </w:r>
      <w:r w:rsidRPr="00AE1819">
        <w:rPr>
          <w:rStyle w:val="FootnoteReference"/>
          <w:u w:val="single"/>
        </w:rPr>
        <w:footnoteReference w:id="22"/>
      </w:r>
      <w:r>
        <w:rPr>
          <w:u w:val="single"/>
        </w:rPr>
        <w:t xml:space="preserve">. </w:t>
      </w:r>
      <w:r w:rsidRPr="00D546F9">
        <w:rPr>
          <w:u w:val="single"/>
        </w:rPr>
        <w:t xml:space="preserve">Conversely, the more the </w:t>
      </w:r>
      <w:r>
        <w:rPr>
          <w:u w:val="single"/>
        </w:rPr>
        <w:t>S</w:t>
      </w:r>
      <w:r w:rsidRPr="00D546F9">
        <w:rPr>
          <w:u w:val="single"/>
        </w:rPr>
        <w:t>tate funds private schools</w:t>
      </w:r>
      <w:r>
        <w:rPr>
          <w:u w:val="single"/>
        </w:rPr>
        <w:t xml:space="preserve"> and universities</w:t>
      </w:r>
      <w:r w:rsidRPr="00D546F9">
        <w:rPr>
          <w:u w:val="single"/>
        </w:rPr>
        <w:t>, the wider its margin of appreciation.</w:t>
      </w:r>
    </w:p>
    <w:p w:rsidRPr="00983EB5" w:rsidR="00A64543" w:rsidP="00A64543" w:rsidRDefault="00A64543">
      <w:pPr>
        <w:pStyle w:val="OpiPara"/>
        <w:spacing w:before="160" w:after="120"/>
        <w:rPr>
          <w:b/>
        </w:rPr>
      </w:pPr>
      <w:r w:rsidRPr="00983EB5">
        <w:rPr>
          <w:b/>
        </w:rPr>
        <w:t>The application of the Convention standard to th</w:t>
      </w:r>
      <w:r>
        <w:rPr>
          <w:b/>
        </w:rPr>
        <w:t xml:space="preserve">is </w:t>
      </w:r>
      <w:r w:rsidRPr="00983EB5">
        <w:rPr>
          <w:b/>
        </w:rPr>
        <w:t>case</w:t>
      </w:r>
    </w:p>
    <w:p w:rsidR="00A64543" w:rsidP="00A64543" w:rsidRDefault="00A64543">
      <w:pPr>
        <w:pStyle w:val="OpiPara"/>
      </w:pPr>
      <w:r>
        <w:t xml:space="preserve">The Italian Government establishes the </w:t>
      </w:r>
      <w:proofErr w:type="spellStart"/>
      <w:r w:rsidRPr="0090223D">
        <w:rPr>
          <w:i/>
        </w:rPr>
        <w:t>numerus</w:t>
      </w:r>
      <w:proofErr w:type="spellEnd"/>
      <w:r w:rsidRPr="0090223D">
        <w:rPr>
          <w:i/>
        </w:rPr>
        <w:t xml:space="preserve"> </w:t>
      </w:r>
      <w:proofErr w:type="spellStart"/>
      <w:r w:rsidRPr="0090223D">
        <w:rPr>
          <w:i/>
        </w:rPr>
        <w:t>clausus</w:t>
      </w:r>
      <w:proofErr w:type="spellEnd"/>
      <w:r>
        <w:t xml:space="preserve"> to obtain access to medicine and dentistry studies in State and private universities, on the basis of two criteria: the capacity and resource potential of universities, and society’s need for a particular profession. In reality, the second criterion refers to the needs of the national public health sector. These criteria result from the work of a task force composed, </w:t>
      </w:r>
      <w:r w:rsidRPr="003C342F">
        <w:rPr>
          <w:i/>
        </w:rPr>
        <w:t>inter alia</w:t>
      </w:r>
      <w:r>
        <w:t>, of representatives from the National Federation of Doctors and the Chamber of Doctors and Dentists. The number of places for individual universities is established on a regional basis. Generally speaking, the increase in the number of places assigned to a specific university is offset by a decrease in the number of places assigned to other universities in the same region.</w:t>
      </w:r>
    </w:p>
    <w:p w:rsidR="00A64543" w:rsidP="00A64543" w:rsidRDefault="00A64543">
      <w:pPr>
        <w:pStyle w:val="OpiPara"/>
      </w:pPr>
      <w:r>
        <w:t xml:space="preserve">The first criterion is justified by the Government on the basis of the need to ensure high quality standards in university education and a high degree of professionalism in medical and dentistry classes, namely guaranteeing a balanced ratio of students to academic staff, rational use of the available material resources and controlled access to trainee posts at public hospitals and subsequently to the labour market. Hence, </w:t>
      </w:r>
      <w:proofErr w:type="spellStart"/>
      <w:r w:rsidRPr="00E65F06">
        <w:rPr>
          <w:i/>
        </w:rPr>
        <w:t>numerus</w:t>
      </w:r>
      <w:proofErr w:type="spellEnd"/>
      <w:r w:rsidRPr="00E65F06">
        <w:rPr>
          <w:i/>
        </w:rPr>
        <w:t xml:space="preserve"> </w:t>
      </w:r>
      <w:proofErr w:type="spellStart"/>
      <w:r w:rsidRPr="00E65F06">
        <w:rPr>
          <w:i/>
        </w:rPr>
        <w:t>clausus</w:t>
      </w:r>
      <w:proofErr w:type="spellEnd"/>
      <w:r>
        <w:t xml:space="preserve"> is presented as a magic formula to avoid overcrowded university buildings, with too few professors for too many students, who would not then have a chance to obtain practical training before entering the labour market.</w:t>
      </w:r>
    </w:p>
    <w:p w:rsidR="00A64543" w:rsidP="00A64543" w:rsidRDefault="00A64543">
      <w:pPr>
        <w:pStyle w:val="OpiPara"/>
      </w:pPr>
      <w:r>
        <w:t>The second criterion is justified by the Government as corresponding to the purpose of avoiding excessive public expenditure both now and in the future, since teaching and training medical doctors and dentists implies significant expenditure for the present generation and any future saturation of the labour market would imply further expenditure, given the social charges associated with unemployment.</w:t>
      </w:r>
    </w:p>
    <w:p w:rsidR="00A64543" w:rsidP="00A64543" w:rsidRDefault="00A64543">
      <w:pPr>
        <w:pStyle w:val="OpiPara"/>
      </w:pPr>
      <w:r>
        <w:t>Unfortunately both criteria are groundless, since they pertain more to fiction than to reality.</w:t>
      </w:r>
    </w:p>
    <w:p w:rsidR="00A64543" w:rsidP="00A64543" w:rsidRDefault="00A64543">
      <w:pPr>
        <w:pStyle w:val="OpiPara"/>
        <w:spacing w:before="240" w:after="120"/>
        <w:rPr>
          <w:b/>
          <w:i/>
        </w:rPr>
      </w:pPr>
      <w:r w:rsidRPr="00AD1B29">
        <w:rPr>
          <w:b/>
        </w:rPr>
        <w:t xml:space="preserve">Capacity and resource potential of universities as a criterion of </w:t>
      </w:r>
      <w:proofErr w:type="spellStart"/>
      <w:r w:rsidRPr="00AD1B29">
        <w:rPr>
          <w:b/>
          <w:i/>
        </w:rPr>
        <w:t>numerus</w:t>
      </w:r>
      <w:proofErr w:type="spellEnd"/>
      <w:r w:rsidRPr="00AD1B29">
        <w:rPr>
          <w:b/>
          <w:i/>
        </w:rPr>
        <w:t xml:space="preserve"> </w:t>
      </w:r>
      <w:proofErr w:type="spellStart"/>
      <w:r w:rsidRPr="00AD1B29">
        <w:rPr>
          <w:b/>
          <w:i/>
        </w:rPr>
        <w:t>clausus</w:t>
      </w:r>
      <w:proofErr w:type="spellEnd"/>
    </w:p>
    <w:p w:rsidR="00A64543" w:rsidP="00A64543" w:rsidRDefault="00A64543">
      <w:pPr>
        <w:pStyle w:val="OpiPara"/>
      </w:pPr>
      <w:r>
        <w:t xml:space="preserve">The Government did not provide the Court with any data on the capacity and resource potential of universities that could justify the </w:t>
      </w:r>
      <w:proofErr w:type="spellStart"/>
      <w:r w:rsidRPr="00AD1B29">
        <w:rPr>
          <w:i/>
        </w:rPr>
        <w:t>numerus</w:t>
      </w:r>
      <w:proofErr w:type="spellEnd"/>
      <w:r w:rsidRPr="00AD1B29">
        <w:rPr>
          <w:i/>
        </w:rPr>
        <w:t xml:space="preserve"> </w:t>
      </w:r>
      <w:proofErr w:type="spellStart"/>
      <w:r w:rsidRPr="00AD1B29">
        <w:rPr>
          <w:i/>
        </w:rPr>
        <w:t>clausus</w:t>
      </w:r>
      <w:proofErr w:type="spellEnd"/>
      <w:r>
        <w:t xml:space="preserve"> established in the relevant years of 2007-09. Nor did they advance any reasons for such </w:t>
      </w:r>
      <w:proofErr w:type="spellStart"/>
      <w:r w:rsidRPr="00AD1B29">
        <w:rPr>
          <w:i/>
        </w:rPr>
        <w:t>numerus</w:t>
      </w:r>
      <w:proofErr w:type="spellEnd"/>
      <w:r w:rsidRPr="00AD1B29">
        <w:rPr>
          <w:i/>
        </w:rPr>
        <w:t xml:space="preserve"> </w:t>
      </w:r>
      <w:proofErr w:type="spellStart"/>
      <w:r w:rsidRPr="00AD1B29">
        <w:rPr>
          <w:i/>
        </w:rPr>
        <w:t>clausus</w:t>
      </w:r>
      <w:proofErr w:type="spellEnd"/>
      <w:r>
        <w:t xml:space="preserve"> to be applied to private universities.</w:t>
      </w:r>
    </w:p>
    <w:p w:rsidR="00A64543" w:rsidP="00A64543" w:rsidRDefault="00A64543">
      <w:pPr>
        <w:pStyle w:val="OpiPara"/>
      </w:pPr>
      <w:r>
        <w:t xml:space="preserve">In fact, ministerial decisions with regard to </w:t>
      </w:r>
      <w:proofErr w:type="spellStart"/>
      <w:r w:rsidRPr="00725761">
        <w:rPr>
          <w:i/>
        </w:rPr>
        <w:t>numerus</w:t>
      </w:r>
      <w:proofErr w:type="spellEnd"/>
      <w:r w:rsidRPr="00725761">
        <w:rPr>
          <w:i/>
        </w:rPr>
        <w:t xml:space="preserve"> </w:t>
      </w:r>
      <w:proofErr w:type="spellStart"/>
      <w:r w:rsidRPr="00725761">
        <w:rPr>
          <w:i/>
        </w:rPr>
        <w:t>clausus</w:t>
      </w:r>
      <w:proofErr w:type="spellEnd"/>
      <w:r>
        <w:t xml:space="preserve"> do not present any technical motivation, and instead result from discretionary choices</w:t>
      </w:r>
      <w:r>
        <w:rPr>
          <w:rStyle w:val="FootnoteReference"/>
        </w:rPr>
        <w:footnoteReference w:id="23"/>
      </w:r>
      <w:r>
        <w:t>. There is simply no objective basis for the political choice, which remains free from any genuinely founded empirical constraint.</w:t>
      </w:r>
    </w:p>
    <w:p w:rsidR="00A64543" w:rsidP="00A64543" w:rsidRDefault="00A64543">
      <w:pPr>
        <w:pStyle w:val="OpiPara"/>
      </w:pPr>
      <w:r>
        <w:t>Worse still, this criterion ignores the simple fact that private universities are largely independent of State funding in Italy, and could thus increase the number of available places at their own expense. As explained above, the Government enjoy a very narrow margin of appreciation in establishing any limitations on private universities</w:t>
      </w:r>
      <w:r>
        <w:rPr>
          <w:rStyle w:val="FootnoteReference"/>
        </w:rPr>
        <w:footnoteReference w:id="24"/>
      </w:r>
      <w:r>
        <w:t xml:space="preserve">, and the Court was not informed of any substantive reason that could justify such a serious interference with the right to establish private universities and their institutional autonomy. Thus, Italian private universities have the right to establish their own limits to enrolment, taking into account their human, material and financial resources. In other words, </w:t>
      </w:r>
      <w:r w:rsidRPr="00DB409E">
        <w:rPr>
          <w:u w:val="single"/>
        </w:rPr>
        <w:t xml:space="preserve">State-imposed </w:t>
      </w:r>
      <w:proofErr w:type="spellStart"/>
      <w:r w:rsidRPr="00DB409E">
        <w:rPr>
          <w:i/>
          <w:u w:val="single"/>
        </w:rPr>
        <w:t>numerus</w:t>
      </w:r>
      <w:proofErr w:type="spellEnd"/>
      <w:r w:rsidRPr="00DB409E">
        <w:rPr>
          <w:i/>
          <w:u w:val="single"/>
        </w:rPr>
        <w:t xml:space="preserve"> </w:t>
      </w:r>
      <w:proofErr w:type="spellStart"/>
      <w:r w:rsidRPr="00DB409E">
        <w:rPr>
          <w:i/>
          <w:u w:val="single"/>
        </w:rPr>
        <w:t>clausus</w:t>
      </w:r>
      <w:proofErr w:type="spellEnd"/>
      <w:r w:rsidRPr="00DB409E">
        <w:rPr>
          <w:u w:val="single"/>
        </w:rPr>
        <w:t xml:space="preserve"> on private universities impinges </w:t>
      </w:r>
      <w:r>
        <w:rPr>
          <w:u w:val="single"/>
        </w:rPr>
        <w:t xml:space="preserve">gravely </w:t>
      </w:r>
      <w:r w:rsidRPr="00DB409E">
        <w:rPr>
          <w:u w:val="single"/>
        </w:rPr>
        <w:t xml:space="preserve">on the </w:t>
      </w:r>
      <w:r>
        <w:rPr>
          <w:u w:val="single"/>
        </w:rPr>
        <w:t xml:space="preserve">freedom to provide for </w:t>
      </w:r>
      <w:r w:rsidRPr="00DB409E">
        <w:rPr>
          <w:u w:val="single"/>
        </w:rPr>
        <w:t>educat</w:t>
      </w:r>
      <w:r>
        <w:rPr>
          <w:u w:val="single"/>
        </w:rPr>
        <w:t>ion</w:t>
      </w:r>
      <w:r w:rsidRPr="00DB409E">
        <w:rPr>
          <w:u w:val="single"/>
        </w:rPr>
        <w:t xml:space="preserve">, in so far as it prevents private universities </w:t>
      </w:r>
      <w:r>
        <w:rPr>
          <w:u w:val="single"/>
        </w:rPr>
        <w:t xml:space="preserve">which </w:t>
      </w:r>
      <w:r w:rsidRPr="00DB409E">
        <w:rPr>
          <w:u w:val="single"/>
        </w:rPr>
        <w:t xml:space="preserve">have </w:t>
      </w:r>
      <w:r>
        <w:rPr>
          <w:u w:val="single"/>
        </w:rPr>
        <w:t xml:space="preserve">an </w:t>
      </w:r>
      <w:r w:rsidRPr="00DB409E">
        <w:rPr>
          <w:u w:val="single"/>
        </w:rPr>
        <w:t xml:space="preserve">adequate material infrastructure and </w:t>
      </w:r>
      <w:r>
        <w:rPr>
          <w:u w:val="single"/>
        </w:rPr>
        <w:t xml:space="preserve">sufficient </w:t>
      </w:r>
      <w:r w:rsidRPr="00DB409E">
        <w:rPr>
          <w:u w:val="single"/>
        </w:rPr>
        <w:t xml:space="preserve">staff capacity from being able to increase places at their </w:t>
      </w:r>
      <w:r>
        <w:rPr>
          <w:u w:val="single"/>
        </w:rPr>
        <w:t xml:space="preserve">own </w:t>
      </w:r>
      <w:r w:rsidRPr="00DB409E">
        <w:rPr>
          <w:u w:val="single"/>
        </w:rPr>
        <w:t xml:space="preserve">cost, and </w:t>
      </w:r>
      <w:r>
        <w:rPr>
          <w:u w:val="single"/>
        </w:rPr>
        <w:t xml:space="preserve">also </w:t>
      </w:r>
      <w:r w:rsidRPr="00DB409E">
        <w:rPr>
          <w:u w:val="single"/>
        </w:rPr>
        <w:t xml:space="preserve">on the right to education, </w:t>
      </w:r>
      <w:r>
        <w:rPr>
          <w:u w:val="single"/>
        </w:rPr>
        <w:t xml:space="preserve">in that </w:t>
      </w:r>
      <w:r w:rsidRPr="00DB409E">
        <w:rPr>
          <w:u w:val="single"/>
        </w:rPr>
        <w:t>it denies university admission to person</w:t>
      </w:r>
      <w:r>
        <w:rPr>
          <w:u w:val="single"/>
        </w:rPr>
        <w:t>s</w:t>
      </w:r>
      <w:r w:rsidRPr="00DB409E">
        <w:rPr>
          <w:u w:val="single"/>
        </w:rPr>
        <w:t xml:space="preserve"> who </w:t>
      </w:r>
      <w:r>
        <w:rPr>
          <w:u w:val="single"/>
        </w:rPr>
        <w:t xml:space="preserve">are </w:t>
      </w:r>
      <w:r w:rsidRPr="00DB409E">
        <w:rPr>
          <w:u w:val="single"/>
        </w:rPr>
        <w:t xml:space="preserve">prepared to fund the cost of this service from </w:t>
      </w:r>
      <w:r>
        <w:rPr>
          <w:u w:val="single"/>
        </w:rPr>
        <w:t xml:space="preserve">their </w:t>
      </w:r>
      <w:r w:rsidRPr="00DB409E">
        <w:rPr>
          <w:u w:val="single"/>
        </w:rPr>
        <w:t>own pocket</w:t>
      </w:r>
      <w:r>
        <w:rPr>
          <w:rStyle w:val="FootnoteReference"/>
        </w:rPr>
        <w:footnoteReference w:id="25"/>
      </w:r>
      <w:r>
        <w:t xml:space="preserve">. Hence, the impugned system of </w:t>
      </w:r>
      <w:proofErr w:type="spellStart"/>
      <w:r w:rsidRPr="0078183F">
        <w:rPr>
          <w:i/>
        </w:rPr>
        <w:t>numerus</w:t>
      </w:r>
      <w:proofErr w:type="spellEnd"/>
      <w:r w:rsidRPr="0078183F">
        <w:rPr>
          <w:i/>
        </w:rPr>
        <w:t xml:space="preserve"> </w:t>
      </w:r>
      <w:proofErr w:type="spellStart"/>
      <w:r w:rsidRPr="0078183F">
        <w:rPr>
          <w:i/>
        </w:rPr>
        <w:t>clausus</w:t>
      </w:r>
      <w:proofErr w:type="spellEnd"/>
      <w:r>
        <w:t xml:space="preserve"> is already disproportionate on the basis of the first criterion used by the Government.</w:t>
      </w:r>
    </w:p>
    <w:p w:rsidR="00A64543" w:rsidP="00A64543" w:rsidRDefault="00A64543">
      <w:pPr>
        <w:pStyle w:val="OpiPara"/>
        <w:spacing w:before="240" w:after="120"/>
        <w:rPr>
          <w:b/>
          <w:i/>
        </w:rPr>
      </w:pPr>
      <w:r w:rsidRPr="00405FD9">
        <w:rPr>
          <w:b/>
        </w:rPr>
        <w:t>Society</w:t>
      </w:r>
      <w:r>
        <w:rPr>
          <w:b/>
        </w:rPr>
        <w:t>’</w:t>
      </w:r>
      <w:r w:rsidRPr="00405FD9">
        <w:rPr>
          <w:b/>
        </w:rPr>
        <w:t xml:space="preserve">s need for a particular profession as a criterion of </w:t>
      </w:r>
      <w:proofErr w:type="spellStart"/>
      <w:r w:rsidRPr="00057FE6">
        <w:rPr>
          <w:b/>
          <w:i/>
        </w:rPr>
        <w:t>numerus</w:t>
      </w:r>
      <w:proofErr w:type="spellEnd"/>
      <w:r w:rsidRPr="00057FE6">
        <w:rPr>
          <w:b/>
          <w:i/>
        </w:rPr>
        <w:t xml:space="preserve"> </w:t>
      </w:r>
      <w:proofErr w:type="spellStart"/>
      <w:r w:rsidRPr="00057FE6">
        <w:rPr>
          <w:b/>
          <w:i/>
        </w:rPr>
        <w:t>clausus</w:t>
      </w:r>
      <w:proofErr w:type="spellEnd"/>
    </w:p>
    <w:p w:rsidR="00A64543" w:rsidP="00A64543" w:rsidRDefault="00A64543">
      <w:pPr>
        <w:pStyle w:val="OpiPara"/>
      </w:pPr>
      <w:r>
        <w:t>The Government interprets society’s need as the need experienced by the Italian public health sector. This criterion aggravates the disproportionality of the respondent State’s interference with the right to education, since it ignores the fact that the Italian health sector also contains a private sector, with its own needs</w:t>
      </w:r>
      <w:r>
        <w:rPr>
          <w:rStyle w:val="FootnoteReference"/>
        </w:rPr>
        <w:footnoteReference w:id="26"/>
      </w:r>
      <w:r>
        <w:t>. This omission is particularly censurable in the case of dentistry, since the vast majority of dentists work in the private sector</w:t>
      </w:r>
      <w:r>
        <w:rPr>
          <w:rStyle w:val="FootnoteReference"/>
        </w:rPr>
        <w:footnoteReference w:id="27"/>
      </w:r>
      <w:r>
        <w:t xml:space="preserve">. Moreover, this criterion neglects the fact that </w:t>
      </w:r>
      <w:smartTag w:uri="urn:schemas-microsoft-com:office:smarttags" w:element="place">
        <w:smartTag w:uri="urn:schemas-microsoft-com:office:smarttags" w:element="country-region">
          <w:r>
            <w:t>Italy</w:t>
          </w:r>
        </w:smartTag>
      </w:smartTag>
      <w:r>
        <w:t xml:space="preserve"> is a member of a wider market of health services, namely the European Union, within which professionals are entitled to move and work freely</w:t>
      </w:r>
      <w:r>
        <w:rPr>
          <w:rStyle w:val="FootnoteReference"/>
        </w:rPr>
        <w:footnoteReference w:id="28"/>
      </w:r>
      <w:r>
        <w:t>. Furthermore, this criterion is in essence contradictory to the developing European Higher Education Area, through the Bologna process</w:t>
      </w:r>
      <w:r>
        <w:rPr>
          <w:rStyle w:val="FootnoteReference"/>
        </w:rPr>
        <w:footnoteReference w:id="29"/>
      </w:r>
      <w:r>
        <w:t>, which aims not only at greater institutional autonomy for universities, in the sense that the primary responsibility for quality assurance in higher education lies with each institution itself</w:t>
      </w:r>
      <w:r>
        <w:rPr>
          <w:rStyle w:val="FootnoteReference"/>
        </w:rPr>
        <w:footnoteReference w:id="30"/>
      </w:r>
      <w:r>
        <w:t>, but also at widening overall participation and particularly increasing the participation of under-represented groups in higher education</w:t>
      </w:r>
      <w:r>
        <w:rPr>
          <w:rStyle w:val="FootnoteReference"/>
        </w:rPr>
        <w:footnoteReference w:id="31"/>
      </w:r>
      <w:r>
        <w:t>.</w:t>
      </w:r>
      <w:r w:rsidRPr="00FF38F0">
        <w:t xml:space="preserve"> </w:t>
      </w:r>
      <w:r>
        <w:t xml:space="preserve">In addition, this criterion runs counter to the spirit of the 1997 Lisbon Recognition Convention, which is at the basis of the </w:t>
      </w:r>
      <w:smartTag w:uri="urn:schemas-microsoft-com:office:smarttags" w:element="place">
        <w:smartTag w:uri="urn:schemas-microsoft-com:office:smarttags" w:element="PlaceName">
          <w:r>
            <w:t>Bologna</w:t>
          </w:r>
        </w:smartTag>
      </w:smartTag>
      <w:r>
        <w:t xml:space="preserve"> process</w:t>
      </w:r>
      <w:r>
        <w:rPr>
          <w:rStyle w:val="FootnoteReference"/>
        </w:rPr>
        <w:footnoteReference w:id="32"/>
      </w:r>
      <w:r>
        <w:t xml:space="preserve">. From a wider perspective, this criterion goes against the States’ obligation to make higher education equally accessible to all, on the basis of merit, as stated in </w:t>
      </w:r>
      <w:r w:rsidRPr="00684006">
        <w:t xml:space="preserve">Article 13 </w:t>
      </w:r>
      <w:r w:rsidRPr="00E379DA">
        <w:rPr>
          <w:szCs w:val="22"/>
          <w:lang w:val="en-US"/>
        </w:rPr>
        <w:t>§</w:t>
      </w:r>
      <w:r>
        <w:t xml:space="preserve"> </w:t>
      </w:r>
      <w:r w:rsidRPr="00684006">
        <w:t>2 (c) of the</w:t>
      </w:r>
      <w:r>
        <w:t xml:space="preserve"> International Covenant on Economic, Social and Cultural Rights</w:t>
      </w:r>
      <w:r>
        <w:rPr>
          <w:rStyle w:val="FootnoteReference"/>
        </w:rPr>
        <w:footnoteReference w:id="33"/>
      </w:r>
      <w:r>
        <w:t xml:space="preserve"> and Article 26 </w:t>
      </w:r>
      <w:r w:rsidRPr="006C35C2">
        <w:rPr>
          <w:szCs w:val="22"/>
          <w:lang w:val="en-US"/>
        </w:rPr>
        <w:t>§</w:t>
      </w:r>
      <w:r>
        <w:t xml:space="preserve"> 1 of the Universal Declaration of Human Rights</w:t>
      </w:r>
      <w:r>
        <w:rPr>
          <w:rStyle w:val="FootnoteReference"/>
        </w:rPr>
        <w:footnoteReference w:id="34"/>
      </w:r>
      <w:r>
        <w:t xml:space="preserve">. The ultimate criterion for assessing candidates is their merit, not the market’s needs. Finally, this criterion is fundamentally unfair, inasmuch as it impedes a new entrant to the market with an obstacle justified by the alleged needs of that market. A new entrant may succeed in making his or her way through ability and hard work, and may thus prosper where others do not. In fact, the unfortunate practical outcome of the current </w:t>
      </w:r>
      <w:proofErr w:type="spellStart"/>
      <w:r>
        <w:rPr>
          <w:i/>
        </w:rPr>
        <w:t>numerus-</w:t>
      </w:r>
      <w:r w:rsidRPr="002828C6">
        <w:rPr>
          <w:i/>
        </w:rPr>
        <w:t>clausus</w:t>
      </w:r>
      <w:proofErr w:type="spellEnd"/>
      <w:r>
        <w:t xml:space="preserve"> system has been to restrict competition between professionals in the health field and to keep the health market rigid and ineffective, dependent either on the State offer or on services with artificially high health fees</w:t>
      </w:r>
      <w:r>
        <w:rPr>
          <w:rStyle w:val="FootnoteReference"/>
        </w:rPr>
        <w:footnoteReference w:id="35"/>
      </w:r>
      <w:r>
        <w:t>. For potential students, the sad result has been to drive them to study abroad, or at least those with the necessary means to do so</w:t>
      </w:r>
      <w:r>
        <w:rPr>
          <w:rStyle w:val="FootnoteReference"/>
        </w:rPr>
        <w:footnoteReference w:id="36"/>
      </w:r>
      <w:r>
        <w:t>.</w:t>
      </w:r>
    </w:p>
    <w:p w:rsidRPr="00691611" w:rsidR="00A64543" w:rsidP="00A64543" w:rsidRDefault="00A64543">
      <w:pPr>
        <w:pStyle w:val="OpiPara"/>
      </w:pPr>
      <w:r>
        <w:t>The arbitrariness of the legal regime as practised results from the simple fact that it has served no practical purpose other than to ensure the advantage of those professionals already working in the health sector. No better evidence of this purpose can be provided than the participation of professional associations in the task force that discusses and prepares the admission quotas, which constitutes a clear instance of conflict of interest</w:t>
      </w:r>
      <w:r>
        <w:rPr>
          <w:rStyle w:val="FootnoteReference"/>
        </w:rPr>
        <w:footnoteReference w:id="37"/>
      </w:r>
      <w:r>
        <w:t>.</w:t>
      </w:r>
    </w:p>
    <w:p w:rsidR="00A64543" w:rsidP="00A64543" w:rsidRDefault="00A64543">
      <w:pPr>
        <w:pStyle w:val="OpiPara"/>
        <w:spacing w:before="240" w:after="120"/>
        <w:rPr>
          <w:b/>
        </w:rPr>
      </w:pPr>
      <w:r w:rsidRPr="00427DC2">
        <w:rPr>
          <w:b/>
        </w:rPr>
        <w:t>Conclusion</w:t>
      </w:r>
    </w:p>
    <w:p w:rsidR="00A64543" w:rsidP="00A64543" w:rsidRDefault="00A64543">
      <w:pPr>
        <w:pStyle w:val="OpiPara"/>
      </w:pPr>
      <w:r>
        <w:t>Quoting from a statement of South African scholars against a governmental restrictive admission policy, Justice Frankfurter stated: “</w:t>
      </w:r>
      <w:r w:rsidRPr="00E379DA">
        <w:t>It is the business of a university to provide that atmosphere which is most conductive to speculation, experiment and creation. It is an atmosphere in which there prevail ‘the four essential freedoms’ of a university – to determine for itself on academic grounds who may teach, what may be taught, how it shall be taught, and who may be admitted to study</w:t>
      </w:r>
      <w:r w:rsidRPr="00435C18">
        <w:t>.</w:t>
      </w:r>
      <w:r>
        <w:t>”</w:t>
      </w:r>
      <w:r>
        <w:rPr>
          <w:rStyle w:val="FootnoteReference"/>
        </w:rPr>
        <w:footnoteReference w:id="38"/>
      </w:r>
      <w:r>
        <w:t xml:space="preserve"> In other words, institutional autonomy is a necessary condition for the professional freedom to provide for higher education and the individual right to higher education.</w:t>
      </w:r>
    </w:p>
    <w:p w:rsidR="00A64543" w:rsidP="00A64543" w:rsidRDefault="00A64543">
      <w:pPr>
        <w:pStyle w:val="OpiPara"/>
      </w:pPr>
      <w:r>
        <w:t xml:space="preserve">Both in their design and practice, the criteria established by the Government for the </w:t>
      </w:r>
      <w:proofErr w:type="spellStart"/>
      <w:r>
        <w:rPr>
          <w:i/>
        </w:rPr>
        <w:t>numerus-</w:t>
      </w:r>
      <w:r w:rsidRPr="00D33E64">
        <w:rPr>
          <w:i/>
        </w:rPr>
        <w:t>clausus</w:t>
      </w:r>
      <w:proofErr w:type="spellEnd"/>
      <w:r>
        <w:t xml:space="preserve"> system have proved groundless and even arbitrary in the light of these rights and freedoms. Hence, the interference with the applicants’ right to education is disproportionate, and Article 2 of Protocol No. 1 has been breached.</w:t>
      </w:r>
    </w:p>
    <w:p w:rsidRPr="00AC5CA7" w:rsidR="00A64543" w:rsidP="00A64543" w:rsidRDefault="00A64543">
      <w:pPr>
        <w:pStyle w:val="OpiPara"/>
      </w:pPr>
    </w:p>
    <w:p w:rsidRPr="00AC5CA7" w:rsidR="002710C6" w:rsidP="004C568D" w:rsidRDefault="002710C6">
      <w:pPr>
        <w:jc w:val="center"/>
      </w:pPr>
    </w:p>
    <w:sectPr w:rsidRPr="00AC5CA7" w:rsidR="002710C6" w:rsidSect="00E86895">
      <w:headerReference w:type="even" r:id="rId15"/>
      <w:headerReference w:type="default" r:id="rId16"/>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AFE" w:rsidRDefault="00E84AFE">
      <w:r>
        <w:separator/>
      </w:r>
    </w:p>
  </w:endnote>
  <w:endnote w:type="continuationSeparator" w:id="0">
    <w:p w:rsidR="00E84AFE" w:rsidRDefault="00E8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Pr="00150BFA" w:rsidRDefault="004C568D" w:rsidP="00380723">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4C568D" w:rsidRDefault="004C56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Default="004C5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AFE" w:rsidRDefault="00E84AFE">
      <w:r>
        <w:separator/>
      </w:r>
    </w:p>
  </w:footnote>
  <w:footnote w:type="continuationSeparator" w:id="0">
    <w:p w:rsidR="00E84AFE" w:rsidRDefault="00E84AFE">
      <w:r>
        <w:continuationSeparator/>
      </w:r>
    </w:p>
  </w:footnote>
  <w:footnote w:id="1">
    <w:p w:rsidR="00A64543" w:rsidRPr="005D4714" w:rsidRDefault="00A64543" w:rsidP="00A64543">
      <w:pPr>
        <w:pStyle w:val="FootnoteText"/>
      </w:pPr>
      <w:r w:rsidRPr="005D4714">
        <w:rPr>
          <w:rStyle w:val="FootnoteReference"/>
          <w:vertAlign w:val="baseline"/>
        </w:rPr>
        <w:footnoteRef/>
      </w:r>
      <w:r>
        <w:t xml:space="preserve">.  See </w:t>
      </w:r>
      <w:r w:rsidRPr="00E379DA">
        <w:rPr>
          <w:i/>
        </w:rPr>
        <w:t>Case</w:t>
      </w:r>
      <w:r w:rsidRPr="00EA564D">
        <w:rPr>
          <w:i/>
        </w:rPr>
        <w:t xml:space="preserve"> “</w:t>
      </w:r>
      <w:r w:rsidRPr="00DA0038">
        <w:rPr>
          <w:i/>
        </w:rPr>
        <w:t>relating to certain aspects of the laws on the use of languages in education in Belgium</w:t>
      </w:r>
      <w:r w:rsidRPr="004143ED">
        <w:rPr>
          <w:i/>
        </w:rPr>
        <w:t xml:space="preserve">” </w:t>
      </w:r>
      <w:r>
        <w:t xml:space="preserve">(merits), 23 July 1968, p. 85, § 42, Series A no. 6 (“the </w:t>
      </w:r>
      <w:r w:rsidRPr="00EA564D">
        <w:rPr>
          <w:i/>
        </w:rPr>
        <w:t>‘</w:t>
      </w:r>
      <w:r>
        <w:rPr>
          <w:i/>
        </w:rPr>
        <w:t>Belgian linguistic’</w:t>
      </w:r>
      <w:r>
        <w:t xml:space="preserve"> case”).</w:t>
      </w:r>
    </w:p>
  </w:footnote>
  <w:footnote w:id="2">
    <w:p w:rsidR="00A64543" w:rsidRPr="00205015" w:rsidRDefault="00A64543" w:rsidP="00A64543">
      <w:pPr>
        <w:pStyle w:val="FootnoteText"/>
      </w:pPr>
      <w:r w:rsidRPr="005D4714">
        <w:rPr>
          <w:rStyle w:val="FootnoteReference"/>
          <w:vertAlign w:val="baseline"/>
        </w:rPr>
        <w:footnoteRef/>
      </w:r>
      <w:r>
        <w:t>.  See also Committee on Economic, Social and Cultural Rights (CESCR) General Comment No. 13 on the right to education, UN Doc. E/C.12/1999/10, 8 December 1999, paragraph 6, stressing that “functioning educational institutions and programmes have to be available in sufficient quantity within the jurisdiction of the State party”, which implies an enhanced obligation to set up institutions and organise programmes where no sufficient offer is available. Moreover, i</w:t>
      </w:r>
      <w:r>
        <w:rPr>
          <w:rStyle w:val="sb8d990e2"/>
        </w:rPr>
        <w:t xml:space="preserve">n a democratic society, the right to education, which is indispensable to the furtherance of human rights, plays such a fundamental role that a restrictive interpretation of the first sentence of Article 2 of Protocol No. 1 would not be consistent with the aim or purpose of that provision (see </w:t>
      </w:r>
      <w:r w:rsidRPr="00DA0038">
        <w:rPr>
          <w:rStyle w:val="s6b621b36"/>
          <w:i/>
        </w:rPr>
        <w:t xml:space="preserve">Leyla </w:t>
      </w:r>
      <w:proofErr w:type="spellStart"/>
      <w:r w:rsidRPr="00DA0038">
        <w:rPr>
          <w:rStyle w:val="s6b621b36"/>
          <w:i/>
        </w:rPr>
        <w:t>Şahin</w:t>
      </w:r>
      <w:proofErr w:type="spellEnd"/>
      <w:r w:rsidRPr="00DA0038">
        <w:rPr>
          <w:rStyle w:val="s6b621b36"/>
          <w:i/>
        </w:rPr>
        <w:t xml:space="preserve"> v. Turkey</w:t>
      </w:r>
      <w:r w:rsidRPr="00DA0038">
        <w:rPr>
          <w:rStyle w:val="sb8d990e2"/>
          <w:i/>
        </w:rPr>
        <w:t xml:space="preserve"> </w:t>
      </w:r>
      <w:r>
        <w:rPr>
          <w:rStyle w:val="sb8d990e2"/>
        </w:rPr>
        <w:t>[GC], no. 44774/98, § 137, ECHR 2005</w:t>
      </w:r>
      <w:r>
        <w:rPr>
          <w:rStyle w:val="sb8d990e2"/>
        </w:rPr>
        <w:noBreakHyphen/>
        <w:t>XI).</w:t>
      </w:r>
    </w:p>
  </w:footnote>
  <w:footnote w:id="3">
    <w:p w:rsidR="00A64543" w:rsidRPr="00205015" w:rsidRDefault="00A64543" w:rsidP="00A64543">
      <w:pPr>
        <w:pStyle w:val="FootnoteText"/>
      </w:pPr>
      <w:r w:rsidRPr="005D4714">
        <w:rPr>
          <w:rStyle w:val="FootnoteReference"/>
          <w:vertAlign w:val="baseline"/>
        </w:rPr>
        <w:footnoteRef/>
      </w:r>
      <w:r>
        <w:t xml:space="preserve">.  See </w:t>
      </w:r>
      <w:r w:rsidRPr="008952E0">
        <w:rPr>
          <w:i/>
        </w:rPr>
        <w:t>Campbe</w:t>
      </w:r>
      <w:r>
        <w:rPr>
          <w:i/>
        </w:rPr>
        <w:t>l</w:t>
      </w:r>
      <w:r w:rsidRPr="008952E0">
        <w:rPr>
          <w:i/>
        </w:rPr>
        <w:t xml:space="preserve">l and </w:t>
      </w:r>
      <w:proofErr w:type="spellStart"/>
      <w:r w:rsidRPr="008952E0">
        <w:rPr>
          <w:i/>
        </w:rPr>
        <w:t>Cosans</w:t>
      </w:r>
      <w:proofErr w:type="spellEnd"/>
      <w:r>
        <w:rPr>
          <w:i/>
        </w:rPr>
        <w:t xml:space="preserve"> v. the United Kingdom</w:t>
      </w:r>
      <w:r>
        <w:t xml:space="preserve">, 25 February 1982, § 33, Series A no. 48, and </w:t>
      </w:r>
      <w:proofErr w:type="spellStart"/>
      <w:r w:rsidRPr="008952E0">
        <w:rPr>
          <w:i/>
        </w:rPr>
        <w:t>Timishev</w:t>
      </w:r>
      <w:proofErr w:type="spellEnd"/>
      <w:r w:rsidRPr="008952E0">
        <w:rPr>
          <w:i/>
        </w:rPr>
        <w:t xml:space="preserve"> v. Russia</w:t>
      </w:r>
      <w:r>
        <w:t xml:space="preserve">, nos. 55762/00 and 55974/00, §§ 63-67, </w:t>
      </w:r>
      <w:r>
        <w:rPr>
          <w:rStyle w:val="sb8d990e2"/>
        </w:rPr>
        <w:t>ECHR 2005-XII</w:t>
      </w:r>
      <w:r>
        <w:t>.</w:t>
      </w:r>
    </w:p>
  </w:footnote>
  <w:footnote w:id="4">
    <w:p w:rsidR="00A64543" w:rsidRPr="005D308D" w:rsidRDefault="00A64543" w:rsidP="00A64543">
      <w:pPr>
        <w:pStyle w:val="FootnoteText"/>
      </w:pPr>
      <w:r w:rsidRPr="005D4714">
        <w:rPr>
          <w:rStyle w:val="FootnoteReference"/>
          <w:vertAlign w:val="baseline"/>
        </w:rPr>
        <w:footnoteRef/>
      </w:r>
      <w:r>
        <w:t xml:space="preserve">.  See </w:t>
      </w:r>
      <w:r>
        <w:rPr>
          <w:i/>
        </w:rPr>
        <w:t xml:space="preserve">Leyla </w:t>
      </w:r>
      <w:proofErr w:type="spellStart"/>
      <w:r>
        <w:rPr>
          <w:i/>
        </w:rPr>
        <w:t>Şahin</w:t>
      </w:r>
      <w:proofErr w:type="spellEnd"/>
      <w:r>
        <w:t xml:space="preserve">, cited above, § 137. See also paragraph 17 of CESCR General Comment No. 13, cited above: “Higher education includes the elements of availability, accessibility, acceptability and adaptability which are common to education in all its forms at all levels.” </w:t>
      </w:r>
    </w:p>
  </w:footnote>
  <w:footnote w:id="5">
    <w:p w:rsidR="00A64543" w:rsidRPr="00205015" w:rsidRDefault="00A64543" w:rsidP="00A64543">
      <w:pPr>
        <w:pStyle w:val="FootnoteText"/>
      </w:pPr>
      <w:r w:rsidRPr="005D4714">
        <w:rPr>
          <w:rStyle w:val="FootnoteReference"/>
          <w:vertAlign w:val="baseline"/>
        </w:rPr>
        <w:footnoteRef/>
      </w:r>
      <w:r>
        <w:t xml:space="preserve">.  See </w:t>
      </w:r>
      <w:r w:rsidRPr="008952E0">
        <w:rPr>
          <w:i/>
        </w:rPr>
        <w:t>Leyla</w:t>
      </w:r>
      <w:r>
        <w:rPr>
          <w:i/>
        </w:rPr>
        <w:t xml:space="preserve"> </w:t>
      </w:r>
      <w:proofErr w:type="spellStart"/>
      <w:r>
        <w:rPr>
          <w:i/>
        </w:rPr>
        <w:t>Ş</w:t>
      </w:r>
      <w:r w:rsidRPr="008952E0">
        <w:rPr>
          <w:i/>
        </w:rPr>
        <w:t>ahin</w:t>
      </w:r>
      <w:proofErr w:type="spellEnd"/>
      <w:r>
        <w:t>, cited above, § 136.</w:t>
      </w:r>
    </w:p>
  </w:footnote>
  <w:footnote w:id="6">
    <w:p w:rsidR="00A64543" w:rsidRPr="006E685F" w:rsidRDefault="00A64543" w:rsidP="00A64543">
      <w:pPr>
        <w:pStyle w:val="FootnoteText"/>
      </w:pPr>
      <w:r w:rsidRPr="005D4714">
        <w:rPr>
          <w:rStyle w:val="FootnoteReference"/>
          <w:vertAlign w:val="baseline"/>
        </w:rPr>
        <w:footnoteRef/>
      </w:r>
      <w:r>
        <w:t xml:space="preserve">.  See </w:t>
      </w:r>
      <w:proofErr w:type="spellStart"/>
      <w:r w:rsidRPr="006E685F">
        <w:rPr>
          <w:i/>
        </w:rPr>
        <w:t>Lukach</w:t>
      </w:r>
      <w:proofErr w:type="spellEnd"/>
      <w:r w:rsidRPr="006E685F">
        <w:rPr>
          <w:i/>
        </w:rPr>
        <w:t xml:space="preserve"> v. Russia</w:t>
      </w:r>
      <w:r>
        <w:t xml:space="preserve"> (</w:t>
      </w:r>
      <w:proofErr w:type="spellStart"/>
      <w:r>
        <w:t>dec.</w:t>
      </w:r>
      <w:proofErr w:type="spellEnd"/>
      <w:r>
        <w:t>), no. 48041/99, 16 November 1999.</w:t>
      </w:r>
    </w:p>
  </w:footnote>
  <w:footnote w:id="7">
    <w:p w:rsidR="00A64543" w:rsidRPr="00712B8A" w:rsidRDefault="00A64543" w:rsidP="00A64543">
      <w:pPr>
        <w:pStyle w:val="FootnoteText"/>
      </w:pPr>
      <w:r w:rsidRPr="005D4714">
        <w:rPr>
          <w:rStyle w:val="FootnoteReference"/>
          <w:vertAlign w:val="baseline"/>
        </w:rPr>
        <w:footnoteRef/>
      </w:r>
      <w:r>
        <w:t xml:space="preserve">.  See </w:t>
      </w:r>
      <w:r w:rsidRPr="008952E0">
        <w:rPr>
          <w:i/>
        </w:rPr>
        <w:t>X</w:t>
      </w:r>
      <w:r>
        <w:rPr>
          <w:i/>
        </w:rPr>
        <w:t>.</w:t>
      </w:r>
      <w:r w:rsidRPr="008952E0">
        <w:rPr>
          <w:i/>
        </w:rPr>
        <w:t xml:space="preserve"> v. the United Kingdom</w:t>
      </w:r>
      <w:r>
        <w:t>, no. 8844/80, Commission decision of 9 December 1980, Decisions and Reports (DR) 23.</w:t>
      </w:r>
    </w:p>
  </w:footnote>
  <w:footnote w:id="8">
    <w:p w:rsidR="00A64543" w:rsidRPr="00110D48" w:rsidRDefault="00A64543" w:rsidP="00A64543">
      <w:pPr>
        <w:pStyle w:val="FootnoteText"/>
      </w:pPr>
      <w:r w:rsidRPr="005D4714">
        <w:rPr>
          <w:rStyle w:val="FootnoteReference"/>
          <w:vertAlign w:val="baseline"/>
        </w:rPr>
        <w:footnoteRef/>
      </w:r>
      <w:r>
        <w:t xml:space="preserve">.  See </w:t>
      </w:r>
      <w:r>
        <w:rPr>
          <w:i/>
        </w:rPr>
        <w:t>İ</w:t>
      </w:r>
      <w:r w:rsidRPr="008952E0">
        <w:rPr>
          <w:i/>
        </w:rPr>
        <w:t xml:space="preserve">rfan </w:t>
      </w:r>
      <w:proofErr w:type="spellStart"/>
      <w:r w:rsidRPr="008952E0">
        <w:rPr>
          <w:i/>
        </w:rPr>
        <w:t>Temel</w:t>
      </w:r>
      <w:proofErr w:type="spellEnd"/>
      <w:r w:rsidRPr="008952E0">
        <w:rPr>
          <w:i/>
        </w:rPr>
        <w:t xml:space="preserve"> and Others v. Turkey</w:t>
      </w:r>
      <w:r>
        <w:t xml:space="preserve">, no. 36458/02, 3 March 2009; </w:t>
      </w:r>
      <w:proofErr w:type="spellStart"/>
      <w:r w:rsidRPr="008952E0">
        <w:rPr>
          <w:i/>
        </w:rPr>
        <w:t>Yanasik</w:t>
      </w:r>
      <w:proofErr w:type="spellEnd"/>
      <w:r w:rsidRPr="008952E0">
        <w:rPr>
          <w:i/>
        </w:rPr>
        <w:t xml:space="preserve"> v. Turkey</w:t>
      </w:r>
      <w:r>
        <w:t xml:space="preserve">, no. 14524/89, Commission decision of </w:t>
      </w:r>
      <w:r>
        <w:rPr>
          <w:rStyle w:val="column04"/>
        </w:rPr>
        <w:t xml:space="preserve">6 January 1993, DR 74; and </w:t>
      </w:r>
      <w:proofErr w:type="spellStart"/>
      <w:r w:rsidRPr="008952E0">
        <w:rPr>
          <w:rStyle w:val="column04"/>
          <w:i/>
        </w:rPr>
        <w:t>Sulak</w:t>
      </w:r>
      <w:proofErr w:type="spellEnd"/>
      <w:r w:rsidRPr="008952E0">
        <w:rPr>
          <w:rStyle w:val="column04"/>
          <w:i/>
        </w:rPr>
        <w:t xml:space="preserve"> v. Turkey</w:t>
      </w:r>
      <w:r>
        <w:rPr>
          <w:rStyle w:val="column04"/>
        </w:rPr>
        <w:t>, no. 24515/94, Commission decision of 17 January 1996, DR 87-A.</w:t>
      </w:r>
    </w:p>
  </w:footnote>
  <w:footnote w:id="9">
    <w:p w:rsidR="00A64543" w:rsidRPr="005A38F9" w:rsidRDefault="00A64543" w:rsidP="00A64543">
      <w:pPr>
        <w:pStyle w:val="FootnoteText"/>
      </w:pPr>
      <w:r w:rsidRPr="005D4714">
        <w:rPr>
          <w:rStyle w:val="FootnoteReference"/>
          <w:vertAlign w:val="baseline"/>
        </w:rPr>
        <w:footnoteRef/>
      </w:r>
      <w:r>
        <w:t xml:space="preserve">.  See </w:t>
      </w:r>
      <w:r w:rsidRPr="008952E0">
        <w:rPr>
          <w:i/>
        </w:rPr>
        <w:t>M</w:t>
      </w:r>
      <w:r w:rsidRPr="00E379DA">
        <w:rPr>
          <w:i/>
          <w:lang w:val="en-US"/>
        </w:rPr>
        <w:t>ü</w:t>
      </w:r>
      <w:proofErr w:type="spellStart"/>
      <w:r w:rsidRPr="008952E0">
        <w:rPr>
          <w:i/>
        </w:rPr>
        <w:t>rsel</w:t>
      </w:r>
      <w:proofErr w:type="spellEnd"/>
      <w:r w:rsidRPr="008952E0">
        <w:rPr>
          <w:i/>
        </w:rPr>
        <w:t xml:space="preserve"> </w:t>
      </w:r>
      <w:proofErr w:type="spellStart"/>
      <w:r w:rsidRPr="008952E0">
        <w:rPr>
          <w:i/>
        </w:rPr>
        <w:t>Eren</w:t>
      </w:r>
      <w:proofErr w:type="spellEnd"/>
      <w:r w:rsidRPr="008952E0">
        <w:rPr>
          <w:i/>
        </w:rPr>
        <w:t xml:space="preserve"> v. </w:t>
      </w:r>
      <w:smartTag w:uri="urn:schemas-microsoft-com:office:smarttags" w:element="place">
        <w:smartTag w:uri="urn:schemas-microsoft-com:office:smarttags" w:element="country-region">
          <w:r w:rsidRPr="008952E0">
            <w:rPr>
              <w:i/>
            </w:rPr>
            <w:t>Turkey</w:t>
          </w:r>
        </w:smartTag>
      </w:smartTag>
      <w:r>
        <w:t>, no. 60856/00, ECHR 2006-II.</w:t>
      </w:r>
    </w:p>
  </w:footnote>
  <w:footnote w:id="10">
    <w:p w:rsidR="00A64543" w:rsidRPr="00AD2352" w:rsidRDefault="00A64543" w:rsidP="00A64543">
      <w:pPr>
        <w:pStyle w:val="FootnoteText"/>
      </w:pPr>
      <w:r w:rsidRPr="005D4714">
        <w:rPr>
          <w:rStyle w:val="FootnoteReference"/>
          <w:vertAlign w:val="baseline"/>
        </w:rPr>
        <w:footnoteRef/>
      </w:r>
      <w:r>
        <w:t xml:space="preserve">.  See </w:t>
      </w:r>
      <w:r w:rsidRPr="008952E0">
        <w:rPr>
          <w:i/>
        </w:rPr>
        <w:t>Georgiou v. Greece</w:t>
      </w:r>
      <w:r>
        <w:t xml:space="preserve"> (</w:t>
      </w:r>
      <w:proofErr w:type="spellStart"/>
      <w:r>
        <w:t>dec.</w:t>
      </w:r>
      <w:proofErr w:type="spellEnd"/>
      <w:r>
        <w:t xml:space="preserve">), no. 45138/98, 13 January 2000, and </w:t>
      </w:r>
      <w:proofErr w:type="spellStart"/>
      <w:r w:rsidRPr="008952E0">
        <w:rPr>
          <w:i/>
        </w:rPr>
        <w:t>Durmaz</w:t>
      </w:r>
      <w:proofErr w:type="spellEnd"/>
      <w:r w:rsidRPr="008952E0">
        <w:rPr>
          <w:i/>
        </w:rPr>
        <w:t xml:space="preserve">, </w:t>
      </w:r>
      <w:proofErr w:type="spellStart"/>
      <w:r w:rsidRPr="008952E0">
        <w:rPr>
          <w:i/>
        </w:rPr>
        <w:t>Isik</w:t>
      </w:r>
      <w:proofErr w:type="spellEnd"/>
      <w:r w:rsidRPr="008952E0">
        <w:rPr>
          <w:i/>
        </w:rPr>
        <w:t xml:space="preserve">, </w:t>
      </w:r>
      <w:proofErr w:type="spellStart"/>
      <w:r w:rsidRPr="008952E0">
        <w:rPr>
          <w:i/>
        </w:rPr>
        <w:t>Unutmaz</w:t>
      </w:r>
      <w:proofErr w:type="spellEnd"/>
      <w:r w:rsidRPr="008952E0">
        <w:rPr>
          <w:i/>
        </w:rPr>
        <w:t xml:space="preserve"> an</w:t>
      </w:r>
      <w:r>
        <w:rPr>
          <w:i/>
        </w:rPr>
        <w:t>d</w:t>
      </w:r>
      <w:r w:rsidRPr="008952E0">
        <w:rPr>
          <w:i/>
        </w:rPr>
        <w:t xml:space="preserve"> </w:t>
      </w:r>
      <w:proofErr w:type="spellStart"/>
      <w:r w:rsidRPr="008952E0">
        <w:rPr>
          <w:i/>
        </w:rPr>
        <w:t>Sezal</w:t>
      </w:r>
      <w:proofErr w:type="spellEnd"/>
      <w:r w:rsidRPr="008952E0">
        <w:rPr>
          <w:i/>
        </w:rPr>
        <w:t xml:space="preserve"> v. Turkey</w:t>
      </w:r>
      <w:r>
        <w:t xml:space="preserve"> (</w:t>
      </w:r>
      <w:proofErr w:type="spellStart"/>
      <w:r>
        <w:t>dec.</w:t>
      </w:r>
      <w:proofErr w:type="spellEnd"/>
      <w:r>
        <w:t xml:space="preserve">), </w:t>
      </w:r>
      <w:r>
        <w:rPr>
          <w:rStyle w:val="sb8d990e2"/>
        </w:rPr>
        <w:t>nos. 46506/99, 46569/99, 46570/99 and 46939/99, 4 September 2001</w:t>
      </w:r>
      <w:r>
        <w:t>.</w:t>
      </w:r>
    </w:p>
  </w:footnote>
  <w:footnote w:id="11">
    <w:p w:rsidR="00A64543" w:rsidRPr="00A223EB" w:rsidRDefault="00A64543" w:rsidP="00A64543">
      <w:pPr>
        <w:pStyle w:val="FootnoteText"/>
      </w:pPr>
      <w:r w:rsidRPr="005D4714">
        <w:rPr>
          <w:rStyle w:val="FootnoteReference"/>
          <w:vertAlign w:val="baseline"/>
        </w:rPr>
        <w:footnoteRef/>
      </w:r>
      <w:r>
        <w:t xml:space="preserve">.  See </w:t>
      </w:r>
      <w:r w:rsidRPr="008952E0">
        <w:rPr>
          <w:i/>
        </w:rPr>
        <w:t>Costello-Roberts v. the United Kingdom</w:t>
      </w:r>
      <w:r>
        <w:t xml:space="preserve">, 25 March 1993, § 27, Series A no. 247, and </w:t>
      </w:r>
      <w:proofErr w:type="spellStart"/>
      <w:r w:rsidRPr="008952E0">
        <w:rPr>
          <w:i/>
        </w:rPr>
        <w:t>Kjeldsen</w:t>
      </w:r>
      <w:proofErr w:type="spellEnd"/>
      <w:r>
        <w:rPr>
          <w:i/>
        </w:rPr>
        <w:t>, Busk Madsen and Pedersen</w:t>
      </w:r>
      <w:r w:rsidRPr="008952E0">
        <w:rPr>
          <w:i/>
        </w:rPr>
        <w:t xml:space="preserve"> v. D</w:t>
      </w:r>
      <w:r>
        <w:rPr>
          <w:i/>
        </w:rPr>
        <w:t>e</w:t>
      </w:r>
      <w:r w:rsidRPr="008952E0">
        <w:rPr>
          <w:i/>
        </w:rPr>
        <w:t>nmark</w:t>
      </w:r>
      <w:r>
        <w:t xml:space="preserve">, 7 December 1976, § 50, Series A no. 23. See also Article 13 </w:t>
      </w:r>
      <w:r w:rsidRPr="006C35C2">
        <w:rPr>
          <w:lang w:val="en-US"/>
        </w:rPr>
        <w:t>§</w:t>
      </w:r>
      <w:r w:rsidDel="0019000A">
        <w:t xml:space="preserve"> </w:t>
      </w:r>
      <w:r>
        <w:t xml:space="preserve">4 of the International Covenant on Economic, Social and Cultural Rights, which affirms “the liberty of individuals and bodies to establish and direct educational institutions”, provided the institutions conform to the educational objectives set out in Article 13 </w:t>
      </w:r>
      <w:r w:rsidRPr="006C35C2">
        <w:rPr>
          <w:lang w:val="en-US"/>
        </w:rPr>
        <w:t>§</w:t>
      </w:r>
      <w:r>
        <w:rPr>
          <w:lang w:val="en-US"/>
        </w:rPr>
        <w:t xml:space="preserve"> </w:t>
      </w:r>
      <w:r>
        <w:t>1 and certain minimum standards.</w:t>
      </w:r>
    </w:p>
  </w:footnote>
  <w:footnote w:id="12">
    <w:p w:rsidR="00A64543" w:rsidRPr="00487384" w:rsidRDefault="00A64543" w:rsidP="00A64543">
      <w:pPr>
        <w:pStyle w:val="FootnoteText"/>
      </w:pPr>
      <w:r w:rsidRPr="005D4714">
        <w:rPr>
          <w:rStyle w:val="FootnoteReference"/>
          <w:vertAlign w:val="baseline"/>
        </w:rPr>
        <w:footnoteRef/>
      </w:r>
      <w:r>
        <w:t xml:space="preserve">.  See </w:t>
      </w:r>
      <w:proofErr w:type="spellStart"/>
      <w:r w:rsidRPr="008952E0">
        <w:rPr>
          <w:i/>
        </w:rPr>
        <w:t>Verein</w:t>
      </w:r>
      <w:proofErr w:type="spellEnd"/>
      <w:r w:rsidRPr="008952E0">
        <w:rPr>
          <w:i/>
        </w:rPr>
        <w:t xml:space="preserve"> </w:t>
      </w:r>
      <w:proofErr w:type="spellStart"/>
      <w:r w:rsidRPr="008952E0">
        <w:rPr>
          <w:i/>
        </w:rPr>
        <w:t>Gemeinsam</w:t>
      </w:r>
      <w:proofErr w:type="spellEnd"/>
      <w:r w:rsidRPr="008952E0">
        <w:rPr>
          <w:i/>
        </w:rPr>
        <w:t xml:space="preserve"> </w:t>
      </w:r>
      <w:proofErr w:type="spellStart"/>
      <w:r w:rsidRPr="008952E0">
        <w:rPr>
          <w:i/>
        </w:rPr>
        <w:t>Lernen</w:t>
      </w:r>
      <w:proofErr w:type="spellEnd"/>
      <w:r w:rsidRPr="008952E0">
        <w:rPr>
          <w:i/>
        </w:rPr>
        <w:t xml:space="preserve"> v. Austria</w:t>
      </w:r>
      <w:r w:rsidRPr="00487384">
        <w:t>, no. 23419/94,</w:t>
      </w:r>
      <w:r>
        <w:t xml:space="preserve"> Commission decision of </w:t>
      </w:r>
      <w:r w:rsidRPr="00487384">
        <w:t>6</w:t>
      </w:r>
      <w:r>
        <w:t> </w:t>
      </w:r>
      <w:r w:rsidRPr="00487384">
        <w:t>September 1995</w:t>
      </w:r>
      <w:r>
        <w:t xml:space="preserve">, DR 82-A, on the funding of private non-religious schools, and, previously, </w:t>
      </w:r>
      <w:r w:rsidRPr="008952E0">
        <w:rPr>
          <w:i/>
        </w:rPr>
        <w:t>X</w:t>
      </w:r>
      <w:r>
        <w:rPr>
          <w:i/>
        </w:rPr>
        <w:t>.</w:t>
      </w:r>
      <w:r w:rsidRPr="008952E0">
        <w:rPr>
          <w:i/>
        </w:rPr>
        <w:t xml:space="preserve"> v. the United Kingdom</w:t>
      </w:r>
      <w:r>
        <w:t xml:space="preserve">, no. 7527/76, Commission decision of 5 July 1977, DR 11, and </w:t>
      </w:r>
      <w:r w:rsidRPr="008952E0">
        <w:rPr>
          <w:i/>
        </w:rPr>
        <w:t>X</w:t>
      </w:r>
      <w:r>
        <w:rPr>
          <w:i/>
        </w:rPr>
        <w:t>.</w:t>
      </w:r>
      <w:r w:rsidRPr="008952E0">
        <w:rPr>
          <w:i/>
        </w:rPr>
        <w:t xml:space="preserve"> and Y</w:t>
      </w:r>
      <w:r>
        <w:rPr>
          <w:i/>
        </w:rPr>
        <w:t>.</w:t>
      </w:r>
      <w:r w:rsidRPr="008952E0">
        <w:rPr>
          <w:i/>
        </w:rPr>
        <w:t xml:space="preserve"> v. the United Kingdom</w:t>
      </w:r>
      <w:r>
        <w:t>, no. 9461/81, Commission decision of 7 December 1982, DR 31, on the funding of private religious schools</w:t>
      </w:r>
      <w:r w:rsidRPr="00487384">
        <w:t>.</w:t>
      </w:r>
      <w:r>
        <w:t xml:space="preserve"> See also paragraph 54 of CESCR General Comment No. 13, cited above.</w:t>
      </w:r>
    </w:p>
  </w:footnote>
  <w:footnote w:id="13">
    <w:p w:rsidR="00A64543" w:rsidRPr="00823ED8" w:rsidRDefault="00A64543" w:rsidP="00A64543">
      <w:pPr>
        <w:pStyle w:val="FootnoteText"/>
      </w:pPr>
      <w:r w:rsidRPr="00541942">
        <w:rPr>
          <w:rStyle w:val="FootnoteReference"/>
          <w:vertAlign w:val="baseline"/>
        </w:rPr>
        <w:footnoteRef/>
      </w:r>
      <w:r>
        <w:t xml:space="preserve">.  See </w:t>
      </w:r>
      <w:proofErr w:type="spellStart"/>
      <w:r w:rsidRPr="008952E0">
        <w:rPr>
          <w:i/>
        </w:rPr>
        <w:t>Lautsi</w:t>
      </w:r>
      <w:proofErr w:type="spellEnd"/>
      <w:r w:rsidRPr="008952E0">
        <w:rPr>
          <w:i/>
        </w:rPr>
        <w:t xml:space="preserve"> </w:t>
      </w:r>
      <w:r>
        <w:rPr>
          <w:i/>
        </w:rPr>
        <w:t xml:space="preserve">and Others </w:t>
      </w:r>
      <w:r w:rsidRPr="008952E0">
        <w:rPr>
          <w:i/>
        </w:rPr>
        <w:t>v. Italy</w:t>
      </w:r>
      <w:r w:rsidRPr="00823ED8">
        <w:t xml:space="preserve"> </w:t>
      </w:r>
      <w:r>
        <w:t>[</w:t>
      </w:r>
      <w:r w:rsidRPr="00823ED8">
        <w:t>GC</w:t>
      </w:r>
      <w:r>
        <w:t>]</w:t>
      </w:r>
      <w:r w:rsidRPr="00823ED8">
        <w:t xml:space="preserve">, no. 30814/06, </w:t>
      </w:r>
      <w:r>
        <w:t>ECHR</w:t>
      </w:r>
      <w:r w:rsidRPr="00823ED8">
        <w:t xml:space="preserve"> 2011.</w:t>
      </w:r>
    </w:p>
  </w:footnote>
  <w:footnote w:id="14">
    <w:p w:rsidR="00A64543" w:rsidRPr="00205015" w:rsidRDefault="00A64543" w:rsidP="00A64543">
      <w:pPr>
        <w:pStyle w:val="FootnoteText"/>
      </w:pPr>
      <w:r w:rsidRPr="00541942">
        <w:rPr>
          <w:rStyle w:val="FootnoteReference"/>
          <w:vertAlign w:val="baseline"/>
        </w:rPr>
        <w:footnoteRef/>
      </w:r>
      <w:r>
        <w:t xml:space="preserve">.  See </w:t>
      </w:r>
      <w:r w:rsidRPr="008952E0">
        <w:rPr>
          <w:i/>
        </w:rPr>
        <w:t xml:space="preserve">Konrad v. </w:t>
      </w:r>
      <w:smartTag w:uri="urn:schemas-microsoft-com:office:smarttags" w:element="place">
        <w:smartTag w:uri="urn:schemas-microsoft-com:office:smarttags" w:element="country-region">
          <w:r w:rsidRPr="008952E0">
            <w:rPr>
              <w:i/>
            </w:rPr>
            <w:t>Germany</w:t>
          </w:r>
        </w:smartTag>
      </w:smartTag>
      <w:r>
        <w:t xml:space="preserve"> (</w:t>
      </w:r>
      <w:proofErr w:type="spellStart"/>
      <w:r>
        <w:t>dec.</w:t>
      </w:r>
      <w:proofErr w:type="spellEnd"/>
      <w:r>
        <w:t>), no. 35504/03, ECHR 2006-XIII.</w:t>
      </w:r>
    </w:p>
  </w:footnote>
  <w:footnote w:id="15">
    <w:p w:rsidR="00A64543" w:rsidRPr="0004589F" w:rsidRDefault="00A64543" w:rsidP="00A64543">
      <w:pPr>
        <w:pStyle w:val="FootnoteText"/>
      </w:pPr>
      <w:r w:rsidRPr="00541942">
        <w:rPr>
          <w:rStyle w:val="FootnoteReference"/>
          <w:vertAlign w:val="baseline"/>
        </w:rPr>
        <w:footnoteRef/>
      </w:r>
      <w:r>
        <w:t xml:space="preserve">.  See </w:t>
      </w:r>
      <w:r w:rsidRPr="008952E0">
        <w:rPr>
          <w:i/>
        </w:rPr>
        <w:t>Cyprus v. Turkey</w:t>
      </w:r>
      <w:r>
        <w:t xml:space="preserve"> [GC], </w:t>
      </w:r>
      <w:r>
        <w:rPr>
          <w:rStyle w:val="s85f22697"/>
        </w:rPr>
        <w:t xml:space="preserve">no. 25781/94, </w:t>
      </w:r>
      <w:r>
        <w:t>§§ 273-80, ECHR 2001-IV.</w:t>
      </w:r>
    </w:p>
  </w:footnote>
  <w:footnote w:id="16">
    <w:p w:rsidR="00A64543" w:rsidRPr="005A38F9" w:rsidRDefault="00A64543" w:rsidP="00A64543">
      <w:pPr>
        <w:pStyle w:val="FootnoteText"/>
      </w:pPr>
      <w:r w:rsidRPr="00541942">
        <w:rPr>
          <w:rStyle w:val="FootnoteReference"/>
          <w:vertAlign w:val="baseline"/>
        </w:rPr>
        <w:footnoteRef/>
      </w:r>
      <w:r>
        <w:t xml:space="preserve">.  See </w:t>
      </w:r>
      <w:proofErr w:type="spellStart"/>
      <w:r w:rsidRPr="008952E0">
        <w:rPr>
          <w:i/>
        </w:rPr>
        <w:t>Folger</w:t>
      </w:r>
      <w:r w:rsidRPr="000F1692">
        <w:rPr>
          <w:i/>
          <w:szCs w:val="22"/>
        </w:rPr>
        <w:t>ø</w:t>
      </w:r>
      <w:proofErr w:type="spellEnd"/>
      <w:r w:rsidRPr="008952E0">
        <w:rPr>
          <w:i/>
        </w:rPr>
        <w:t xml:space="preserve"> and Others v. Norway</w:t>
      </w:r>
      <w:r>
        <w:t xml:space="preserve"> [GC], no. </w:t>
      </w:r>
      <w:r>
        <w:rPr>
          <w:rStyle w:val="wordhighlighted"/>
        </w:rPr>
        <w:t xml:space="preserve">15472/02, ECHR 2007-III; </w:t>
      </w:r>
      <w:r w:rsidRPr="008952E0">
        <w:rPr>
          <w:rStyle w:val="wordhighlighted"/>
          <w:i/>
        </w:rPr>
        <w:t>Ha</w:t>
      </w:r>
      <w:r>
        <w:rPr>
          <w:rStyle w:val="wordhighlighted"/>
          <w:i/>
        </w:rPr>
        <w:t>s</w:t>
      </w:r>
      <w:r w:rsidRPr="008952E0">
        <w:rPr>
          <w:rStyle w:val="wordhighlighted"/>
          <w:i/>
        </w:rPr>
        <w:t xml:space="preserve">san and </w:t>
      </w:r>
      <w:proofErr w:type="spellStart"/>
      <w:r w:rsidRPr="008952E0">
        <w:rPr>
          <w:rStyle w:val="wordhighlighted"/>
          <w:i/>
        </w:rPr>
        <w:t>Eylem</w:t>
      </w:r>
      <w:proofErr w:type="spellEnd"/>
      <w:r w:rsidRPr="008952E0">
        <w:rPr>
          <w:rStyle w:val="wordhighlighted"/>
          <w:i/>
        </w:rPr>
        <w:t xml:space="preserve"> </w:t>
      </w:r>
      <w:proofErr w:type="spellStart"/>
      <w:r w:rsidRPr="008952E0">
        <w:rPr>
          <w:rStyle w:val="wordhighlighted"/>
          <w:i/>
        </w:rPr>
        <w:t>Zengin</w:t>
      </w:r>
      <w:proofErr w:type="spellEnd"/>
      <w:r w:rsidRPr="008952E0">
        <w:rPr>
          <w:rStyle w:val="wordhighlighted"/>
          <w:i/>
        </w:rPr>
        <w:t xml:space="preserve"> v. Turkey</w:t>
      </w:r>
      <w:r>
        <w:rPr>
          <w:rStyle w:val="wordhighlighted"/>
        </w:rPr>
        <w:t xml:space="preserve">, no. 1448/04, 9 October 2007; and </w:t>
      </w:r>
      <w:proofErr w:type="spellStart"/>
      <w:r w:rsidRPr="00EB6950">
        <w:rPr>
          <w:i/>
        </w:rPr>
        <w:t>Kjeldsen</w:t>
      </w:r>
      <w:proofErr w:type="spellEnd"/>
      <w:r>
        <w:rPr>
          <w:i/>
        </w:rPr>
        <w:t>, Busk Madsen and Pedersen</w:t>
      </w:r>
      <w:r>
        <w:t xml:space="preserve">, cited above, § 50. See also CESCR General Comment No. 13, cited above, paragraph 28, which refers to teaching in an “unbiased and objective way, respectful of the freedoms of opinion, conscience and expression”, and </w:t>
      </w:r>
      <w:proofErr w:type="spellStart"/>
      <w:r w:rsidRPr="00A61E1B">
        <w:rPr>
          <w:i/>
        </w:rPr>
        <w:t>Keyishian</w:t>
      </w:r>
      <w:proofErr w:type="spellEnd"/>
      <w:r w:rsidRPr="00A61E1B">
        <w:rPr>
          <w:i/>
        </w:rPr>
        <w:t xml:space="preserve"> v. Board of Regents</w:t>
      </w:r>
      <w:r>
        <w:t>, 385 US 589 (1967), and the inspiring words of Justice Brennan on academic freedom: “</w:t>
      </w:r>
      <w:r w:rsidRPr="00E379DA">
        <w:t>Our nation is deeply committed to safeguarding academic freedom, which is of transcendent value to all of us and not merely to the teachers concerned</w:t>
      </w:r>
      <w:r w:rsidRPr="00324DC6">
        <w:t>.”</w:t>
      </w:r>
      <w:r>
        <w:t xml:space="preserve"> </w:t>
      </w:r>
    </w:p>
  </w:footnote>
  <w:footnote w:id="17">
    <w:p w:rsidR="00A64543" w:rsidRPr="00775864" w:rsidRDefault="00A64543" w:rsidP="00A64543">
      <w:pPr>
        <w:pStyle w:val="FootnoteText"/>
      </w:pPr>
      <w:r w:rsidRPr="00541942">
        <w:rPr>
          <w:rStyle w:val="FootnoteReference"/>
          <w:vertAlign w:val="baseline"/>
        </w:rPr>
        <w:footnoteRef/>
      </w:r>
      <w:r>
        <w:t xml:space="preserve">.  See </w:t>
      </w:r>
      <w:r w:rsidRPr="008952E0">
        <w:rPr>
          <w:i/>
        </w:rPr>
        <w:t xml:space="preserve">D.H. and Others v. </w:t>
      </w:r>
      <w:r>
        <w:rPr>
          <w:i/>
        </w:rPr>
        <w:t xml:space="preserve">the </w:t>
      </w:r>
      <w:r w:rsidRPr="008952E0">
        <w:rPr>
          <w:i/>
        </w:rPr>
        <w:t>Czech Republic</w:t>
      </w:r>
      <w:r>
        <w:t xml:space="preserve"> [GC], no. 57325/00, ECHR 2007-IV, and paragraphs 31-34 and 59 of the CESCR General Comment No. 13, cited above.</w:t>
      </w:r>
    </w:p>
  </w:footnote>
  <w:footnote w:id="18">
    <w:p w:rsidR="00A64543" w:rsidRPr="005A38F9" w:rsidRDefault="00A64543" w:rsidP="00A64543">
      <w:pPr>
        <w:pStyle w:val="FootnoteText"/>
      </w:pPr>
      <w:r w:rsidRPr="00541942">
        <w:rPr>
          <w:rStyle w:val="FootnoteReference"/>
          <w:vertAlign w:val="baseline"/>
        </w:rPr>
        <w:footnoteRef/>
      </w:r>
      <w:r>
        <w:t xml:space="preserve">.  See </w:t>
      </w:r>
      <w:r w:rsidRPr="008952E0">
        <w:rPr>
          <w:i/>
        </w:rPr>
        <w:t xml:space="preserve">Campbell and </w:t>
      </w:r>
      <w:proofErr w:type="spellStart"/>
      <w:r w:rsidRPr="008952E0">
        <w:rPr>
          <w:i/>
        </w:rPr>
        <w:t>Cosans</w:t>
      </w:r>
      <w:proofErr w:type="spellEnd"/>
      <w:r>
        <w:t>, cited above, § 41.</w:t>
      </w:r>
    </w:p>
  </w:footnote>
  <w:footnote w:id="19">
    <w:p w:rsidR="00A64543" w:rsidRPr="00A61E1B" w:rsidRDefault="00A64543" w:rsidP="00A64543">
      <w:pPr>
        <w:pStyle w:val="FootnoteText"/>
      </w:pPr>
      <w:r w:rsidRPr="00541942">
        <w:rPr>
          <w:rStyle w:val="FootnoteReference"/>
          <w:vertAlign w:val="baseline"/>
        </w:rPr>
        <w:footnoteRef/>
      </w:r>
      <w:r>
        <w:t xml:space="preserve">.  See the 2009 Lisbon Declaration of the European University Association, which required that “each university should define and pursue its mission, and thus collectively provide for the needs of individual countries and Europe as a whole”. In the light of this mission, institutional autonomy should include “academic autonomy (curricula, programmes and research), financial autonomy (lump sum budgeting), organisational autonomy (the structure of the university) and staffing autonomy (responsibility for recruitment, salaries and promotion)”. In the same vein, paragraph 40 of CESCR General Comment No. 13, cited above, states: “The enjoyment of academic freedom requires the autonomy of institutions of higher education. Autonomy is that degree of self-governance necessary for effective decision-making by institutions of higher education in relation to their academic work, standards, management and related activities.” On institutional autonomy of universities, see also Justice Powell’s opinion on a racially sensitive admission policy in </w:t>
      </w:r>
      <w:r w:rsidRPr="00066F6F">
        <w:rPr>
          <w:i/>
        </w:rPr>
        <w:t>Regents of the University of California v. Bakke</w:t>
      </w:r>
      <w:r>
        <w:t xml:space="preserve">, 438 US 265, 312 (1978), Justice Stevens’ opinion on university policy to deny students the use of campus facilities for religious purposes in </w:t>
      </w:r>
      <w:proofErr w:type="spellStart"/>
      <w:r w:rsidRPr="00066F6F">
        <w:rPr>
          <w:i/>
        </w:rPr>
        <w:t>Widmar</w:t>
      </w:r>
      <w:proofErr w:type="spellEnd"/>
      <w:r w:rsidRPr="00066F6F">
        <w:rPr>
          <w:i/>
        </w:rPr>
        <w:t xml:space="preserve"> v. Vincent</w:t>
      </w:r>
      <w:r>
        <w:t xml:space="preserve">, 454 US 263, 278 (1981), Justice Stevens’ opinion, for the unanimous court, on the power to deny readmission of a student following failure in some examinations in </w:t>
      </w:r>
      <w:r w:rsidRPr="00C75D76">
        <w:rPr>
          <w:i/>
        </w:rPr>
        <w:t>Regents of University of Michigan v. Ewing</w:t>
      </w:r>
      <w:r>
        <w:t xml:space="preserve">, 474 US 214 (1985), Justice Souter’s opinion, with which Justices Stevens and </w:t>
      </w:r>
      <w:proofErr w:type="spellStart"/>
      <w:r>
        <w:t>Breyer</w:t>
      </w:r>
      <w:proofErr w:type="spellEnd"/>
      <w:r>
        <w:t xml:space="preserve"> agreed, on mandatory fees to fund student associations’ activities in </w:t>
      </w:r>
      <w:r w:rsidRPr="000E7AFB">
        <w:rPr>
          <w:i/>
        </w:rPr>
        <w:t xml:space="preserve">Board of Regents of University of Wisconsin v. </w:t>
      </w:r>
      <w:proofErr w:type="spellStart"/>
      <w:r w:rsidRPr="000E7AFB">
        <w:rPr>
          <w:i/>
        </w:rPr>
        <w:t>Southworth</w:t>
      </w:r>
      <w:proofErr w:type="spellEnd"/>
      <w:r>
        <w:t xml:space="preserve">, 529 US 217 (2000), and Justice O’Connor’s opinion on a racial affirmative-action programme in </w:t>
      </w:r>
      <w:proofErr w:type="spellStart"/>
      <w:r w:rsidRPr="00066F6F">
        <w:rPr>
          <w:i/>
        </w:rPr>
        <w:t>Grutter</w:t>
      </w:r>
      <w:proofErr w:type="spellEnd"/>
      <w:r w:rsidRPr="00066F6F">
        <w:rPr>
          <w:i/>
        </w:rPr>
        <w:t xml:space="preserve"> v. Bollinger</w:t>
      </w:r>
      <w:r>
        <w:t xml:space="preserve">, 539 US 306, 329 (2003). </w:t>
      </w:r>
    </w:p>
  </w:footnote>
  <w:footnote w:id="20">
    <w:p w:rsidR="00A64543" w:rsidRPr="00066F6F" w:rsidRDefault="00A64543" w:rsidP="00A64543">
      <w:pPr>
        <w:pStyle w:val="FootnoteText"/>
      </w:pPr>
      <w:r w:rsidRPr="00435C18">
        <w:rPr>
          <w:rStyle w:val="FootnoteReference"/>
          <w:vertAlign w:val="baseline"/>
        </w:rPr>
        <w:footnoteRef/>
      </w:r>
      <w:r>
        <w:t xml:space="preserve">.  In this respect, the principle of the institutional autonomy of universities is instrumental both for the interpretation and application of laws and for the resolution of competing claims between governments, universities, scholars, administrative staff and students. </w:t>
      </w:r>
    </w:p>
  </w:footnote>
  <w:footnote w:id="21">
    <w:p w:rsidR="00A64543" w:rsidRPr="00C87595" w:rsidRDefault="00A64543" w:rsidP="00A64543">
      <w:pPr>
        <w:pStyle w:val="FootnoteText"/>
      </w:pPr>
      <w:r w:rsidRPr="00435C18">
        <w:rPr>
          <w:rStyle w:val="FootnoteReference"/>
          <w:vertAlign w:val="baseline"/>
        </w:rPr>
        <w:footnoteRef/>
      </w:r>
      <w:r>
        <w:t>.  Firstly, the interference must be foreseen by a law. Secondly, t</w:t>
      </w:r>
      <w:r>
        <w:rPr>
          <w:rStyle w:val="sf97c7c07"/>
        </w:rPr>
        <w:t>he interference must be necessary in the sense that it adequately advances the “social need” (social interests and rights and freedoms of others) pursued and reaches no further than necessary to satisfy the said “social need”</w:t>
      </w:r>
      <w:bookmarkStart w:id="7" w:name="_ftnref31"/>
      <w:bookmarkEnd w:id="7"/>
      <w:r>
        <w:rPr>
          <w:rStyle w:val="sf97c7c07"/>
        </w:rPr>
        <w:t>. Thirdly, the interference must be proportionate, meaning that a fair balancing of the competing rights, freedoms and interests has been achieved, whilst ensuring that the essence (or minimum core) of the right or freedom is respected (see the “</w:t>
      </w:r>
      <w:r w:rsidRPr="008952E0">
        <w:rPr>
          <w:i/>
        </w:rPr>
        <w:t xml:space="preserve">Belgian </w:t>
      </w:r>
      <w:r>
        <w:rPr>
          <w:i/>
        </w:rPr>
        <w:t>l</w:t>
      </w:r>
      <w:r w:rsidRPr="008952E0">
        <w:rPr>
          <w:i/>
        </w:rPr>
        <w:t>inguistic</w:t>
      </w:r>
      <w:r>
        <w:t>”</w:t>
      </w:r>
      <w:r w:rsidRPr="00E379DA">
        <w:t xml:space="preserve"> case</w:t>
      </w:r>
      <w:r w:rsidRPr="00C87595">
        <w:t>, cited above,</w:t>
      </w:r>
      <w:r>
        <w:t xml:space="preserve"> p. 32,</w:t>
      </w:r>
      <w:r w:rsidRPr="00C87595">
        <w:t xml:space="preserve"> § 5</w:t>
      </w:r>
      <w:r>
        <w:t xml:space="preserve">). The same line of argument was established long ago in </w:t>
      </w:r>
      <w:r w:rsidRPr="00C75D76">
        <w:rPr>
          <w:i/>
        </w:rPr>
        <w:t>Trustees of Dartmouth College v. Woodward</w:t>
      </w:r>
      <w:r>
        <w:t xml:space="preserve">, 17 </w:t>
      </w:r>
      <w:smartTag w:uri="urn:schemas-microsoft-com:office:smarttags" w:element="place">
        <w:smartTag w:uri="urn:schemas-microsoft-com:office:smarttags" w:element="country-region">
          <w:r>
            <w:t>US</w:t>
          </w:r>
        </w:smartTag>
      </w:smartTag>
      <w:r>
        <w:t xml:space="preserve"> 518 (1819). In the </w:t>
      </w:r>
      <w:proofErr w:type="spellStart"/>
      <w:r w:rsidRPr="00A61E1B">
        <w:rPr>
          <w:i/>
        </w:rPr>
        <w:t>Hochschulurteil</w:t>
      </w:r>
      <w:proofErr w:type="spellEnd"/>
      <w:r>
        <w:t xml:space="preserve"> judgment (</w:t>
      </w:r>
      <w:proofErr w:type="spellStart"/>
      <w:r>
        <w:t>BVerfGE</w:t>
      </w:r>
      <w:proofErr w:type="spellEnd"/>
      <w:r>
        <w:t xml:space="preserve"> 35, 79), the </w:t>
      </w:r>
      <w:smartTag w:uri="urn:schemas-microsoft-com:office:smarttags" w:element="Street">
        <w:smartTag w:uri="urn:schemas-microsoft-com:office:smarttags" w:element="address">
          <w:r>
            <w:t>German Constitutional Court</w:t>
          </w:r>
        </w:smartTag>
      </w:smartTag>
      <w:r>
        <w:t xml:space="preserve"> also held that academic freedom could only be restricted to safeguard other constitutional values. In its judgment of 11 September 2007 (case C-76/05), the European Court of Justice (ECJ) confirmed that courses given by educational establishments essentially financed by private funds, notably by students and their parents, constitute services within the meaning of the Treaty on the Functioning of the European Union (TFEU), and any restrictions on access to a private school </w:t>
      </w:r>
      <w:r w:rsidRPr="00E74715">
        <w:t xml:space="preserve">established in another </w:t>
      </w:r>
      <w:r>
        <w:t>m</w:t>
      </w:r>
      <w:r w:rsidRPr="00E74715">
        <w:t xml:space="preserve">ember </w:t>
      </w:r>
      <w:r>
        <w:t>S</w:t>
      </w:r>
      <w:r w:rsidRPr="00E74715">
        <w:t>tate</w:t>
      </w:r>
      <w:r>
        <w:t xml:space="preserve"> had to be justified.  </w:t>
      </w:r>
    </w:p>
  </w:footnote>
  <w:footnote w:id="22">
    <w:p w:rsidR="00A64543" w:rsidRPr="00D546F9" w:rsidRDefault="00A64543" w:rsidP="00A64543">
      <w:pPr>
        <w:pStyle w:val="FootnoteText"/>
      </w:pPr>
      <w:r w:rsidRPr="00435C18">
        <w:rPr>
          <w:rStyle w:val="FootnoteReference"/>
          <w:vertAlign w:val="baseline"/>
        </w:rPr>
        <w:footnoteRef/>
      </w:r>
      <w:r>
        <w:t xml:space="preserve">.  Emphasising the “central importance of institutional autonomy, tempered by a recognition that this brings with it heavy responsibilities” in the European Higher Education Area, see the </w:t>
      </w:r>
      <w:r w:rsidRPr="00D546F9">
        <w:t xml:space="preserve">European Association for Quality Assurance in Higher Education </w:t>
      </w:r>
      <w:r>
        <w:t xml:space="preserve">(ENQA) report on Standards and Guidelines for Quality Assurance in the European Higher Education Area, third edition, 2009, Helsinki, p. 11. </w:t>
      </w:r>
    </w:p>
  </w:footnote>
  <w:footnote w:id="23">
    <w:p w:rsidR="00A64543" w:rsidRPr="00243260" w:rsidRDefault="00A64543" w:rsidP="00A64543">
      <w:pPr>
        <w:pStyle w:val="FootnoteText"/>
      </w:pPr>
      <w:r w:rsidRPr="00435C18">
        <w:rPr>
          <w:rStyle w:val="FootnoteReference"/>
          <w:vertAlign w:val="baseline"/>
        </w:rPr>
        <w:footnoteRef/>
      </w:r>
      <w:r>
        <w:t>.  The Government do not even feel constrained to follow the numbers suggested by each university on its own enrolment capacity (see the example mentioned by the Italian Anti-Trust Authority in its report of 21 April 2009, where it refers to “</w:t>
      </w:r>
      <w:proofErr w:type="spellStart"/>
      <w:r w:rsidRPr="00243260">
        <w:rPr>
          <w:i/>
        </w:rPr>
        <w:t>scelte</w:t>
      </w:r>
      <w:proofErr w:type="spellEnd"/>
      <w:r w:rsidRPr="00243260">
        <w:rPr>
          <w:i/>
        </w:rPr>
        <w:t xml:space="preserve"> di </w:t>
      </w:r>
      <w:proofErr w:type="spellStart"/>
      <w:r w:rsidRPr="00243260">
        <w:rPr>
          <w:i/>
        </w:rPr>
        <w:t>opportunità</w:t>
      </w:r>
      <w:proofErr w:type="spellEnd"/>
      <w:r>
        <w:t>”</w:t>
      </w:r>
      <w:r>
        <w:rPr>
          <w:i/>
        </w:rPr>
        <w:t xml:space="preserve"> </w:t>
      </w:r>
      <w:r w:rsidRPr="00243260">
        <w:t>and</w:t>
      </w:r>
      <w:r w:rsidRPr="00243260">
        <w:rPr>
          <w:i/>
        </w:rPr>
        <w:t xml:space="preserve"> </w:t>
      </w:r>
      <w:r w:rsidRPr="00E379DA">
        <w:t>“</w:t>
      </w:r>
      <w:proofErr w:type="spellStart"/>
      <w:r w:rsidRPr="00243260">
        <w:rPr>
          <w:i/>
        </w:rPr>
        <w:t>da</w:t>
      </w:r>
      <w:r>
        <w:rPr>
          <w:i/>
        </w:rPr>
        <w:t>l</w:t>
      </w:r>
      <w:r w:rsidRPr="00243260">
        <w:rPr>
          <w:i/>
        </w:rPr>
        <w:t>le</w:t>
      </w:r>
      <w:proofErr w:type="spellEnd"/>
      <w:r w:rsidRPr="00243260">
        <w:rPr>
          <w:i/>
        </w:rPr>
        <w:t xml:space="preserve"> </w:t>
      </w:r>
      <w:proofErr w:type="spellStart"/>
      <w:r w:rsidRPr="00243260">
        <w:rPr>
          <w:i/>
        </w:rPr>
        <w:t>risposte</w:t>
      </w:r>
      <w:proofErr w:type="spellEnd"/>
      <w:r w:rsidRPr="00243260">
        <w:rPr>
          <w:i/>
        </w:rPr>
        <w:t xml:space="preserve"> </w:t>
      </w:r>
      <w:proofErr w:type="spellStart"/>
      <w:r w:rsidRPr="00243260">
        <w:rPr>
          <w:i/>
        </w:rPr>
        <w:t>dei</w:t>
      </w:r>
      <w:proofErr w:type="spellEnd"/>
      <w:r w:rsidRPr="00243260">
        <w:rPr>
          <w:i/>
        </w:rPr>
        <w:t xml:space="preserve"> </w:t>
      </w:r>
      <w:proofErr w:type="spellStart"/>
      <w:r w:rsidRPr="00243260">
        <w:rPr>
          <w:i/>
        </w:rPr>
        <w:t>ministeri</w:t>
      </w:r>
      <w:proofErr w:type="spellEnd"/>
      <w:r w:rsidRPr="00243260">
        <w:rPr>
          <w:i/>
        </w:rPr>
        <w:t xml:space="preserve"> non </w:t>
      </w:r>
      <w:proofErr w:type="spellStart"/>
      <w:r w:rsidRPr="00243260">
        <w:rPr>
          <w:i/>
        </w:rPr>
        <w:t>emergono</w:t>
      </w:r>
      <w:proofErr w:type="spellEnd"/>
      <w:r w:rsidRPr="00243260">
        <w:rPr>
          <w:i/>
        </w:rPr>
        <w:t xml:space="preserve"> le </w:t>
      </w:r>
      <w:proofErr w:type="spellStart"/>
      <w:r w:rsidRPr="00243260">
        <w:rPr>
          <w:i/>
        </w:rPr>
        <w:t>motivazioni</w:t>
      </w:r>
      <w:proofErr w:type="spellEnd"/>
      <w:r w:rsidRPr="00243260">
        <w:rPr>
          <w:i/>
        </w:rPr>
        <w:t xml:space="preserve"> technique </w:t>
      </w:r>
      <w:proofErr w:type="spellStart"/>
      <w:r w:rsidRPr="00243260">
        <w:rPr>
          <w:i/>
        </w:rPr>
        <w:t>concernenti</w:t>
      </w:r>
      <w:proofErr w:type="spellEnd"/>
      <w:r w:rsidRPr="00243260">
        <w:rPr>
          <w:i/>
        </w:rPr>
        <w:t xml:space="preserve"> tale </w:t>
      </w:r>
      <w:proofErr w:type="spellStart"/>
      <w:r w:rsidRPr="00243260">
        <w:rPr>
          <w:i/>
        </w:rPr>
        <w:t>riduzione</w:t>
      </w:r>
      <w:proofErr w:type="spellEnd"/>
      <w:r>
        <w:t xml:space="preserve">”). </w:t>
      </w:r>
    </w:p>
  </w:footnote>
  <w:footnote w:id="24">
    <w:p w:rsidR="00A64543" w:rsidRPr="00CD435F" w:rsidRDefault="00A64543" w:rsidP="00A64543">
      <w:pPr>
        <w:pStyle w:val="FootnoteText"/>
      </w:pPr>
      <w:r w:rsidRPr="00435C18">
        <w:rPr>
          <w:rStyle w:val="FootnoteReference"/>
          <w:vertAlign w:val="baseline"/>
        </w:rPr>
        <w:footnoteRef/>
      </w:r>
      <w:r>
        <w:t xml:space="preserve">.  This does not preclude, but on the contrary, presupposes a rigorous quality assessment of universities, including private universities, following, for example, the general guidelines established in the </w:t>
      </w:r>
      <w:r w:rsidRPr="00DF69C0">
        <w:t>2003 Graz Declaration of the European University Association</w:t>
      </w:r>
      <w:r>
        <w:t xml:space="preserve">, the 2004 Code of Good Practice of the European Consortium for Accreditation, and the Standards and Guidelines for Quality Assurance in the European Higher Education Area, drafted by the ENQA in cooperation with European University Association, the European Association of Institutions in Higher Education, and the National Unions of Students in Europe and endorsed by the Ministers of Education of the Bologna signatory States at the Bergen meeting of May 2005. </w:t>
      </w:r>
    </w:p>
  </w:footnote>
  <w:footnote w:id="25">
    <w:p w:rsidR="00A64543" w:rsidRPr="00B971B6" w:rsidRDefault="00A64543" w:rsidP="00A64543">
      <w:pPr>
        <w:pStyle w:val="FootnoteText"/>
      </w:pPr>
      <w:r w:rsidRPr="00435C18">
        <w:rPr>
          <w:rStyle w:val="FootnoteReference"/>
          <w:vertAlign w:val="baseline"/>
        </w:rPr>
        <w:footnoteRef/>
      </w:r>
      <w:r>
        <w:t>.  This was exactly the Court’s argument in the “</w:t>
      </w:r>
      <w:r w:rsidRPr="007D6653">
        <w:rPr>
          <w:i/>
        </w:rPr>
        <w:t xml:space="preserve">Belgian </w:t>
      </w:r>
      <w:r>
        <w:rPr>
          <w:i/>
        </w:rPr>
        <w:t>l</w:t>
      </w:r>
      <w:r w:rsidRPr="007D70E8">
        <w:rPr>
          <w:i/>
        </w:rPr>
        <w:t>inguistic</w:t>
      </w:r>
      <w:r>
        <w:t>”</w:t>
      </w:r>
      <w:r w:rsidRPr="007D70E8">
        <w:rPr>
          <w:i/>
        </w:rPr>
        <w:t xml:space="preserve"> </w:t>
      </w:r>
      <w:r w:rsidRPr="00E379DA">
        <w:t>case</w:t>
      </w:r>
      <w:r>
        <w:t xml:space="preserve">, cited above, p. 42, § 7. </w:t>
      </w:r>
      <w:smartTag w:uri="urn:schemas-microsoft-com:office:smarttags" w:element="PersonName">
        <w:r>
          <w:t>One</w:t>
        </w:r>
      </w:smartTag>
      <w:r>
        <w:t xml:space="preserve"> of the applicants claimed that his right to education was violated because in the Dutch unilingual region, where a French-speaking minority was present, there were Dutch-speaking State schools, but none that were French-speaking. That claim was rejected by the Court precisely because there was nothing to prevent the applicant from enrolling at his own expense in one of the private French-language schools which existed in the Dutch unilingual region. </w:t>
      </w:r>
    </w:p>
  </w:footnote>
  <w:footnote w:id="26">
    <w:p w:rsidR="00A64543" w:rsidRPr="00731AA0" w:rsidRDefault="00A64543" w:rsidP="00A64543">
      <w:pPr>
        <w:pStyle w:val="FootnoteText"/>
      </w:pPr>
      <w:r w:rsidRPr="00435C18">
        <w:rPr>
          <w:rStyle w:val="FootnoteReference"/>
          <w:vertAlign w:val="baseline"/>
        </w:rPr>
        <w:footnoteRef/>
      </w:r>
      <w:r>
        <w:t xml:space="preserve">.  It is very doubtful that a rigorous objective assessment of the needs of the health market can ever be achieved, especially if one takes into account the needs of the private sector in all its aspects.  </w:t>
      </w:r>
    </w:p>
  </w:footnote>
  <w:footnote w:id="27">
    <w:p w:rsidR="00A64543" w:rsidRPr="00C53FAF" w:rsidRDefault="00A64543" w:rsidP="00A64543">
      <w:pPr>
        <w:pStyle w:val="FootnoteText"/>
      </w:pPr>
      <w:r w:rsidRPr="00435C18">
        <w:rPr>
          <w:rStyle w:val="FootnoteReference"/>
          <w:vertAlign w:val="baseline"/>
        </w:rPr>
        <w:footnoteRef/>
      </w:r>
      <w:r>
        <w:t>.  As the Italian Anti-Trust Authority pointed out, in its report of 21 April 2009, “</w:t>
      </w:r>
      <w:r w:rsidRPr="00731AA0">
        <w:rPr>
          <w:i/>
        </w:rPr>
        <w:t xml:space="preserve">la </w:t>
      </w:r>
      <w:proofErr w:type="spellStart"/>
      <w:r w:rsidRPr="00731AA0">
        <w:rPr>
          <w:i/>
        </w:rPr>
        <w:t>massima</w:t>
      </w:r>
      <w:proofErr w:type="spellEnd"/>
      <w:r w:rsidRPr="00731AA0">
        <w:rPr>
          <w:i/>
        </w:rPr>
        <w:t xml:space="preserve"> parte </w:t>
      </w:r>
      <w:proofErr w:type="spellStart"/>
      <w:r w:rsidRPr="00731AA0">
        <w:rPr>
          <w:i/>
        </w:rPr>
        <w:t>delle</w:t>
      </w:r>
      <w:proofErr w:type="spellEnd"/>
      <w:r w:rsidRPr="00731AA0">
        <w:rPr>
          <w:i/>
        </w:rPr>
        <w:t xml:space="preserve"> </w:t>
      </w:r>
      <w:proofErr w:type="spellStart"/>
      <w:r w:rsidRPr="00731AA0">
        <w:rPr>
          <w:i/>
        </w:rPr>
        <w:t>pres</w:t>
      </w:r>
      <w:r>
        <w:rPr>
          <w:i/>
        </w:rPr>
        <w:t>t</w:t>
      </w:r>
      <w:r w:rsidRPr="00731AA0">
        <w:rPr>
          <w:i/>
        </w:rPr>
        <w:t>azioni</w:t>
      </w:r>
      <w:proofErr w:type="spellEnd"/>
      <w:r w:rsidRPr="00731AA0">
        <w:rPr>
          <w:i/>
        </w:rPr>
        <w:t xml:space="preserve"> </w:t>
      </w:r>
      <w:proofErr w:type="spellStart"/>
      <w:r w:rsidRPr="00731AA0">
        <w:rPr>
          <w:i/>
        </w:rPr>
        <w:t>odontoiatriche</w:t>
      </w:r>
      <w:proofErr w:type="spellEnd"/>
      <w:r w:rsidRPr="00731AA0">
        <w:rPr>
          <w:i/>
        </w:rPr>
        <w:t xml:space="preserve"> in Italia non </w:t>
      </w:r>
      <w:proofErr w:type="spellStart"/>
      <w:r w:rsidRPr="00731AA0">
        <w:rPr>
          <w:i/>
        </w:rPr>
        <w:t>viene</w:t>
      </w:r>
      <w:proofErr w:type="spellEnd"/>
      <w:r w:rsidRPr="00731AA0">
        <w:rPr>
          <w:i/>
        </w:rPr>
        <w:t xml:space="preserve"> </w:t>
      </w:r>
      <w:proofErr w:type="spellStart"/>
      <w:r w:rsidRPr="00731AA0">
        <w:rPr>
          <w:i/>
        </w:rPr>
        <w:t>fornita</w:t>
      </w:r>
      <w:proofErr w:type="spellEnd"/>
      <w:r w:rsidRPr="00731AA0">
        <w:rPr>
          <w:i/>
        </w:rPr>
        <w:t xml:space="preserve"> </w:t>
      </w:r>
      <w:proofErr w:type="spellStart"/>
      <w:r w:rsidRPr="00731AA0">
        <w:rPr>
          <w:i/>
        </w:rPr>
        <w:t>dagli</w:t>
      </w:r>
      <w:proofErr w:type="spellEnd"/>
      <w:r w:rsidRPr="00731AA0">
        <w:rPr>
          <w:i/>
        </w:rPr>
        <w:t xml:space="preserve"> </w:t>
      </w:r>
      <w:proofErr w:type="spellStart"/>
      <w:r w:rsidRPr="00731AA0">
        <w:rPr>
          <w:i/>
        </w:rPr>
        <w:t>odontoiatri</w:t>
      </w:r>
      <w:proofErr w:type="spellEnd"/>
      <w:r w:rsidRPr="00731AA0">
        <w:rPr>
          <w:i/>
        </w:rPr>
        <w:t xml:space="preserve"> del </w:t>
      </w:r>
      <w:r>
        <w:rPr>
          <w:i/>
        </w:rPr>
        <w:t>Sis</w:t>
      </w:r>
      <w:r w:rsidRPr="00731AA0">
        <w:rPr>
          <w:i/>
        </w:rPr>
        <w:t xml:space="preserve">tema </w:t>
      </w:r>
      <w:proofErr w:type="spellStart"/>
      <w:r>
        <w:rPr>
          <w:i/>
        </w:rPr>
        <w:t>S</w:t>
      </w:r>
      <w:r w:rsidRPr="00731AA0">
        <w:rPr>
          <w:i/>
        </w:rPr>
        <w:t>anitari</w:t>
      </w:r>
      <w:r>
        <w:rPr>
          <w:i/>
        </w:rPr>
        <w:t>o</w:t>
      </w:r>
      <w:proofErr w:type="spellEnd"/>
      <w:r w:rsidRPr="00731AA0">
        <w:rPr>
          <w:i/>
        </w:rPr>
        <w:t xml:space="preserve"> </w:t>
      </w:r>
      <w:proofErr w:type="spellStart"/>
      <w:r>
        <w:rPr>
          <w:i/>
        </w:rPr>
        <w:t>Nazionale</w:t>
      </w:r>
      <w:proofErr w:type="spellEnd"/>
      <w:r>
        <w:rPr>
          <w:i/>
        </w:rPr>
        <w:t xml:space="preserve"> ..., ma </w:t>
      </w:r>
      <w:proofErr w:type="spellStart"/>
      <w:r>
        <w:rPr>
          <w:i/>
        </w:rPr>
        <w:t>privatamente</w:t>
      </w:r>
      <w:proofErr w:type="spellEnd"/>
      <w:r>
        <w:rPr>
          <w:i/>
        </w:rPr>
        <w:t xml:space="preserve">, </w:t>
      </w:r>
      <w:proofErr w:type="spellStart"/>
      <w:r>
        <w:rPr>
          <w:i/>
        </w:rPr>
        <w:t>ossia</w:t>
      </w:r>
      <w:proofErr w:type="spellEnd"/>
      <w:r>
        <w:rPr>
          <w:i/>
        </w:rPr>
        <w:t xml:space="preserve"> </w:t>
      </w:r>
      <w:proofErr w:type="spellStart"/>
      <w:r>
        <w:rPr>
          <w:i/>
        </w:rPr>
        <w:t>dagli</w:t>
      </w:r>
      <w:proofErr w:type="spellEnd"/>
      <w:r>
        <w:rPr>
          <w:i/>
        </w:rPr>
        <w:t xml:space="preserve"> </w:t>
      </w:r>
      <w:proofErr w:type="spellStart"/>
      <w:r>
        <w:rPr>
          <w:i/>
        </w:rPr>
        <w:t>od</w:t>
      </w:r>
      <w:r w:rsidRPr="00731AA0">
        <w:rPr>
          <w:i/>
        </w:rPr>
        <w:t>ontoiatri</w:t>
      </w:r>
      <w:proofErr w:type="spellEnd"/>
      <w:r w:rsidRPr="00731AA0">
        <w:rPr>
          <w:i/>
        </w:rPr>
        <w:t xml:space="preserve"> </w:t>
      </w:r>
      <w:proofErr w:type="spellStart"/>
      <w:r w:rsidRPr="00731AA0">
        <w:rPr>
          <w:i/>
        </w:rPr>
        <w:t>liberi</w:t>
      </w:r>
      <w:proofErr w:type="spellEnd"/>
      <w:r w:rsidRPr="00731AA0">
        <w:rPr>
          <w:i/>
        </w:rPr>
        <w:t xml:space="preserve"> </w:t>
      </w:r>
      <w:proofErr w:type="spellStart"/>
      <w:r w:rsidRPr="00731AA0">
        <w:rPr>
          <w:i/>
        </w:rPr>
        <w:t>profession</w:t>
      </w:r>
      <w:r>
        <w:rPr>
          <w:i/>
        </w:rPr>
        <w:t>ist</w:t>
      </w:r>
      <w:r w:rsidRPr="00731AA0">
        <w:rPr>
          <w:i/>
        </w:rPr>
        <w:t>i</w:t>
      </w:r>
      <w:proofErr w:type="spellEnd"/>
      <w:r>
        <w:rPr>
          <w:i/>
        </w:rPr>
        <w:t> </w:t>
      </w:r>
      <w:r>
        <w:t xml:space="preserve">”. The same could be stated, for example, of architects, veterinary surgeons or nurses. </w:t>
      </w:r>
    </w:p>
  </w:footnote>
  <w:footnote w:id="28">
    <w:p w:rsidR="00A64543" w:rsidRPr="0078183F" w:rsidRDefault="00A64543" w:rsidP="00A64543">
      <w:pPr>
        <w:pStyle w:val="FootnoteText"/>
      </w:pPr>
      <w:r w:rsidRPr="00435C18">
        <w:rPr>
          <w:rStyle w:val="FootnoteReference"/>
          <w:vertAlign w:val="baseline"/>
        </w:rPr>
        <w:footnoteRef/>
      </w:r>
      <w:r>
        <w:t xml:space="preserve">.  In its judgment of 13 February 1985 (case 293/83), the ECJ held for the first time that a candidate to a higher art education institution had a right of access to education independent of any demonstration that he or she could derive other rights from the Treaty. In its judgment of 27 January 1986 (case 24/86), the ECJ enlarged the ambit of its remit, by affirming that </w:t>
      </w:r>
      <w:r w:rsidRPr="008912E8">
        <w:t>university studies</w:t>
      </w:r>
      <w:r>
        <w:t xml:space="preserve"> such as </w:t>
      </w:r>
      <w:r w:rsidRPr="008912E8">
        <w:t xml:space="preserve">veterinary </w:t>
      </w:r>
      <w:r>
        <w:t xml:space="preserve">studies fell within the scope of the Treaty in so far as </w:t>
      </w:r>
      <w:r w:rsidRPr="008912E8">
        <w:t xml:space="preserve">the final academic examination directly provides the required qualification for a particular profession, trade or employment </w:t>
      </w:r>
      <w:r>
        <w:t xml:space="preserve">or </w:t>
      </w:r>
      <w:r w:rsidRPr="008912E8">
        <w:t xml:space="preserve">the studies in question provide specific training and skills needed by the student for the pursuit of a profession, trade or employment, even if no legislative or administrative provisions make the acquisition of that knowledge </w:t>
      </w:r>
      <w:r>
        <w:t>a prerequisite for that purpose</w:t>
      </w:r>
      <w:r w:rsidRPr="008912E8">
        <w:t xml:space="preserve">. </w:t>
      </w:r>
      <w:r>
        <w:t xml:space="preserve">In its judgment of 12 June 1986 (joined cases 98, 162 and 258/85), the ECJ decided that no provision of Community law requires the member States to limit the number of students admitted to medical faculties by introducing a </w:t>
      </w:r>
      <w:proofErr w:type="spellStart"/>
      <w:r>
        <w:rPr>
          <w:i/>
        </w:rPr>
        <w:t>numerus-</w:t>
      </w:r>
      <w:r w:rsidRPr="008912E8">
        <w:rPr>
          <w:i/>
        </w:rPr>
        <w:t>clausus</w:t>
      </w:r>
      <w:proofErr w:type="spellEnd"/>
      <w:r>
        <w:t xml:space="preserve"> system. Recently, in its judgment of 13 April 2010 (case C-73/08), the ECJ ruled that Articles 18 and 21 of the TFEU preclude national legislation which limits the number of students not regarded as resident in Belgium who may enrol for the first time in medical and paramedical courses at higher-education establishments, unless the national courts find that that legislation is justified in the light of the objective of protection of public health. Only with “solid and consistent data” could the member State demonstrate that there was such a risk to public health. In the absence of this risk, the free movement of students requires ample opportunity for mobile students to gain access to university education.  </w:t>
      </w:r>
    </w:p>
  </w:footnote>
  <w:footnote w:id="29">
    <w:p w:rsidR="00A64543" w:rsidRPr="00571BDD" w:rsidRDefault="00A64543" w:rsidP="00A64543">
      <w:pPr>
        <w:pStyle w:val="FootnoteText"/>
      </w:pPr>
      <w:r w:rsidRPr="00435C18">
        <w:rPr>
          <w:rStyle w:val="FootnoteReference"/>
          <w:vertAlign w:val="baseline"/>
        </w:rPr>
        <w:footnoteRef/>
      </w:r>
      <w:r>
        <w:t>.  I refer evidently to the process started with the 1998 Sorbonne Joint Declaration on harmonisation of the architecture of the European higher-education system, adopted by the four Education Ministers of France, Germany, Italy and the United Kingdom, which was followed by the 1999 Bologna Ministerial Declaration. At the outset, this process basically envisaged greater mobility of students between cycles of higher education (bachelor, master and doctorate) and easier transferability of professionals through diploma recognition. Most of the Bologna objectives are today to be found in Article 165 of the TFEU, in spite of the fact that the Bologna process resulted from a procedure of regional intergovernmental cooperation and was not pursued in the form of a legislative measure by the Union.</w:t>
      </w:r>
    </w:p>
  </w:footnote>
  <w:footnote w:id="30">
    <w:p w:rsidR="00A64543" w:rsidRPr="00FE03B1" w:rsidRDefault="00A64543" w:rsidP="00A64543">
      <w:pPr>
        <w:pStyle w:val="FootnoteText"/>
      </w:pPr>
      <w:r w:rsidRPr="00435C18">
        <w:rPr>
          <w:rStyle w:val="FootnoteReference"/>
          <w:vertAlign w:val="baseline"/>
        </w:rPr>
        <w:footnoteRef/>
      </w:r>
      <w:r>
        <w:t>.  The 2003 Berlin Ministerial Declaration, which accepted that institutions need to be empowered to take decisions on their internal organisation and administration, was reinforced by the above-mentioned 2009 Lisbon Declaration of the European University Association</w:t>
      </w:r>
      <w:r w:rsidRPr="00FE03B1">
        <w:t>.</w:t>
      </w:r>
    </w:p>
  </w:footnote>
  <w:footnote w:id="31">
    <w:p w:rsidR="00A64543" w:rsidRPr="00C94B72" w:rsidRDefault="00A64543" w:rsidP="00A64543">
      <w:pPr>
        <w:pStyle w:val="FootnoteText"/>
      </w:pPr>
      <w:r w:rsidRPr="00435C18">
        <w:rPr>
          <w:rStyle w:val="FootnoteReference"/>
          <w:vertAlign w:val="baseline"/>
        </w:rPr>
        <w:footnoteRef/>
      </w:r>
      <w:r>
        <w:t>.  See the 2009 Leuven/Louvain-La-</w:t>
      </w:r>
      <w:proofErr w:type="spellStart"/>
      <w:r>
        <w:t>Neuve</w:t>
      </w:r>
      <w:proofErr w:type="spellEnd"/>
      <w:r>
        <w:t xml:space="preserve"> Ministerial Declaration and the 2011 Aarhus Declaration of the European University Association.</w:t>
      </w:r>
    </w:p>
  </w:footnote>
  <w:footnote w:id="32">
    <w:p w:rsidR="00A64543" w:rsidRPr="00684006" w:rsidRDefault="00A64543" w:rsidP="00A64543">
      <w:pPr>
        <w:jc w:val="both"/>
        <w:rPr>
          <w:sz w:val="20"/>
        </w:rPr>
      </w:pPr>
      <w:r w:rsidRPr="00435C18">
        <w:rPr>
          <w:rStyle w:val="FootnoteReference"/>
          <w:sz w:val="20"/>
          <w:vertAlign w:val="baseline"/>
        </w:rPr>
        <w:footnoteRef/>
      </w:r>
      <w:r>
        <w:rPr>
          <w:sz w:val="20"/>
        </w:rPr>
        <w:t>.  </w:t>
      </w:r>
      <w:r w:rsidRPr="00FE03B1">
        <w:rPr>
          <w:sz w:val="20"/>
        </w:rPr>
        <w:t>The Convention on the Recognition of Qualifications concerning Higher Education in the European Region, the so-called Lisbon Recognition Convention, was approved within the framework of the Council of Europe and before the start of the Bologna process, but the Bologna process has included ratification of this convention as one of its purposes. In fact, it has been said that the Lisbon R</w:t>
      </w:r>
      <w:r>
        <w:rPr>
          <w:sz w:val="20"/>
        </w:rPr>
        <w:t>ecognition</w:t>
      </w:r>
      <w:r w:rsidRPr="00FE03B1">
        <w:rPr>
          <w:sz w:val="20"/>
        </w:rPr>
        <w:t xml:space="preserve"> Convention is the only legally binding instrument of the </w:t>
      </w:r>
      <w:r>
        <w:rPr>
          <w:sz w:val="20"/>
        </w:rPr>
        <w:t xml:space="preserve">entire </w:t>
      </w:r>
      <w:r w:rsidRPr="00FE03B1">
        <w:rPr>
          <w:sz w:val="20"/>
        </w:rPr>
        <w:t xml:space="preserve">Bologna process. This </w:t>
      </w:r>
      <w:r>
        <w:rPr>
          <w:sz w:val="20"/>
        </w:rPr>
        <w:t>c</w:t>
      </w:r>
      <w:r w:rsidRPr="00FE03B1">
        <w:rPr>
          <w:sz w:val="20"/>
        </w:rPr>
        <w:t xml:space="preserve">onvention requires States </w:t>
      </w:r>
      <w:r>
        <w:rPr>
          <w:sz w:val="20"/>
        </w:rPr>
        <w:t>P</w:t>
      </w:r>
      <w:r w:rsidRPr="00FE03B1">
        <w:rPr>
          <w:sz w:val="20"/>
        </w:rPr>
        <w:t xml:space="preserve">arties </w:t>
      </w:r>
      <w:r>
        <w:rPr>
          <w:sz w:val="20"/>
        </w:rPr>
        <w:t xml:space="preserve">to </w:t>
      </w:r>
      <w:r w:rsidRPr="00FE03B1">
        <w:rPr>
          <w:sz w:val="20"/>
        </w:rPr>
        <w:t xml:space="preserve">recognise the qualifications issued by other Parties meeting the general requirements for access to higher education in those Parties for the purpose of access to programmes belonging to </w:t>
      </w:r>
      <w:r>
        <w:rPr>
          <w:sz w:val="20"/>
        </w:rPr>
        <w:t xml:space="preserve">their </w:t>
      </w:r>
      <w:r w:rsidRPr="00FE03B1">
        <w:rPr>
          <w:sz w:val="20"/>
        </w:rPr>
        <w:t>higher</w:t>
      </w:r>
      <w:r>
        <w:rPr>
          <w:sz w:val="20"/>
        </w:rPr>
        <w:t>-</w:t>
      </w:r>
      <w:r w:rsidRPr="00FE03B1">
        <w:rPr>
          <w:sz w:val="20"/>
        </w:rPr>
        <w:t>education system</w:t>
      </w:r>
      <w:r>
        <w:rPr>
          <w:sz w:val="20"/>
        </w:rPr>
        <w:t>s</w:t>
      </w:r>
      <w:r w:rsidRPr="00FE03B1">
        <w:rPr>
          <w:sz w:val="20"/>
        </w:rPr>
        <w:t>, unless a substantial difference can be shown between the general requirements for access in the Party in which the qualification was obtained and in the Party in which recognition of the qualification is sought.</w:t>
      </w:r>
      <w:r>
        <w:rPr>
          <w:sz w:val="20"/>
        </w:rPr>
        <w:t xml:space="preserve"> According to the Explanatory Report, the general principle</w:t>
      </w:r>
      <w:r w:rsidRPr="00576DC0">
        <w:rPr>
          <w:sz w:val="20"/>
        </w:rPr>
        <w:t xml:space="preserve"> in assessing whether there is a substantial difference between the two qualifications concerned</w:t>
      </w:r>
      <w:r>
        <w:rPr>
          <w:sz w:val="20"/>
        </w:rPr>
        <w:t xml:space="preserve"> should be that </w:t>
      </w:r>
      <w:r w:rsidRPr="00576DC0">
        <w:rPr>
          <w:sz w:val="20"/>
        </w:rPr>
        <w:t>Parties and higher</w:t>
      </w:r>
      <w:r>
        <w:rPr>
          <w:sz w:val="20"/>
        </w:rPr>
        <w:t>-</w:t>
      </w:r>
      <w:r w:rsidRPr="00576DC0">
        <w:rPr>
          <w:sz w:val="20"/>
        </w:rPr>
        <w:t xml:space="preserve">education institutions are </w:t>
      </w:r>
      <w:r>
        <w:rPr>
          <w:sz w:val="20"/>
        </w:rPr>
        <w:t>“</w:t>
      </w:r>
      <w:r w:rsidRPr="00576DC0">
        <w:rPr>
          <w:sz w:val="20"/>
        </w:rPr>
        <w:t>encouraged to consider, as far as possible, the merits of the individual qualifications</w:t>
      </w:r>
      <w:r>
        <w:rPr>
          <w:sz w:val="20"/>
        </w:rPr>
        <w:t xml:space="preserve">”. </w:t>
      </w:r>
    </w:p>
  </w:footnote>
  <w:footnote w:id="33">
    <w:p w:rsidR="00A64543" w:rsidRPr="00684006" w:rsidRDefault="00A64543" w:rsidP="00A64543">
      <w:pPr>
        <w:pStyle w:val="FootnoteText"/>
      </w:pPr>
      <w:r w:rsidRPr="00435C18">
        <w:rPr>
          <w:rStyle w:val="FootnoteReference"/>
          <w:vertAlign w:val="baseline"/>
        </w:rPr>
        <w:footnoteRef/>
      </w:r>
      <w:r>
        <w:t>.  See also CESCR General Comment No. 13, cited above: “</w:t>
      </w:r>
      <w:r w:rsidRPr="00684006">
        <w:t xml:space="preserve">According to </w:t>
      </w:r>
      <w:r>
        <w:t>A</w:t>
      </w:r>
      <w:r w:rsidRPr="00684006">
        <w:t xml:space="preserve">rticle 13 </w:t>
      </w:r>
      <w:r w:rsidRPr="006C35C2">
        <w:rPr>
          <w:szCs w:val="22"/>
          <w:lang w:val="en-US"/>
        </w:rPr>
        <w:t>§</w:t>
      </w:r>
      <w:r>
        <w:t> </w:t>
      </w:r>
      <w:r w:rsidRPr="00684006">
        <w:t>2</w:t>
      </w:r>
      <w:r>
        <w:t> </w:t>
      </w:r>
      <w:r w:rsidRPr="00684006">
        <w:t xml:space="preserve">(c), higher education is not to be </w:t>
      </w:r>
      <w:r>
        <w:t>‘</w:t>
      </w:r>
      <w:r w:rsidRPr="00684006">
        <w:t>generally available</w:t>
      </w:r>
      <w:r>
        <w:t>’</w:t>
      </w:r>
      <w:r w:rsidRPr="00684006">
        <w:t xml:space="preserve">, but only available </w:t>
      </w:r>
      <w:r>
        <w:t>‘</w:t>
      </w:r>
      <w:r w:rsidRPr="00684006">
        <w:t>on the basis of capacity</w:t>
      </w:r>
      <w:r>
        <w:t>’</w:t>
      </w:r>
      <w:r w:rsidRPr="00684006">
        <w:t xml:space="preserve">. The </w:t>
      </w:r>
      <w:r>
        <w:t>‘</w:t>
      </w:r>
      <w:r w:rsidRPr="00684006">
        <w:t>capacity</w:t>
      </w:r>
      <w:r>
        <w:t>’</w:t>
      </w:r>
      <w:r w:rsidRPr="00684006">
        <w:t xml:space="preserve"> of individuals should be assessed by reference to all their relevant expertise and experience.</w:t>
      </w:r>
      <w:r>
        <w:t>”</w:t>
      </w:r>
    </w:p>
  </w:footnote>
  <w:footnote w:id="34">
    <w:p w:rsidR="00A64543" w:rsidRPr="00F110A0" w:rsidRDefault="00A64543" w:rsidP="00A64543">
      <w:pPr>
        <w:pStyle w:val="FootnoteText"/>
      </w:pPr>
      <w:r w:rsidRPr="00435C18">
        <w:rPr>
          <w:rStyle w:val="FootnoteReference"/>
          <w:vertAlign w:val="baseline"/>
        </w:rPr>
        <w:footnoteRef/>
      </w:r>
      <w:r>
        <w:t>.  This Article refers to the “merit”, not to the “capacity” of candidates, but the meaning is the same</w:t>
      </w:r>
      <w:r w:rsidRPr="00187621">
        <w:t>: “</w:t>
      </w:r>
      <w:r>
        <w:t>... [H]</w:t>
      </w:r>
      <w:proofErr w:type="spellStart"/>
      <w:r w:rsidRPr="00187621">
        <w:rPr>
          <w:lang w:val="en"/>
        </w:rPr>
        <w:t>igher</w:t>
      </w:r>
      <w:proofErr w:type="spellEnd"/>
      <w:r w:rsidRPr="00187621">
        <w:rPr>
          <w:lang w:val="en"/>
        </w:rPr>
        <w:t xml:space="preserve"> education shall be equally accessible to all on the basis of merit</w:t>
      </w:r>
      <w:r>
        <w:rPr>
          <w:lang w:val="en"/>
        </w:rPr>
        <w:t>.</w:t>
      </w:r>
      <w:r w:rsidRPr="00187621">
        <w:t>”</w:t>
      </w:r>
    </w:p>
  </w:footnote>
  <w:footnote w:id="35">
    <w:p w:rsidR="00A64543" w:rsidRPr="00684006" w:rsidRDefault="00A64543" w:rsidP="00A64543">
      <w:pPr>
        <w:pStyle w:val="FootnoteText"/>
        <w:rPr>
          <w:lang w:val="en-US"/>
        </w:rPr>
      </w:pPr>
      <w:r w:rsidRPr="00435C18">
        <w:rPr>
          <w:rStyle w:val="FootnoteReference"/>
          <w:vertAlign w:val="baseline"/>
        </w:rPr>
        <w:footnoteRef/>
      </w:r>
      <w:r>
        <w:t>.  </w:t>
      </w:r>
      <w:r w:rsidRPr="00684006">
        <w:rPr>
          <w:lang w:val="en-US"/>
        </w:rPr>
        <w:t>This diagnos</w:t>
      </w:r>
      <w:r>
        <w:rPr>
          <w:lang w:val="en-US"/>
        </w:rPr>
        <w:t xml:space="preserve">is </w:t>
      </w:r>
      <w:r w:rsidRPr="00684006">
        <w:rPr>
          <w:lang w:val="en-US"/>
        </w:rPr>
        <w:t>is not mine</w:t>
      </w:r>
      <w:r>
        <w:rPr>
          <w:lang w:val="en-US"/>
        </w:rPr>
        <w:t>:</w:t>
      </w:r>
      <w:r w:rsidRPr="00684006">
        <w:rPr>
          <w:lang w:val="en-US"/>
        </w:rPr>
        <w:t xml:space="preserve"> </w:t>
      </w:r>
      <w:r>
        <w:rPr>
          <w:lang w:val="en-US"/>
        </w:rPr>
        <w:t>i</w:t>
      </w:r>
      <w:r w:rsidRPr="00684006">
        <w:rPr>
          <w:lang w:val="en-US"/>
        </w:rPr>
        <w:t xml:space="preserve">t is the fruit of the detailed report of the Italian Anti-Trust Authority of 21 April 2009. </w:t>
      </w:r>
    </w:p>
  </w:footnote>
  <w:footnote w:id="36">
    <w:p w:rsidR="00A64543" w:rsidRPr="00943C2E" w:rsidRDefault="00A64543" w:rsidP="00A64543">
      <w:pPr>
        <w:pStyle w:val="FootnoteText"/>
      </w:pPr>
      <w:r w:rsidRPr="00435C18">
        <w:rPr>
          <w:rStyle w:val="FootnoteReference"/>
          <w:vertAlign w:val="baseline"/>
        </w:rPr>
        <w:footnoteRef/>
      </w:r>
      <w:r>
        <w:t xml:space="preserve">.  On the situation of Italian students who had not enrolled abroad, citing financial insecurities as an obstacle in the year 2009/10, see </w:t>
      </w:r>
      <w:r w:rsidRPr="00943C2E">
        <w:t xml:space="preserve">Education, </w:t>
      </w:r>
      <w:proofErr w:type="spellStart"/>
      <w:r w:rsidRPr="00943C2E">
        <w:t>Audiovisual</w:t>
      </w:r>
      <w:proofErr w:type="spellEnd"/>
      <w:r w:rsidRPr="00943C2E">
        <w:t xml:space="preserve"> and</w:t>
      </w:r>
      <w:r>
        <w:t xml:space="preserve"> Culture Executive Agency, </w:t>
      </w:r>
      <w:r w:rsidRPr="00E379DA">
        <w:rPr>
          <w:i/>
        </w:rPr>
        <w:t>The European Higher Education Area in 2012: Bologna Process Implementation Report</w:t>
      </w:r>
      <w:r>
        <w:t>, 2012, Brussels, pp. 167-68.</w:t>
      </w:r>
    </w:p>
  </w:footnote>
  <w:footnote w:id="37">
    <w:p w:rsidR="00A64543" w:rsidRPr="00243260" w:rsidRDefault="00A64543" w:rsidP="00A64543">
      <w:pPr>
        <w:pStyle w:val="FootnoteText"/>
        <w:rPr>
          <w:lang w:val="en-US"/>
        </w:rPr>
      </w:pPr>
      <w:r w:rsidRPr="00E379DA">
        <w:rPr>
          <w:rStyle w:val="FootnoteReference"/>
          <w:vertAlign w:val="baseline"/>
        </w:rPr>
        <w:footnoteRef/>
      </w:r>
      <w:r>
        <w:t>.  </w:t>
      </w:r>
      <w:r w:rsidRPr="00684006">
        <w:rPr>
          <w:lang w:val="en-US"/>
        </w:rPr>
        <w:t>As the Italian Anti-Trust</w:t>
      </w:r>
      <w:r>
        <w:rPr>
          <w:lang w:val="en-US"/>
        </w:rPr>
        <w:t xml:space="preserve"> A</w:t>
      </w:r>
      <w:r w:rsidRPr="00243260">
        <w:rPr>
          <w:lang w:val="en-US"/>
        </w:rPr>
        <w:t>uthor</w:t>
      </w:r>
      <w:r>
        <w:rPr>
          <w:lang w:val="en-US"/>
        </w:rPr>
        <w:t>i</w:t>
      </w:r>
      <w:r w:rsidRPr="00243260">
        <w:rPr>
          <w:lang w:val="en-US"/>
        </w:rPr>
        <w:t xml:space="preserve">ty also stressed in </w:t>
      </w:r>
      <w:r>
        <w:rPr>
          <w:lang w:val="en-US"/>
        </w:rPr>
        <w:t xml:space="preserve">the above-mentioned </w:t>
      </w:r>
      <w:r w:rsidRPr="00243260">
        <w:rPr>
          <w:lang w:val="en-US"/>
        </w:rPr>
        <w:t>report</w:t>
      </w:r>
      <w:r>
        <w:rPr>
          <w:lang w:val="en-US"/>
        </w:rPr>
        <w:t>, referring to this situation with “</w:t>
      </w:r>
      <w:proofErr w:type="spellStart"/>
      <w:r w:rsidRPr="00243260">
        <w:rPr>
          <w:i/>
          <w:lang w:val="en-US"/>
        </w:rPr>
        <w:t>perple</w:t>
      </w:r>
      <w:r>
        <w:rPr>
          <w:i/>
          <w:lang w:val="en-US"/>
        </w:rPr>
        <w:t>s</w:t>
      </w:r>
      <w:r w:rsidRPr="00243260">
        <w:rPr>
          <w:i/>
          <w:lang w:val="en-US"/>
        </w:rPr>
        <w:t>sità</w:t>
      </w:r>
      <w:proofErr w:type="spellEnd"/>
      <w:r w:rsidRPr="00243260">
        <w:rPr>
          <w:i/>
          <w:lang w:val="en-US"/>
        </w:rPr>
        <w:t xml:space="preserve"> sotto </w:t>
      </w:r>
      <w:proofErr w:type="spellStart"/>
      <w:r w:rsidRPr="00243260">
        <w:rPr>
          <w:i/>
          <w:lang w:val="en-US"/>
        </w:rPr>
        <w:t>il</w:t>
      </w:r>
      <w:proofErr w:type="spellEnd"/>
      <w:r w:rsidRPr="00243260">
        <w:rPr>
          <w:i/>
          <w:lang w:val="en-US"/>
        </w:rPr>
        <w:t xml:space="preserve"> </w:t>
      </w:r>
      <w:proofErr w:type="spellStart"/>
      <w:r w:rsidRPr="00243260">
        <w:rPr>
          <w:i/>
          <w:lang w:val="en-US"/>
        </w:rPr>
        <w:t>profil</w:t>
      </w:r>
      <w:r>
        <w:rPr>
          <w:i/>
          <w:lang w:val="en-US"/>
        </w:rPr>
        <w:t>o</w:t>
      </w:r>
      <w:proofErr w:type="spellEnd"/>
      <w:r w:rsidRPr="00243260">
        <w:rPr>
          <w:i/>
          <w:lang w:val="en-US"/>
        </w:rPr>
        <w:t xml:space="preserve"> </w:t>
      </w:r>
      <w:proofErr w:type="spellStart"/>
      <w:r w:rsidRPr="00243260">
        <w:rPr>
          <w:i/>
          <w:lang w:val="en-US"/>
        </w:rPr>
        <w:t>concorrenziale</w:t>
      </w:r>
      <w:proofErr w:type="spellEnd"/>
      <w:r>
        <w:rPr>
          <w:i/>
          <w:lang w:val="en-US"/>
        </w:rPr>
        <w:t xml:space="preserve"> ... </w:t>
      </w:r>
      <w:proofErr w:type="spellStart"/>
      <w:r w:rsidRPr="00243260">
        <w:rPr>
          <w:i/>
          <w:lang w:val="en-US"/>
        </w:rPr>
        <w:t>potrebbe</w:t>
      </w:r>
      <w:proofErr w:type="spellEnd"/>
      <w:r w:rsidRPr="00243260">
        <w:rPr>
          <w:i/>
          <w:lang w:val="en-US"/>
        </w:rPr>
        <w:t xml:space="preserve"> </w:t>
      </w:r>
      <w:proofErr w:type="spellStart"/>
      <w:r w:rsidRPr="00243260">
        <w:rPr>
          <w:i/>
          <w:lang w:val="en-US"/>
        </w:rPr>
        <w:t>essere</w:t>
      </w:r>
      <w:proofErr w:type="spellEnd"/>
      <w:r w:rsidRPr="00243260">
        <w:rPr>
          <w:i/>
          <w:lang w:val="en-US"/>
        </w:rPr>
        <w:t xml:space="preserve"> </w:t>
      </w:r>
      <w:proofErr w:type="spellStart"/>
      <w:r w:rsidRPr="00243260">
        <w:rPr>
          <w:i/>
          <w:lang w:val="en-US"/>
        </w:rPr>
        <w:t>intri</w:t>
      </w:r>
      <w:r>
        <w:rPr>
          <w:i/>
          <w:lang w:val="en-US"/>
        </w:rPr>
        <w:t>n</w:t>
      </w:r>
      <w:r w:rsidRPr="00243260">
        <w:rPr>
          <w:i/>
          <w:lang w:val="en-US"/>
        </w:rPr>
        <w:t>secamente</w:t>
      </w:r>
      <w:proofErr w:type="spellEnd"/>
      <w:r w:rsidRPr="00243260">
        <w:rPr>
          <w:i/>
          <w:lang w:val="en-US"/>
        </w:rPr>
        <w:t xml:space="preserve"> </w:t>
      </w:r>
      <w:proofErr w:type="spellStart"/>
      <w:r w:rsidRPr="00243260">
        <w:rPr>
          <w:i/>
          <w:lang w:val="en-US"/>
        </w:rPr>
        <w:t>portatore</w:t>
      </w:r>
      <w:proofErr w:type="spellEnd"/>
      <w:r w:rsidRPr="00243260">
        <w:rPr>
          <w:i/>
          <w:lang w:val="en-US"/>
        </w:rPr>
        <w:t xml:space="preserve"> di </w:t>
      </w:r>
      <w:proofErr w:type="spellStart"/>
      <w:r w:rsidRPr="00243260">
        <w:rPr>
          <w:i/>
          <w:lang w:val="en-US"/>
        </w:rPr>
        <w:t>interessi</w:t>
      </w:r>
      <w:proofErr w:type="spellEnd"/>
      <w:r w:rsidRPr="00243260">
        <w:rPr>
          <w:i/>
          <w:lang w:val="en-US"/>
        </w:rPr>
        <w:t xml:space="preserve"> </w:t>
      </w:r>
      <w:proofErr w:type="spellStart"/>
      <w:r w:rsidRPr="00243260">
        <w:rPr>
          <w:i/>
          <w:lang w:val="en-US"/>
        </w:rPr>
        <w:t>confliggenti</w:t>
      </w:r>
      <w:proofErr w:type="spellEnd"/>
      <w:r>
        <w:rPr>
          <w:i/>
          <w:lang w:val="en-US"/>
        </w:rPr>
        <w:t> </w:t>
      </w:r>
      <w:r>
        <w:rPr>
          <w:lang w:val="en-US"/>
        </w:rPr>
        <w:t>”</w:t>
      </w:r>
      <w:r w:rsidRPr="00243260">
        <w:rPr>
          <w:lang w:val="en-US"/>
        </w:rPr>
        <w:t xml:space="preserve">. </w:t>
      </w:r>
    </w:p>
  </w:footnote>
  <w:footnote w:id="38">
    <w:p w:rsidR="00A64543" w:rsidRPr="00465C3D" w:rsidRDefault="00A64543" w:rsidP="00A64543">
      <w:pPr>
        <w:pStyle w:val="FootnoteText"/>
      </w:pPr>
      <w:r w:rsidRPr="00E379DA">
        <w:rPr>
          <w:rStyle w:val="FootnoteReference"/>
          <w:vertAlign w:val="baseline"/>
        </w:rPr>
        <w:footnoteRef/>
      </w:r>
      <w:r>
        <w:t xml:space="preserve">.  In his famous concurring opinion in </w:t>
      </w:r>
      <w:proofErr w:type="spellStart"/>
      <w:r w:rsidRPr="00910A1A">
        <w:rPr>
          <w:i/>
        </w:rPr>
        <w:t>Sweezy</w:t>
      </w:r>
      <w:proofErr w:type="spellEnd"/>
      <w:r w:rsidRPr="00910A1A">
        <w:rPr>
          <w:i/>
        </w:rPr>
        <w:t xml:space="preserve"> v. </w:t>
      </w:r>
      <w:smartTag w:uri="urn:schemas-microsoft-com:office:smarttags" w:element="State">
        <w:r w:rsidRPr="00910A1A">
          <w:rPr>
            <w:i/>
          </w:rPr>
          <w:t>New Hampshire</w:t>
        </w:r>
      </w:smartTag>
      <w:r>
        <w:t xml:space="preserve">, 354 </w:t>
      </w:r>
      <w:smartTag w:uri="urn:schemas-microsoft-com:office:smarttags" w:element="place">
        <w:smartTag w:uri="urn:schemas-microsoft-com:office:smarttags" w:element="country-region">
          <w:r>
            <w:t>US</w:t>
          </w:r>
        </w:smartTag>
      </w:smartTag>
      <w:r>
        <w:t xml:space="preserve"> 234 (1957).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Pr="00DA7040" w:rsidRDefault="004C568D" w:rsidP="00DA704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Pr="00C00F0F" w:rsidRDefault="004C568D">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Default="004C568D">
    <w:pPr>
      <w:pStyle w:val="JuHeader"/>
    </w:pPr>
    <w:r>
      <w:rPr>
        <w:rStyle w:val="PageNumber"/>
      </w:rPr>
      <w:fldChar w:fldCharType="begin"/>
    </w:r>
    <w:r>
      <w:rPr>
        <w:rStyle w:val="PageNumber"/>
      </w:rPr>
      <w:instrText xml:space="preserve"> PAGE </w:instrText>
    </w:r>
    <w:r>
      <w:rPr>
        <w:rStyle w:val="PageNumber"/>
      </w:rPr>
      <w:fldChar w:fldCharType="separate"/>
    </w:r>
    <w:r w:rsidR="00A64543">
      <w:rPr>
        <w:rStyle w:val="PageNumber"/>
        <w:noProof/>
      </w:rPr>
      <w:t>16</w:t>
    </w:r>
    <w:r>
      <w:rPr>
        <w:rStyle w:val="PageNumber"/>
      </w:rPr>
      <w:fldChar w:fldCharType="end"/>
    </w:r>
    <w:r>
      <w:tab/>
      <w:t>TARANTINO</w:t>
    </w:r>
    <w:r w:rsidRPr="00F17A66">
      <w:t xml:space="preserve"> </w:t>
    </w:r>
    <w:r>
      <w:t xml:space="preserve">AND OTHERS v. </w:t>
    </w:r>
    <w:smartTag w:uri="urn:schemas-microsoft-com:office:smarttags" w:element="place">
      <w:smartTag w:uri="urn:schemas-microsoft-com:office:smarttags" w:element="country-region">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Default="004C568D">
    <w:pPr>
      <w:pStyle w:val="JuHeader"/>
    </w:pPr>
    <w:r>
      <w:tab/>
      <w:t xml:space="preserve">TARANTINO AND OTHERS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A64543">
      <w:rPr>
        <w:rStyle w:val="PageNumber"/>
        <w:noProof/>
      </w:rPr>
      <w:t>15</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68D" w:rsidRDefault="004C568D">
    <w:pPr>
      <w:pStyle w:val="JuHeader"/>
    </w:pPr>
    <w:r>
      <w:tab/>
    </w:r>
    <w:r w:rsidR="004F5425">
      <w:t>TARANTINO</w:t>
    </w:r>
    <w:r w:rsidR="004F5425" w:rsidRPr="00F17A66">
      <w:t xml:space="preserve"> </w:t>
    </w:r>
    <w:r w:rsidR="004F5425">
      <w:t>AND OTHERS v. ITALY JUDGMENT- SEPARATE OPINION</w:t>
    </w:r>
    <w:r>
      <w:tab/>
    </w:r>
    <w:r>
      <w:rPr>
        <w:rStyle w:val="PageNumber"/>
      </w:rPr>
      <w:fldChar w:fldCharType="begin"/>
    </w:r>
    <w:r>
      <w:rPr>
        <w:rStyle w:val="PageNumber"/>
      </w:rPr>
      <w:instrText xml:space="preserve"> PAGE </w:instrText>
    </w:r>
    <w:r>
      <w:rPr>
        <w:rStyle w:val="PageNumber"/>
      </w:rPr>
      <w:fldChar w:fldCharType="separate"/>
    </w:r>
    <w:r w:rsidR="00A64543">
      <w:rPr>
        <w:rStyle w:val="PageNumber"/>
        <w:noProof/>
      </w:rPr>
      <w:t>17</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AFE" w:rsidRDefault="00E84AFE">
    <w:pPr>
      <w:pStyle w:val="JuHeader"/>
    </w:pPr>
    <w:r>
      <w:rPr>
        <w:rStyle w:val="PageNumber"/>
      </w:rPr>
      <w:fldChar w:fldCharType="begin"/>
    </w:r>
    <w:r>
      <w:rPr>
        <w:rStyle w:val="PageNumber"/>
      </w:rPr>
      <w:instrText xml:space="preserve"> PAGE </w:instrText>
    </w:r>
    <w:r>
      <w:rPr>
        <w:rStyle w:val="PageNumber"/>
      </w:rPr>
      <w:fldChar w:fldCharType="separate"/>
    </w:r>
    <w:r w:rsidR="00A64543">
      <w:rPr>
        <w:rStyle w:val="PageNumber"/>
        <w:noProof/>
      </w:rPr>
      <w:t>18</w:t>
    </w:r>
    <w:r>
      <w:rPr>
        <w:rStyle w:val="PageNumber"/>
      </w:rPr>
      <w:fldChar w:fldCharType="end"/>
    </w:r>
    <w:r>
      <w:tab/>
      <w:t>TARANTINO</w:t>
    </w:r>
    <w:r w:rsidRPr="00F17A66">
      <w:t xml:space="preserve"> </w:t>
    </w:r>
    <w:r>
      <w:t>AND OTHERS v. ITALY JUDGMENT– SEPARATE OPINION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AFE" w:rsidRDefault="00E84AFE">
    <w:pPr>
      <w:pStyle w:val="JuHeader"/>
    </w:pPr>
    <w:r>
      <w:tab/>
      <w:t xml:space="preserve">TARANTINO AND OTHERS v. </w:t>
    </w:r>
    <w:smartTag w:uri="urn:schemas-microsoft-com:office:smarttags" w:element="place">
      <w:smartTag w:uri="urn:schemas-microsoft-com:office:smarttags" w:element="country-region">
        <w:r>
          <w:t>ITALY</w:t>
        </w:r>
      </w:smartTag>
    </w:smartTag>
    <w:r>
      <w:t xml:space="preserve"> JUDGMENT – SEPARATE OPINION</w:t>
    </w:r>
    <w:r>
      <w:tab/>
    </w:r>
    <w:r>
      <w:rPr>
        <w:rStyle w:val="PageNumber"/>
      </w:rPr>
      <w:fldChar w:fldCharType="begin"/>
    </w:r>
    <w:r>
      <w:rPr>
        <w:rStyle w:val="PageNumber"/>
      </w:rPr>
      <w:instrText xml:space="preserve"> PAGE </w:instrText>
    </w:r>
    <w:r>
      <w:rPr>
        <w:rStyle w:val="PageNumber"/>
      </w:rPr>
      <w:fldChar w:fldCharType="separate"/>
    </w:r>
    <w:r w:rsidR="00A64543">
      <w:rPr>
        <w:rStyle w:val="PageNumber"/>
        <w:noProof/>
      </w:rPr>
      <w:t>23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4"/>
  </w:num>
  <w:num w:numId="4">
    <w:abstractNumId w:val="14"/>
  </w:num>
  <w:num w:numId="5">
    <w:abstractNumId w:val="14"/>
  </w:num>
  <w:num w:numId="6">
    <w:abstractNumId w:val="14"/>
  </w:num>
  <w:num w:numId="7">
    <w:abstractNumId w:val="11"/>
  </w:num>
  <w:num w:numId="8">
    <w:abstractNumId w:val="10"/>
  </w:num>
  <w:num w:numId="9">
    <w:abstractNumId w:val="13"/>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73B86"/>
    <w:rsid w:val="00001633"/>
    <w:rsid w:val="00001CC5"/>
    <w:rsid w:val="00002DD1"/>
    <w:rsid w:val="000042D1"/>
    <w:rsid w:val="00007B38"/>
    <w:rsid w:val="00013894"/>
    <w:rsid w:val="00015449"/>
    <w:rsid w:val="00016444"/>
    <w:rsid w:val="00017133"/>
    <w:rsid w:val="00022945"/>
    <w:rsid w:val="00023F4B"/>
    <w:rsid w:val="00033160"/>
    <w:rsid w:val="00033FD2"/>
    <w:rsid w:val="0003679E"/>
    <w:rsid w:val="00036EEE"/>
    <w:rsid w:val="00042867"/>
    <w:rsid w:val="00042CBA"/>
    <w:rsid w:val="0005522C"/>
    <w:rsid w:val="00055AC1"/>
    <w:rsid w:val="000726F6"/>
    <w:rsid w:val="0007288D"/>
    <w:rsid w:val="00076A67"/>
    <w:rsid w:val="0008223B"/>
    <w:rsid w:val="00085837"/>
    <w:rsid w:val="00085B3A"/>
    <w:rsid w:val="00090C82"/>
    <w:rsid w:val="00091AEF"/>
    <w:rsid w:val="0009409F"/>
    <w:rsid w:val="0009501E"/>
    <w:rsid w:val="000A1278"/>
    <w:rsid w:val="000C3F96"/>
    <w:rsid w:val="000C4975"/>
    <w:rsid w:val="000C74DC"/>
    <w:rsid w:val="000D135D"/>
    <w:rsid w:val="000D3B36"/>
    <w:rsid w:val="000D4A60"/>
    <w:rsid w:val="000D6108"/>
    <w:rsid w:val="000E1449"/>
    <w:rsid w:val="000F699D"/>
    <w:rsid w:val="00102B17"/>
    <w:rsid w:val="00102DD7"/>
    <w:rsid w:val="00104AD1"/>
    <w:rsid w:val="00111D99"/>
    <w:rsid w:val="001165C7"/>
    <w:rsid w:val="0011665B"/>
    <w:rsid w:val="00126213"/>
    <w:rsid w:val="0013290F"/>
    <w:rsid w:val="00145722"/>
    <w:rsid w:val="00151CCA"/>
    <w:rsid w:val="0015403A"/>
    <w:rsid w:val="00156875"/>
    <w:rsid w:val="00156F1C"/>
    <w:rsid w:val="00157BD8"/>
    <w:rsid w:val="00160562"/>
    <w:rsid w:val="00166617"/>
    <w:rsid w:val="00172C6D"/>
    <w:rsid w:val="00174A6F"/>
    <w:rsid w:val="001812B2"/>
    <w:rsid w:val="00185FA1"/>
    <w:rsid w:val="0019388B"/>
    <w:rsid w:val="00193DBE"/>
    <w:rsid w:val="00195378"/>
    <w:rsid w:val="00197C29"/>
    <w:rsid w:val="001A0EBE"/>
    <w:rsid w:val="001A2CB2"/>
    <w:rsid w:val="001A3622"/>
    <w:rsid w:val="001B2EFC"/>
    <w:rsid w:val="001B62B1"/>
    <w:rsid w:val="001B74F7"/>
    <w:rsid w:val="001C11A4"/>
    <w:rsid w:val="001C43BD"/>
    <w:rsid w:val="001D2BA7"/>
    <w:rsid w:val="001D55E9"/>
    <w:rsid w:val="001D588A"/>
    <w:rsid w:val="001E0052"/>
    <w:rsid w:val="001E1D4E"/>
    <w:rsid w:val="001E29E6"/>
    <w:rsid w:val="001F3778"/>
    <w:rsid w:val="001F4C73"/>
    <w:rsid w:val="001F5586"/>
    <w:rsid w:val="001F5F9D"/>
    <w:rsid w:val="00202D80"/>
    <w:rsid w:val="00221A63"/>
    <w:rsid w:val="00225BE5"/>
    <w:rsid w:val="002266CD"/>
    <w:rsid w:val="002302E6"/>
    <w:rsid w:val="002320C6"/>
    <w:rsid w:val="002356F8"/>
    <w:rsid w:val="00245B13"/>
    <w:rsid w:val="0024627B"/>
    <w:rsid w:val="00252961"/>
    <w:rsid w:val="00252B31"/>
    <w:rsid w:val="00252B4A"/>
    <w:rsid w:val="00265471"/>
    <w:rsid w:val="0026789F"/>
    <w:rsid w:val="00267D77"/>
    <w:rsid w:val="00267E01"/>
    <w:rsid w:val="002710C6"/>
    <w:rsid w:val="002718C4"/>
    <w:rsid w:val="00271A81"/>
    <w:rsid w:val="0027280A"/>
    <w:rsid w:val="002729D7"/>
    <w:rsid w:val="00273CA9"/>
    <w:rsid w:val="00275D30"/>
    <w:rsid w:val="00283036"/>
    <w:rsid w:val="00292D6C"/>
    <w:rsid w:val="00296B76"/>
    <w:rsid w:val="00297942"/>
    <w:rsid w:val="002A0011"/>
    <w:rsid w:val="002A4296"/>
    <w:rsid w:val="002A7289"/>
    <w:rsid w:val="002B18B7"/>
    <w:rsid w:val="002B2103"/>
    <w:rsid w:val="002C5FC5"/>
    <w:rsid w:val="002C7D3E"/>
    <w:rsid w:val="002D5E66"/>
    <w:rsid w:val="002D6FD4"/>
    <w:rsid w:val="002E2EAF"/>
    <w:rsid w:val="002E44A7"/>
    <w:rsid w:val="002E6A74"/>
    <w:rsid w:val="002F1EF6"/>
    <w:rsid w:val="002F26D0"/>
    <w:rsid w:val="002F4BCF"/>
    <w:rsid w:val="002F6FE9"/>
    <w:rsid w:val="00302008"/>
    <w:rsid w:val="0030687F"/>
    <w:rsid w:val="00306E62"/>
    <w:rsid w:val="003104E9"/>
    <w:rsid w:val="0031573C"/>
    <w:rsid w:val="0032093A"/>
    <w:rsid w:val="00321CFD"/>
    <w:rsid w:val="00325C2B"/>
    <w:rsid w:val="00332547"/>
    <w:rsid w:val="00334B6F"/>
    <w:rsid w:val="00334E94"/>
    <w:rsid w:val="00336887"/>
    <w:rsid w:val="00337600"/>
    <w:rsid w:val="00337DA5"/>
    <w:rsid w:val="003403BB"/>
    <w:rsid w:val="00342AEA"/>
    <w:rsid w:val="0034580F"/>
    <w:rsid w:val="003506C9"/>
    <w:rsid w:val="00355F8F"/>
    <w:rsid w:val="00371277"/>
    <w:rsid w:val="0037228D"/>
    <w:rsid w:val="00380723"/>
    <w:rsid w:val="0039017B"/>
    <w:rsid w:val="003A0F9E"/>
    <w:rsid w:val="003A334F"/>
    <w:rsid w:val="003A64D3"/>
    <w:rsid w:val="003A6D9C"/>
    <w:rsid w:val="003B41C7"/>
    <w:rsid w:val="003B50D7"/>
    <w:rsid w:val="003B7309"/>
    <w:rsid w:val="003B736A"/>
    <w:rsid w:val="003D13F8"/>
    <w:rsid w:val="003E2006"/>
    <w:rsid w:val="003E319C"/>
    <w:rsid w:val="003E3257"/>
    <w:rsid w:val="003E3FA1"/>
    <w:rsid w:val="003E634F"/>
    <w:rsid w:val="003F0AD4"/>
    <w:rsid w:val="003F3BFD"/>
    <w:rsid w:val="00401C5B"/>
    <w:rsid w:val="00403CAF"/>
    <w:rsid w:val="00404FB4"/>
    <w:rsid w:val="00405BC5"/>
    <w:rsid w:val="00406439"/>
    <w:rsid w:val="00412F5F"/>
    <w:rsid w:val="00413EFC"/>
    <w:rsid w:val="00420F69"/>
    <w:rsid w:val="004326CA"/>
    <w:rsid w:val="004406AA"/>
    <w:rsid w:val="00442337"/>
    <w:rsid w:val="00445ED8"/>
    <w:rsid w:val="00452CF1"/>
    <w:rsid w:val="00457A18"/>
    <w:rsid w:val="00460FAD"/>
    <w:rsid w:val="00461914"/>
    <w:rsid w:val="00465AD7"/>
    <w:rsid w:val="00471ECD"/>
    <w:rsid w:val="00474EF8"/>
    <w:rsid w:val="00475CD2"/>
    <w:rsid w:val="00483626"/>
    <w:rsid w:val="00485A6F"/>
    <w:rsid w:val="004920B1"/>
    <w:rsid w:val="004A44C5"/>
    <w:rsid w:val="004A5B46"/>
    <w:rsid w:val="004C568D"/>
    <w:rsid w:val="004E5DFC"/>
    <w:rsid w:val="004E68E9"/>
    <w:rsid w:val="004F2C0C"/>
    <w:rsid w:val="004F5425"/>
    <w:rsid w:val="0050096C"/>
    <w:rsid w:val="00513446"/>
    <w:rsid w:val="00516EBF"/>
    <w:rsid w:val="00522362"/>
    <w:rsid w:val="005242AD"/>
    <w:rsid w:val="00524FFC"/>
    <w:rsid w:val="00525276"/>
    <w:rsid w:val="00537E2C"/>
    <w:rsid w:val="00541986"/>
    <w:rsid w:val="005419B6"/>
    <w:rsid w:val="00541B5F"/>
    <w:rsid w:val="00546F49"/>
    <w:rsid w:val="005547FF"/>
    <w:rsid w:val="00560940"/>
    <w:rsid w:val="00565382"/>
    <w:rsid w:val="0056771C"/>
    <w:rsid w:val="0057294A"/>
    <w:rsid w:val="00572C35"/>
    <w:rsid w:val="005777BA"/>
    <w:rsid w:val="00577E6A"/>
    <w:rsid w:val="00582D1B"/>
    <w:rsid w:val="005838A6"/>
    <w:rsid w:val="00584A11"/>
    <w:rsid w:val="005874FF"/>
    <w:rsid w:val="005944D6"/>
    <w:rsid w:val="00595C5D"/>
    <w:rsid w:val="00597B1F"/>
    <w:rsid w:val="005A3D27"/>
    <w:rsid w:val="005B16A8"/>
    <w:rsid w:val="005B4233"/>
    <w:rsid w:val="005C1929"/>
    <w:rsid w:val="005C1956"/>
    <w:rsid w:val="005C27F4"/>
    <w:rsid w:val="005C2C88"/>
    <w:rsid w:val="005C36A5"/>
    <w:rsid w:val="005C41CB"/>
    <w:rsid w:val="005C4227"/>
    <w:rsid w:val="005D3010"/>
    <w:rsid w:val="005D36D8"/>
    <w:rsid w:val="005D542C"/>
    <w:rsid w:val="005E384F"/>
    <w:rsid w:val="005E46F8"/>
    <w:rsid w:val="005F1308"/>
    <w:rsid w:val="005F4753"/>
    <w:rsid w:val="005F5699"/>
    <w:rsid w:val="005F7A10"/>
    <w:rsid w:val="005F7DF0"/>
    <w:rsid w:val="00600701"/>
    <w:rsid w:val="006053AC"/>
    <w:rsid w:val="00605C97"/>
    <w:rsid w:val="0061009F"/>
    <w:rsid w:val="006111FF"/>
    <w:rsid w:val="006138EA"/>
    <w:rsid w:val="00621366"/>
    <w:rsid w:val="00625699"/>
    <w:rsid w:val="0062787C"/>
    <w:rsid w:val="00633478"/>
    <w:rsid w:val="00637930"/>
    <w:rsid w:val="00640B82"/>
    <w:rsid w:val="00644A76"/>
    <w:rsid w:val="006545FA"/>
    <w:rsid w:val="00655126"/>
    <w:rsid w:val="00662173"/>
    <w:rsid w:val="006639B6"/>
    <w:rsid w:val="006722C5"/>
    <w:rsid w:val="00675436"/>
    <w:rsid w:val="00680D63"/>
    <w:rsid w:val="00681CAA"/>
    <w:rsid w:val="00691611"/>
    <w:rsid w:val="00697533"/>
    <w:rsid w:val="006978F6"/>
    <w:rsid w:val="00697F14"/>
    <w:rsid w:val="006A1ED9"/>
    <w:rsid w:val="006A38CB"/>
    <w:rsid w:val="006A3D9D"/>
    <w:rsid w:val="006A4D48"/>
    <w:rsid w:val="006A7C48"/>
    <w:rsid w:val="006B0C4E"/>
    <w:rsid w:val="006B17C6"/>
    <w:rsid w:val="006B1BD8"/>
    <w:rsid w:val="006B4486"/>
    <w:rsid w:val="006C2B52"/>
    <w:rsid w:val="006C35C5"/>
    <w:rsid w:val="006C5E1E"/>
    <w:rsid w:val="006D3338"/>
    <w:rsid w:val="006D6C2E"/>
    <w:rsid w:val="006D71BC"/>
    <w:rsid w:val="006E6D33"/>
    <w:rsid w:val="006F0A71"/>
    <w:rsid w:val="006F3A8A"/>
    <w:rsid w:val="006F4751"/>
    <w:rsid w:val="00702A3E"/>
    <w:rsid w:val="00705DE8"/>
    <w:rsid w:val="007156E0"/>
    <w:rsid w:val="00722105"/>
    <w:rsid w:val="00730053"/>
    <w:rsid w:val="00730370"/>
    <w:rsid w:val="00730433"/>
    <w:rsid w:val="007352DD"/>
    <w:rsid w:val="00740A19"/>
    <w:rsid w:val="00750E5E"/>
    <w:rsid w:val="00750FB3"/>
    <w:rsid w:val="00751595"/>
    <w:rsid w:val="00752998"/>
    <w:rsid w:val="007539A1"/>
    <w:rsid w:val="00754ABE"/>
    <w:rsid w:val="00756D5B"/>
    <w:rsid w:val="007603BB"/>
    <w:rsid w:val="00762AEB"/>
    <w:rsid w:val="00771AF6"/>
    <w:rsid w:val="00776807"/>
    <w:rsid w:val="0077789B"/>
    <w:rsid w:val="0078062F"/>
    <w:rsid w:val="007827E7"/>
    <w:rsid w:val="0078617B"/>
    <w:rsid w:val="00787C8F"/>
    <w:rsid w:val="007909B9"/>
    <w:rsid w:val="0079163D"/>
    <w:rsid w:val="0079187F"/>
    <w:rsid w:val="00793638"/>
    <w:rsid w:val="007A13B1"/>
    <w:rsid w:val="007A1FFE"/>
    <w:rsid w:val="007A357A"/>
    <w:rsid w:val="007A4116"/>
    <w:rsid w:val="007A52A9"/>
    <w:rsid w:val="007A6DBA"/>
    <w:rsid w:val="007B2958"/>
    <w:rsid w:val="007C090B"/>
    <w:rsid w:val="007C1CE3"/>
    <w:rsid w:val="007C5271"/>
    <w:rsid w:val="007D0D75"/>
    <w:rsid w:val="007D1239"/>
    <w:rsid w:val="007D47CA"/>
    <w:rsid w:val="007D48A8"/>
    <w:rsid w:val="007E514B"/>
    <w:rsid w:val="007E603C"/>
    <w:rsid w:val="007F2BDD"/>
    <w:rsid w:val="007F735A"/>
    <w:rsid w:val="0080180B"/>
    <w:rsid w:val="00804B71"/>
    <w:rsid w:val="00806E5F"/>
    <w:rsid w:val="008216DF"/>
    <w:rsid w:val="00834682"/>
    <w:rsid w:val="00834BD9"/>
    <w:rsid w:val="00836390"/>
    <w:rsid w:val="0084088F"/>
    <w:rsid w:val="00846856"/>
    <w:rsid w:val="00853345"/>
    <w:rsid w:val="00856E4F"/>
    <w:rsid w:val="0086016D"/>
    <w:rsid w:val="008601F7"/>
    <w:rsid w:val="008608E2"/>
    <w:rsid w:val="00864209"/>
    <w:rsid w:val="00865450"/>
    <w:rsid w:val="00866D9D"/>
    <w:rsid w:val="008676EB"/>
    <w:rsid w:val="00873037"/>
    <w:rsid w:val="00873932"/>
    <w:rsid w:val="00875692"/>
    <w:rsid w:val="008824B9"/>
    <w:rsid w:val="0088315D"/>
    <w:rsid w:val="00884205"/>
    <w:rsid w:val="00886BB5"/>
    <w:rsid w:val="00890DCE"/>
    <w:rsid w:val="00891151"/>
    <w:rsid w:val="00893782"/>
    <w:rsid w:val="008979B4"/>
    <w:rsid w:val="008A2A61"/>
    <w:rsid w:val="008A7DA0"/>
    <w:rsid w:val="008B3B24"/>
    <w:rsid w:val="008B5BFB"/>
    <w:rsid w:val="008B6C40"/>
    <w:rsid w:val="008B7FE5"/>
    <w:rsid w:val="008C39B5"/>
    <w:rsid w:val="008C60EE"/>
    <w:rsid w:val="008C6F68"/>
    <w:rsid w:val="008D514F"/>
    <w:rsid w:val="008D7BF2"/>
    <w:rsid w:val="008E05A3"/>
    <w:rsid w:val="008E5DBD"/>
    <w:rsid w:val="008F5ECF"/>
    <w:rsid w:val="008F7F95"/>
    <w:rsid w:val="00900F2B"/>
    <w:rsid w:val="00901475"/>
    <w:rsid w:val="00903768"/>
    <w:rsid w:val="00904EE5"/>
    <w:rsid w:val="00907C13"/>
    <w:rsid w:val="009169BC"/>
    <w:rsid w:val="009213EE"/>
    <w:rsid w:val="00927277"/>
    <w:rsid w:val="00930CD7"/>
    <w:rsid w:val="00932C7B"/>
    <w:rsid w:val="00934039"/>
    <w:rsid w:val="0094239F"/>
    <w:rsid w:val="009429F0"/>
    <w:rsid w:val="00953CE0"/>
    <w:rsid w:val="00956501"/>
    <w:rsid w:val="0095657A"/>
    <w:rsid w:val="0096206D"/>
    <w:rsid w:val="00962A52"/>
    <w:rsid w:val="00965BD4"/>
    <w:rsid w:val="0096782A"/>
    <w:rsid w:val="00973F48"/>
    <w:rsid w:val="00980D4A"/>
    <w:rsid w:val="0098535B"/>
    <w:rsid w:val="00986A6F"/>
    <w:rsid w:val="00987A7A"/>
    <w:rsid w:val="0099561C"/>
    <w:rsid w:val="00995F44"/>
    <w:rsid w:val="009A6925"/>
    <w:rsid w:val="009B039E"/>
    <w:rsid w:val="009B15A1"/>
    <w:rsid w:val="009C5183"/>
    <w:rsid w:val="009C5EBB"/>
    <w:rsid w:val="009D3237"/>
    <w:rsid w:val="009D46D7"/>
    <w:rsid w:val="009D4B87"/>
    <w:rsid w:val="009D4ED8"/>
    <w:rsid w:val="009D6899"/>
    <w:rsid w:val="009F0055"/>
    <w:rsid w:val="009F07CC"/>
    <w:rsid w:val="009F15D6"/>
    <w:rsid w:val="009F18CE"/>
    <w:rsid w:val="009F1D27"/>
    <w:rsid w:val="009F5625"/>
    <w:rsid w:val="00A012A5"/>
    <w:rsid w:val="00A04874"/>
    <w:rsid w:val="00A04E02"/>
    <w:rsid w:val="00A06A89"/>
    <w:rsid w:val="00A06FAE"/>
    <w:rsid w:val="00A1266C"/>
    <w:rsid w:val="00A135BE"/>
    <w:rsid w:val="00A174B9"/>
    <w:rsid w:val="00A21821"/>
    <w:rsid w:val="00A22114"/>
    <w:rsid w:val="00A22681"/>
    <w:rsid w:val="00A22E6F"/>
    <w:rsid w:val="00A300A3"/>
    <w:rsid w:val="00A30119"/>
    <w:rsid w:val="00A30F7A"/>
    <w:rsid w:val="00A32B81"/>
    <w:rsid w:val="00A35C98"/>
    <w:rsid w:val="00A36290"/>
    <w:rsid w:val="00A44AA3"/>
    <w:rsid w:val="00A45307"/>
    <w:rsid w:val="00A4729B"/>
    <w:rsid w:val="00A50A0B"/>
    <w:rsid w:val="00A5331A"/>
    <w:rsid w:val="00A57F7A"/>
    <w:rsid w:val="00A64543"/>
    <w:rsid w:val="00A655A0"/>
    <w:rsid w:val="00A7049C"/>
    <w:rsid w:val="00A73FA9"/>
    <w:rsid w:val="00A80135"/>
    <w:rsid w:val="00A8381C"/>
    <w:rsid w:val="00A93FB1"/>
    <w:rsid w:val="00A94CFE"/>
    <w:rsid w:val="00AA04CD"/>
    <w:rsid w:val="00AA0A20"/>
    <w:rsid w:val="00AA2B6A"/>
    <w:rsid w:val="00AA373E"/>
    <w:rsid w:val="00AA6CAF"/>
    <w:rsid w:val="00AA7CA2"/>
    <w:rsid w:val="00AA7FE7"/>
    <w:rsid w:val="00AB0594"/>
    <w:rsid w:val="00AB1E3A"/>
    <w:rsid w:val="00AB2166"/>
    <w:rsid w:val="00AB43D9"/>
    <w:rsid w:val="00AB6597"/>
    <w:rsid w:val="00AC134B"/>
    <w:rsid w:val="00AC4995"/>
    <w:rsid w:val="00AC5C45"/>
    <w:rsid w:val="00AD57B2"/>
    <w:rsid w:val="00AE2F4F"/>
    <w:rsid w:val="00AF1CB7"/>
    <w:rsid w:val="00AF3427"/>
    <w:rsid w:val="00AF6733"/>
    <w:rsid w:val="00AF6BAA"/>
    <w:rsid w:val="00B030BE"/>
    <w:rsid w:val="00B04817"/>
    <w:rsid w:val="00B05221"/>
    <w:rsid w:val="00B0594B"/>
    <w:rsid w:val="00B12118"/>
    <w:rsid w:val="00B122EA"/>
    <w:rsid w:val="00B15DE1"/>
    <w:rsid w:val="00B324A5"/>
    <w:rsid w:val="00B32DD6"/>
    <w:rsid w:val="00B3493C"/>
    <w:rsid w:val="00B3608A"/>
    <w:rsid w:val="00B4551C"/>
    <w:rsid w:val="00B460AF"/>
    <w:rsid w:val="00B52010"/>
    <w:rsid w:val="00B574E7"/>
    <w:rsid w:val="00B6108B"/>
    <w:rsid w:val="00B635BE"/>
    <w:rsid w:val="00B63D12"/>
    <w:rsid w:val="00B64488"/>
    <w:rsid w:val="00B662B2"/>
    <w:rsid w:val="00B6763B"/>
    <w:rsid w:val="00B67CBD"/>
    <w:rsid w:val="00B743BC"/>
    <w:rsid w:val="00B74F8D"/>
    <w:rsid w:val="00B75F95"/>
    <w:rsid w:val="00B81192"/>
    <w:rsid w:val="00B921A8"/>
    <w:rsid w:val="00B95098"/>
    <w:rsid w:val="00B96E13"/>
    <w:rsid w:val="00BA207E"/>
    <w:rsid w:val="00BA278C"/>
    <w:rsid w:val="00BA3B4A"/>
    <w:rsid w:val="00BA55DC"/>
    <w:rsid w:val="00BB226B"/>
    <w:rsid w:val="00BB3749"/>
    <w:rsid w:val="00BB5699"/>
    <w:rsid w:val="00BB5D97"/>
    <w:rsid w:val="00BC7EEE"/>
    <w:rsid w:val="00BD19AE"/>
    <w:rsid w:val="00BE206D"/>
    <w:rsid w:val="00BE2170"/>
    <w:rsid w:val="00BE277D"/>
    <w:rsid w:val="00BE4432"/>
    <w:rsid w:val="00BE4F47"/>
    <w:rsid w:val="00BE50FE"/>
    <w:rsid w:val="00BE5958"/>
    <w:rsid w:val="00BF071D"/>
    <w:rsid w:val="00C01E1C"/>
    <w:rsid w:val="00C02E48"/>
    <w:rsid w:val="00C05ED0"/>
    <w:rsid w:val="00C06140"/>
    <w:rsid w:val="00C11E67"/>
    <w:rsid w:val="00C20E84"/>
    <w:rsid w:val="00C2312C"/>
    <w:rsid w:val="00C27EF9"/>
    <w:rsid w:val="00C3018F"/>
    <w:rsid w:val="00C30671"/>
    <w:rsid w:val="00C30B66"/>
    <w:rsid w:val="00C44AC8"/>
    <w:rsid w:val="00C47696"/>
    <w:rsid w:val="00C53BED"/>
    <w:rsid w:val="00C575C8"/>
    <w:rsid w:val="00C577C8"/>
    <w:rsid w:val="00C61C2D"/>
    <w:rsid w:val="00C63E30"/>
    <w:rsid w:val="00C673D7"/>
    <w:rsid w:val="00C73967"/>
    <w:rsid w:val="00C764D4"/>
    <w:rsid w:val="00C77429"/>
    <w:rsid w:val="00C80700"/>
    <w:rsid w:val="00C84877"/>
    <w:rsid w:val="00C91321"/>
    <w:rsid w:val="00C93C92"/>
    <w:rsid w:val="00C94023"/>
    <w:rsid w:val="00C96EBF"/>
    <w:rsid w:val="00CA02AF"/>
    <w:rsid w:val="00CA6DF1"/>
    <w:rsid w:val="00CA7055"/>
    <w:rsid w:val="00CB16E2"/>
    <w:rsid w:val="00CB6C52"/>
    <w:rsid w:val="00CC4495"/>
    <w:rsid w:val="00CC6623"/>
    <w:rsid w:val="00CD31A0"/>
    <w:rsid w:val="00CD5D90"/>
    <w:rsid w:val="00CD73EC"/>
    <w:rsid w:val="00CD7D6A"/>
    <w:rsid w:val="00CE1C9D"/>
    <w:rsid w:val="00CF0458"/>
    <w:rsid w:val="00CF166A"/>
    <w:rsid w:val="00CF67F9"/>
    <w:rsid w:val="00CF79A7"/>
    <w:rsid w:val="00D00569"/>
    <w:rsid w:val="00D06E73"/>
    <w:rsid w:val="00D07456"/>
    <w:rsid w:val="00D102A7"/>
    <w:rsid w:val="00D1288A"/>
    <w:rsid w:val="00D14060"/>
    <w:rsid w:val="00D15473"/>
    <w:rsid w:val="00D30F97"/>
    <w:rsid w:val="00D31D35"/>
    <w:rsid w:val="00D32773"/>
    <w:rsid w:val="00D33169"/>
    <w:rsid w:val="00D333B8"/>
    <w:rsid w:val="00D353F4"/>
    <w:rsid w:val="00D357B5"/>
    <w:rsid w:val="00D44EA3"/>
    <w:rsid w:val="00D54E1D"/>
    <w:rsid w:val="00D56B5D"/>
    <w:rsid w:val="00D63793"/>
    <w:rsid w:val="00D672E2"/>
    <w:rsid w:val="00D73611"/>
    <w:rsid w:val="00D741B9"/>
    <w:rsid w:val="00D753C1"/>
    <w:rsid w:val="00D76B5D"/>
    <w:rsid w:val="00D80AB9"/>
    <w:rsid w:val="00D81E00"/>
    <w:rsid w:val="00D86D00"/>
    <w:rsid w:val="00D90810"/>
    <w:rsid w:val="00D91F96"/>
    <w:rsid w:val="00DA200A"/>
    <w:rsid w:val="00DA2A01"/>
    <w:rsid w:val="00DA7040"/>
    <w:rsid w:val="00DB01B1"/>
    <w:rsid w:val="00DB0629"/>
    <w:rsid w:val="00DB1B2E"/>
    <w:rsid w:val="00DB1BFF"/>
    <w:rsid w:val="00DB1FF6"/>
    <w:rsid w:val="00DB28B1"/>
    <w:rsid w:val="00DB3073"/>
    <w:rsid w:val="00DB5B90"/>
    <w:rsid w:val="00DB6D67"/>
    <w:rsid w:val="00DC2093"/>
    <w:rsid w:val="00DC2ECE"/>
    <w:rsid w:val="00DC47BF"/>
    <w:rsid w:val="00DC5C22"/>
    <w:rsid w:val="00DD1515"/>
    <w:rsid w:val="00DD1EA0"/>
    <w:rsid w:val="00DD5716"/>
    <w:rsid w:val="00DD6D77"/>
    <w:rsid w:val="00DE46EE"/>
    <w:rsid w:val="00DE5E8F"/>
    <w:rsid w:val="00DE68AE"/>
    <w:rsid w:val="00DF06A0"/>
    <w:rsid w:val="00DF31D5"/>
    <w:rsid w:val="00DF3336"/>
    <w:rsid w:val="00DF349C"/>
    <w:rsid w:val="00DF6F6A"/>
    <w:rsid w:val="00E05FDE"/>
    <w:rsid w:val="00E114B4"/>
    <w:rsid w:val="00E128B1"/>
    <w:rsid w:val="00E21B33"/>
    <w:rsid w:val="00E21EF8"/>
    <w:rsid w:val="00E32625"/>
    <w:rsid w:val="00E32971"/>
    <w:rsid w:val="00E3324E"/>
    <w:rsid w:val="00E35B89"/>
    <w:rsid w:val="00E36C0C"/>
    <w:rsid w:val="00E45DBA"/>
    <w:rsid w:val="00E50968"/>
    <w:rsid w:val="00E52485"/>
    <w:rsid w:val="00E526A4"/>
    <w:rsid w:val="00E6541D"/>
    <w:rsid w:val="00E67755"/>
    <w:rsid w:val="00E71C5F"/>
    <w:rsid w:val="00E71E5A"/>
    <w:rsid w:val="00E73B86"/>
    <w:rsid w:val="00E7790F"/>
    <w:rsid w:val="00E81663"/>
    <w:rsid w:val="00E84AFE"/>
    <w:rsid w:val="00E86895"/>
    <w:rsid w:val="00E873A1"/>
    <w:rsid w:val="00E9155E"/>
    <w:rsid w:val="00E92DA3"/>
    <w:rsid w:val="00E973F5"/>
    <w:rsid w:val="00E97707"/>
    <w:rsid w:val="00EA3BBF"/>
    <w:rsid w:val="00EA4C31"/>
    <w:rsid w:val="00EB2A33"/>
    <w:rsid w:val="00EB41E9"/>
    <w:rsid w:val="00EB5EBC"/>
    <w:rsid w:val="00EC2951"/>
    <w:rsid w:val="00EC7122"/>
    <w:rsid w:val="00ED12C3"/>
    <w:rsid w:val="00ED3AC7"/>
    <w:rsid w:val="00ED3C2D"/>
    <w:rsid w:val="00ED7D2E"/>
    <w:rsid w:val="00EE1252"/>
    <w:rsid w:val="00EE184F"/>
    <w:rsid w:val="00EE47FF"/>
    <w:rsid w:val="00EE7911"/>
    <w:rsid w:val="00EF2384"/>
    <w:rsid w:val="00F010C1"/>
    <w:rsid w:val="00F17A66"/>
    <w:rsid w:val="00F22E8B"/>
    <w:rsid w:val="00F324E0"/>
    <w:rsid w:val="00F33F67"/>
    <w:rsid w:val="00F35981"/>
    <w:rsid w:val="00F3771E"/>
    <w:rsid w:val="00F43FF3"/>
    <w:rsid w:val="00F47399"/>
    <w:rsid w:val="00F5124B"/>
    <w:rsid w:val="00F51831"/>
    <w:rsid w:val="00F62FA4"/>
    <w:rsid w:val="00F6387C"/>
    <w:rsid w:val="00F63D41"/>
    <w:rsid w:val="00F66CCA"/>
    <w:rsid w:val="00F66D76"/>
    <w:rsid w:val="00F7061D"/>
    <w:rsid w:val="00F71040"/>
    <w:rsid w:val="00F71A6A"/>
    <w:rsid w:val="00F73D18"/>
    <w:rsid w:val="00F745F8"/>
    <w:rsid w:val="00F86189"/>
    <w:rsid w:val="00F94742"/>
    <w:rsid w:val="00F94802"/>
    <w:rsid w:val="00F97A66"/>
    <w:rsid w:val="00FA3078"/>
    <w:rsid w:val="00FA40D4"/>
    <w:rsid w:val="00FA7733"/>
    <w:rsid w:val="00FA78BB"/>
    <w:rsid w:val="00FB3423"/>
    <w:rsid w:val="00FD3E2F"/>
    <w:rsid w:val="00FE44A5"/>
    <w:rsid w:val="00FE4934"/>
    <w:rsid w:val="00FE6E31"/>
    <w:rsid w:val="00FF524F"/>
    <w:rsid w:val="00FF79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erson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24"/>
    <w:pPr>
      <w:suppressAutoHyphens/>
    </w:pPr>
    <w:rPr>
      <w:sz w:val="24"/>
      <w:lang w:val="en-GB" w:eastAsia="fr-FR"/>
    </w:rPr>
  </w:style>
  <w:style w:type="paragraph" w:styleId="Heading1">
    <w:name w:val="heading 1"/>
    <w:basedOn w:val="Normal"/>
    <w:next w:val="Normal"/>
    <w:qFormat/>
    <w:rsid w:val="008B3B24"/>
    <w:pPr>
      <w:keepNext/>
      <w:numPr>
        <w:numId w:val="9"/>
      </w:numPr>
      <w:spacing w:before="360" w:after="240"/>
      <w:jc w:val="center"/>
      <w:outlineLvl w:val="0"/>
    </w:pPr>
    <w:rPr>
      <w:b/>
      <w:sz w:val="28"/>
    </w:rPr>
  </w:style>
  <w:style w:type="paragraph" w:styleId="Heading2">
    <w:name w:val="heading 2"/>
    <w:basedOn w:val="Normal"/>
    <w:next w:val="Normal"/>
    <w:qFormat/>
    <w:rsid w:val="008B3B24"/>
    <w:pPr>
      <w:keepNext/>
      <w:numPr>
        <w:ilvl w:val="1"/>
        <w:numId w:val="9"/>
      </w:numPr>
      <w:spacing w:before="240" w:after="120"/>
      <w:outlineLvl w:val="1"/>
    </w:pPr>
    <w:rPr>
      <w:b/>
    </w:rPr>
  </w:style>
  <w:style w:type="paragraph" w:styleId="Heading3">
    <w:name w:val="heading 3"/>
    <w:basedOn w:val="Normal"/>
    <w:next w:val="Normal"/>
    <w:qFormat/>
    <w:rsid w:val="008B3B24"/>
    <w:pPr>
      <w:keepNext/>
      <w:numPr>
        <w:ilvl w:val="2"/>
        <w:numId w:val="9"/>
      </w:numPr>
      <w:spacing w:before="120" w:after="60"/>
      <w:outlineLvl w:val="2"/>
    </w:pPr>
    <w:rPr>
      <w:i/>
    </w:rPr>
  </w:style>
  <w:style w:type="paragraph" w:styleId="Heading4">
    <w:name w:val="heading 4"/>
    <w:basedOn w:val="Normal"/>
    <w:next w:val="Normal"/>
    <w:qFormat/>
    <w:rsid w:val="008B3B24"/>
    <w:pPr>
      <w:keepNext/>
      <w:numPr>
        <w:ilvl w:val="3"/>
        <w:numId w:val="9"/>
      </w:numPr>
      <w:spacing w:before="240" w:after="60"/>
      <w:outlineLvl w:val="3"/>
    </w:pPr>
    <w:rPr>
      <w:b/>
      <w:bCs/>
      <w:sz w:val="28"/>
      <w:szCs w:val="28"/>
    </w:rPr>
  </w:style>
  <w:style w:type="paragraph" w:styleId="Heading5">
    <w:name w:val="heading 5"/>
    <w:basedOn w:val="Normal"/>
    <w:next w:val="Normal"/>
    <w:qFormat/>
    <w:rsid w:val="008B3B24"/>
    <w:pPr>
      <w:numPr>
        <w:ilvl w:val="4"/>
        <w:numId w:val="9"/>
      </w:numPr>
      <w:spacing w:before="240" w:after="60"/>
      <w:outlineLvl w:val="4"/>
    </w:pPr>
    <w:rPr>
      <w:b/>
      <w:bCs/>
      <w:i/>
      <w:iCs/>
      <w:sz w:val="26"/>
      <w:szCs w:val="26"/>
    </w:rPr>
  </w:style>
  <w:style w:type="paragraph" w:styleId="Heading6">
    <w:name w:val="heading 6"/>
    <w:basedOn w:val="Normal"/>
    <w:next w:val="Normal"/>
    <w:qFormat/>
    <w:rsid w:val="008B3B24"/>
    <w:pPr>
      <w:numPr>
        <w:ilvl w:val="5"/>
        <w:numId w:val="9"/>
      </w:numPr>
      <w:spacing w:before="240" w:after="60"/>
      <w:outlineLvl w:val="5"/>
    </w:pPr>
    <w:rPr>
      <w:b/>
      <w:bCs/>
      <w:sz w:val="22"/>
      <w:szCs w:val="22"/>
    </w:rPr>
  </w:style>
  <w:style w:type="paragraph" w:styleId="Heading7">
    <w:name w:val="heading 7"/>
    <w:basedOn w:val="Normal"/>
    <w:next w:val="Normal"/>
    <w:qFormat/>
    <w:rsid w:val="008B3B24"/>
    <w:pPr>
      <w:numPr>
        <w:ilvl w:val="6"/>
        <w:numId w:val="9"/>
      </w:numPr>
      <w:spacing w:before="240" w:after="60"/>
      <w:outlineLvl w:val="6"/>
    </w:pPr>
    <w:rPr>
      <w:szCs w:val="24"/>
    </w:rPr>
  </w:style>
  <w:style w:type="paragraph" w:styleId="Heading8">
    <w:name w:val="heading 8"/>
    <w:basedOn w:val="Normal"/>
    <w:next w:val="Normal"/>
    <w:qFormat/>
    <w:rsid w:val="008B3B24"/>
    <w:pPr>
      <w:numPr>
        <w:ilvl w:val="7"/>
        <w:numId w:val="9"/>
      </w:numPr>
      <w:spacing w:before="240" w:after="60"/>
      <w:outlineLvl w:val="7"/>
    </w:pPr>
    <w:rPr>
      <w:i/>
      <w:iCs/>
      <w:szCs w:val="24"/>
    </w:rPr>
  </w:style>
  <w:style w:type="paragraph" w:styleId="Heading9">
    <w:name w:val="heading 9"/>
    <w:basedOn w:val="Normal"/>
    <w:next w:val="Normal"/>
    <w:qFormat/>
    <w:rsid w:val="008B3B24"/>
    <w:pPr>
      <w:numPr>
        <w:ilvl w:val="8"/>
        <w:numId w:val="9"/>
      </w:numPr>
      <w:spacing w:before="240" w:after="60"/>
      <w:outlineLvl w:val="8"/>
    </w:pPr>
    <w:rPr>
      <w:rFonts w:ascii="Arial" w:hAnsi="Arial" w:cs="Arial"/>
      <w:sz w:val="22"/>
      <w:szCs w:val="22"/>
    </w:rPr>
  </w:style>
  <w:style w:type="character" w:default="1" w:styleId="DefaultParagraphFont">
    <w:name w:val="Default Paragraph Font"/>
    <w:rsid w:val="008B3B24"/>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B3B24"/>
  </w:style>
  <w:style w:type="paragraph" w:customStyle="1" w:styleId="OpiHA">
    <w:name w:val="Opi_H_A"/>
    <w:basedOn w:val="JuHIRoman"/>
    <w:next w:val="OpiPara"/>
    <w:rsid w:val="008B3B24"/>
    <w:pPr>
      <w:tabs>
        <w:tab w:val="clear" w:pos="357"/>
      </w:tabs>
    </w:pPr>
    <w:rPr>
      <w:b/>
    </w:rPr>
  </w:style>
  <w:style w:type="paragraph" w:customStyle="1" w:styleId="JuHIRoman">
    <w:name w:val="Ju_H_I_Roman"/>
    <w:basedOn w:val="JuHHead"/>
    <w:next w:val="JuPara"/>
    <w:rsid w:val="008B3B24"/>
    <w:pPr>
      <w:tabs>
        <w:tab w:val="left" w:pos="357"/>
      </w:tabs>
      <w:spacing w:before="360"/>
      <w:ind w:left="357" w:hanging="357"/>
      <w:outlineLvl w:val="1"/>
    </w:pPr>
    <w:rPr>
      <w:sz w:val="24"/>
    </w:rPr>
  </w:style>
  <w:style w:type="paragraph" w:customStyle="1" w:styleId="JuHHead">
    <w:name w:val="Ju_H_Head"/>
    <w:basedOn w:val="NormalTimesNewRoman"/>
    <w:next w:val="JuPara"/>
    <w:rsid w:val="008B3B24"/>
    <w:pPr>
      <w:keepNext/>
      <w:keepLines/>
      <w:spacing w:before="720" w:after="240"/>
      <w:jc w:val="both"/>
      <w:outlineLvl w:val="0"/>
    </w:pPr>
    <w:rPr>
      <w:sz w:val="28"/>
    </w:rPr>
  </w:style>
  <w:style w:type="character" w:customStyle="1" w:styleId="DefaultTimesNewRoman">
    <w:name w:val="Default_TimesNewRoman"/>
    <w:rsid w:val="008B3B24"/>
    <w:rPr>
      <w:rFonts w:ascii="Times New Roman" w:hAnsi="Times New Roman"/>
    </w:rPr>
  </w:style>
  <w:style w:type="paragraph" w:customStyle="1" w:styleId="JuPara">
    <w:name w:val="Ju_Para"/>
    <w:aliases w:val="Left,First line:  0 cm"/>
    <w:basedOn w:val="NormalTimesNewRoman"/>
    <w:link w:val="JuParaChar"/>
    <w:rsid w:val="008B3B24"/>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8B3B24"/>
  </w:style>
  <w:style w:type="paragraph" w:customStyle="1" w:styleId="OpiH1">
    <w:name w:val="Opi_H_1."/>
    <w:basedOn w:val="OpiHA"/>
    <w:next w:val="OpiPara"/>
    <w:rsid w:val="008B3B24"/>
    <w:pPr>
      <w:spacing w:before="240" w:after="120"/>
      <w:ind w:left="635"/>
      <w:outlineLvl w:val="2"/>
    </w:pPr>
    <w:rPr>
      <w:b w:val="0"/>
      <w:i/>
    </w:rPr>
  </w:style>
  <w:style w:type="paragraph" w:customStyle="1" w:styleId="OpiHa0">
    <w:name w:val="Opi_H_a"/>
    <w:basedOn w:val="OpiH1"/>
    <w:next w:val="OpiPara"/>
    <w:rsid w:val="008B3B24"/>
    <w:pPr>
      <w:ind w:left="833"/>
      <w:outlineLvl w:val="3"/>
    </w:pPr>
    <w:rPr>
      <w:b/>
      <w:i w:val="0"/>
      <w:sz w:val="20"/>
    </w:rPr>
  </w:style>
  <w:style w:type="paragraph" w:customStyle="1" w:styleId="OpiHHead">
    <w:name w:val="Opi_H_Head"/>
    <w:basedOn w:val="JuHHead"/>
    <w:next w:val="OpiPara"/>
    <w:rsid w:val="008B3B24"/>
    <w:pPr>
      <w:spacing w:before="0"/>
      <w:jc w:val="center"/>
    </w:pPr>
  </w:style>
  <w:style w:type="paragraph" w:customStyle="1" w:styleId="OpiHi">
    <w:name w:val="Opi_H_i"/>
    <w:basedOn w:val="OpiHa0"/>
    <w:next w:val="OpiPara"/>
    <w:rsid w:val="008B3B24"/>
    <w:pPr>
      <w:ind w:left="1037"/>
      <w:outlineLvl w:val="4"/>
    </w:pPr>
    <w:rPr>
      <w:b w:val="0"/>
      <w:i/>
    </w:rPr>
  </w:style>
  <w:style w:type="paragraph" w:styleId="Footer">
    <w:name w:val="footer"/>
    <w:basedOn w:val="NormalTimesNewRoman"/>
    <w:rsid w:val="008B3B24"/>
    <w:pPr>
      <w:tabs>
        <w:tab w:val="center" w:pos="3686"/>
        <w:tab w:val="right" w:pos="7371"/>
      </w:tabs>
    </w:pPr>
    <w:rPr>
      <w:sz w:val="18"/>
    </w:rPr>
  </w:style>
  <w:style w:type="paragraph" w:customStyle="1" w:styleId="JuJudges">
    <w:name w:val="Ju_Judges"/>
    <w:basedOn w:val="NormalTimesNewRoman"/>
    <w:link w:val="JuJudgesChar"/>
    <w:rsid w:val="008B3B24"/>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8B3B24"/>
    <w:pPr>
      <w:tabs>
        <w:tab w:val="clear" w:pos="357"/>
        <w:tab w:val="left" w:pos="584"/>
      </w:tabs>
      <w:ind w:left="584" w:hanging="352"/>
      <w:outlineLvl w:val="2"/>
    </w:pPr>
    <w:rPr>
      <w:b/>
    </w:rPr>
  </w:style>
  <w:style w:type="paragraph" w:customStyle="1" w:styleId="JuQuot">
    <w:name w:val="Ju_Quot"/>
    <w:basedOn w:val="JuPara"/>
    <w:rsid w:val="008B3B24"/>
    <w:pPr>
      <w:spacing w:before="120" w:after="120"/>
      <w:ind w:left="425" w:firstLine="142"/>
    </w:pPr>
    <w:rPr>
      <w:sz w:val="20"/>
    </w:rPr>
  </w:style>
  <w:style w:type="paragraph" w:customStyle="1" w:styleId="JuSigned">
    <w:name w:val="Ju_Signed"/>
    <w:basedOn w:val="NormalTimesNewRoman"/>
    <w:next w:val="JuParaLast"/>
    <w:link w:val="JuSignedChar"/>
    <w:rsid w:val="008B3B24"/>
    <w:pPr>
      <w:tabs>
        <w:tab w:val="center" w:pos="851"/>
        <w:tab w:val="center" w:pos="6407"/>
      </w:tabs>
      <w:spacing w:before="720"/>
    </w:pPr>
  </w:style>
  <w:style w:type="paragraph" w:customStyle="1" w:styleId="JuParaLast">
    <w:name w:val="Ju_Para_Last"/>
    <w:basedOn w:val="JuPara"/>
    <w:next w:val="JuPara"/>
    <w:rsid w:val="008B3B24"/>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8B3B24"/>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8B3B24"/>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8B3B24"/>
    <w:pPr>
      <w:ind w:left="0" w:firstLine="0"/>
      <w:jc w:val="center"/>
    </w:pPr>
  </w:style>
  <w:style w:type="paragraph" w:customStyle="1" w:styleId="JuHa0">
    <w:name w:val="Ju_H_a"/>
    <w:basedOn w:val="JuH1"/>
    <w:next w:val="JuPara"/>
    <w:rsid w:val="008B3B24"/>
    <w:pPr>
      <w:tabs>
        <w:tab w:val="clear" w:pos="731"/>
        <w:tab w:val="left" w:pos="975"/>
      </w:tabs>
      <w:ind w:left="975" w:hanging="340"/>
      <w:outlineLvl w:val="4"/>
    </w:pPr>
    <w:rPr>
      <w:b/>
      <w:i w:val="0"/>
      <w:sz w:val="20"/>
    </w:rPr>
  </w:style>
  <w:style w:type="paragraph" w:customStyle="1" w:styleId="JuH1">
    <w:name w:val="Ju_H_1."/>
    <w:basedOn w:val="JuHA"/>
    <w:next w:val="JuPara"/>
    <w:rsid w:val="008B3B24"/>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8B3B24"/>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8B3B24"/>
  </w:style>
  <w:style w:type="paragraph" w:customStyle="1" w:styleId="OpiTranslation">
    <w:name w:val="Opi_Translation"/>
    <w:basedOn w:val="OpiHHead"/>
    <w:next w:val="OpiPara"/>
    <w:rsid w:val="008B3B24"/>
    <w:rPr>
      <w:i/>
      <w:sz w:val="24"/>
    </w:rPr>
  </w:style>
  <w:style w:type="paragraph" w:styleId="FootnoteText">
    <w:name w:val="footnote text"/>
    <w:basedOn w:val="Normal"/>
    <w:semiHidden/>
    <w:rsid w:val="008B3B24"/>
    <w:pPr>
      <w:jc w:val="both"/>
    </w:pPr>
    <w:rPr>
      <w:sz w:val="20"/>
    </w:rPr>
  </w:style>
  <w:style w:type="character" w:styleId="FootnoteReference">
    <w:name w:val="footnote reference"/>
    <w:semiHidden/>
    <w:rsid w:val="008B3B24"/>
    <w:rPr>
      <w:vertAlign w:val="superscript"/>
    </w:rPr>
  </w:style>
  <w:style w:type="paragraph" w:customStyle="1" w:styleId="JuHi">
    <w:name w:val="Ju_H_i"/>
    <w:basedOn w:val="JuHa0"/>
    <w:next w:val="JuPara"/>
    <w:rsid w:val="008B3B24"/>
    <w:pPr>
      <w:tabs>
        <w:tab w:val="clear" w:pos="975"/>
        <w:tab w:val="left" w:pos="1191"/>
      </w:tabs>
      <w:ind w:left="1190" w:hanging="357"/>
      <w:outlineLvl w:val="5"/>
    </w:pPr>
    <w:rPr>
      <w:b w:val="0"/>
      <w:i/>
    </w:rPr>
  </w:style>
  <w:style w:type="paragraph" w:styleId="Header">
    <w:name w:val="header"/>
    <w:basedOn w:val="NormalTimesNewRoman"/>
    <w:rsid w:val="008B3B24"/>
    <w:pPr>
      <w:tabs>
        <w:tab w:val="center" w:pos="3686"/>
        <w:tab w:val="right" w:pos="7371"/>
      </w:tabs>
    </w:pPr>
    <w:rPr>
      <w:sz w:val="18"/>
    </w:rPr>
  </w:style>
  <w:style w:type="character" w:styleId="PageNumber">
    <w:name w:val="page number"/>
    <w:rsid w:val="008B3B24"/>
    <w:rPr>
      <w:sz w:val="18"/>
    </w:rPr>
  </w:style>
  <w:style w:type="paragraph" w:customStyle="1" w:styleId="JuH">
    <w:name w:val="Ju_H_–"/>
    <w:basedOn w:val="JuHalpha"/>
    <w:next w:val="JuPara"/>
    <w:rsid w:val="008B3B24"/>
    <w:pPr>
      <w:tabs>
        <w:tab w:val="clear" w:pos="1372"/>
      </w:tabs>
      <w:ind w:left="1236" w:firstLine="0"/>
    </w:pPr>
    <w:rPr>
      <w:i/>
    </w:rPr>
  </w:style>
  <w:style w:type="paragraph" w:customStyle="1" w:styleId="JuHalpha">
    <w:name w:val="Ju_H_alpha"/>
    <w:basedOn w:val="JuHi"/>
    <w:next w:val="JuPara"/>
    <w:rsid w:val="008B3B24"/>
    <w:pPr>
      <w:tabs>
        <w:tab w:val="clear" w:pos="1191"/>
        <w:tab w:val="left" w:pos="1372"/>
      </w:tabs>
      <w:ind w:left="1373" w:hanging="335"/>
    </w:pPr>
    <w:rPr>
      <w:i w:val="0"/>
    </w:rPr>
  </w:style>
  <w:style w:type="paragraph" w:customStyle="1" w:styleId="JuLista">
    <w:name w:val="Ju_List_a"/>
    <w:basedOn w:val="JuList"/>
    <w:rsid w:val="008B3B24"/>
    <w:pPr>
      <w:ind w:left="346" w:firstLine="0"/>
    </w:pPr>
  </w:style>
  <w:style w:type="paragraph" w:customStyle="1" w:styleId="JuListi">
    <w:name w:val="Ju_List_i"/>
    <w:basedOn w:val="JuLista"/>
    <w:rsid w:val="008B3B24"/>
    <w:pPr>
      <w:ind w:left="794"/>
    </w:pPr>
  </w:style>
  <w:style w:type="character" w:styleId="CommentReference">
    <w:name w:val="annotation reference"/>
    <w:semiHidden/>
    <w:rsid w:val="008B3B24"/>
    <w:rPr>
      <w:sz w:val="16"/>
      <w:szCs w:val="16"/>
    </w:rPr>
  </w:style>
  <w:style w:type="paragraph" w:styleId="CommentText">
    <w:name w:val="annotation text"/>
    <w:basedOn w:val="Normal"/>
    <w:semiHidden/>
    <w:rsid w:val="008B3B24"/>
    <w:rPr>
      <w:sz w:val="20"/>
    </w:rPr>
  </w:style>
  <w:style w:type="paragraph" w:customStyle="1" w:styleId="JuInitialled">
    <w:name w:val="Ju_Initialled"/>
    <w:basedOn w:val="JuSigned"/>
    <w:rsid w:val="008B3B24"/>
    <w:pPr>
      <w:tabs>
        <w:tab w:val="clear" w:pos="851"/>
      </w:tabs>
      <w:jc w:val="right"/>
    </w:pPr>
  </w:style>
  <w:style w:type="paragraph" w:customStyle="1" w:styleId="JuHeader">
    <w:name w:val="Ju_Header"/>
    <w:basedOn w:val="Header"/>
    <w:rsid w:val="008B3B24"/>
  </w:style>
  <w:style w:type="paragraph" w:customStyle="1" w:styleId="DecHTitle">
    <w:name w:val="Dec_H_Title"/>
    <w:basedOn w:val="NormalTimesNewRoman"/>
    <w:rsid w:val="008B3B24"/>
    <w:pPr>
      <w:spacing w:after="240"/>
      <w:jc w:val="center"/>
      <w:outlineLvl w:val="0"/>
    </w:pPr>
    <w:rPr>
      <w:sz w:val="28"/>
    </w:rPr>
  </w:style>
  <w:style w:type="paragraph" w:customStyle="1" w:styleId="DecHCase">
    <w:name w:val="Dec_H_Case"/>
    <w:basedOn w:val="DecHTitle"/>
    <w:next w:val="JuPara"/>
    <w:rsid w:val="008B3B24"/>
    <w:rPr>
      <w:sz w:val="24"/>
    </w:rPr>
  </w:style>
  <w:style w:type="paragraph" w:customStyle="1" w:styleId="DecList">
    <w:name w:val="Dec_List"/>
    <w:basedOn w:val="NormalTimesNewRoman"/>
    <w:rsid w:val="008B3B24"/>
    <w:pPr>
      <w:spacing w:before="240"/>
      <w:ind w:left="284"/>
      <w:jc w:val="both"/>
    </w:pPr>
  </w:style>
  <w:style w:type="paragraph" w:customStyle="1" w:styleId="JuParaSub">
    <w:name w:val="Ju_Para_Sub"/>
    <w:basedOn w:val="JuPara"/>
    <w:rsid w:val="008B3B24"/>
    <w:pPr>
      <w:ind w:left="284"/>
    </w:pPr>
    <w:rPr>
      <w:szCs w:val="24"/>
    </w:rPr>
  </w:style>
  <w:style w:type="paragraph" w:customStyle="1" w:styleId="JuQuotSub">
    <w:name w:val="Ju_Quot_Sub"/>
    <w:basedOn w:val="JuQuot"/>
    <w:rsid w:val="008B3B24"/>
    <w:pPr>
      <w:ind w:left="567"/>
    </w:pPr>
  </w:style>
  <w:style w:type="paragraph" w:styleId="BalloonText">
    <w:name w:val="Balloon Text"/>
    <w:basedOn w:val="Normal"/>
    <w:semiHidden/>
    <w:rsid w:val="008B3B24"/>
    <w:rPr>
      <w:rFonts w:ascii="Tahoma" w:hAnsi="Tahoma" w:cs="Tahoma"/>
      <w:sz w:val="16"/>
      <w:szCs w:val="16"/>
    </w:rPr>
  </w:style>
  <w:style w:type="paragraph" w:styleId="CommentSubject">
    <w:name w:val="annotation subject"/>
    <w:basedOn w:val="CommentText"/>
    <w:next w:val="CommentText"/>
    <w:semiHidden/>
    <w:rsid w:val="008B3B24"/>
    <w:rPr>
      <w:b/>
      <w:bCs/>
    </w:rPr>
  </w:style>
  <w:style w:type="character" w:styleId="EndnoteReference">
    <w:name w:val="endnote reference"/>
    <w:semiHidden/>
    <w:rsid w:val="008B3B24"/>
    <w:rPr>
      <w:vertAlign w:val="superscript"/>
    </w:rPr>
  </w:style>
  <w:style w:type="paragraph" w:styleId="EndnoteText">
    <w:name w:val="endnote text"/>
    <w:basedOn w:val="Normal"/>
    <w:semiHidden/>
    <w:rsid w:val="008B3B24"/>
    <w:rPr>
      <w:sz w:val="20"/>
    </w:rPr>
  </w:style>
  <w:style w:type="character" w:styleId="FollowedHyperlink">
    <w:name w:val="FollowedHyperlink"/>
    <w:rsid w:val="008B3B24"/>
    <w:rPr>
      <w:color w:val="800080"/>
      <w:u w:val="single"/>
    </w:rPr>
  </w:style>
  <w:style w:type="paragraph" w:customStyle="1" w:styleId="SuCoverTitle1">
    <w:name w:val="Su_Cover_Title1"/>
    <w:basedOn w:val="NormalTimesNewRoman"/>
    <w:next w:val="SuCoverTitle2"/>
    <w:rsid w:val="008B3B24"/>
    <w:pPr>
      <w:spacing w:before="2500"/>
      <w:jc w:val="center"/>
    </w:pPr>
    <w:rPr>
      <w:sz w:val="22"/>
    </w:rPr>
  </w:style>
  <w:style w:type="paragraph" w:customStyle="1" w:styleId="SuCoverTitle2">
    <w:name w:val="Su_Cover_Title2"/>
    <w:basedOn w:val="SuCoverTitle1"/>
    <w:next w:val="Normal"/>
    <w:rsid w:val="008B3B24"/>
    <w:pPr>
      <w:spacing w:before="240"/>
    </w:pPr>
    <w:rPr>
      <w:sz w:val="18"/>
    </w:rPr>
  </w:style>
  <w:style w:type="paragraph" w:customStyle="1" w:styleId="SuPara">
    <w:name w:val="Su_Para"/>
    <w:basedOn w:val="SuKeywords"/>
    <w:rsid w:val="008B3B24"/>
    <w:pPr>
      <w:spacing w:before="0" w:after="0"/>
    </w:pPr>
    <w:rPr>
      <w:i w:val="0"/>
    </w:rPr>
  </w:style>
  <w:style w:type="paragraph" w:customStyle="1" w:styleId="SuKeywords">
    <w:name w:val="Su_Keywords"/>
    <w:basedOn w:val="SuHHead"/>
    <w:rsid w:val="008B3B24"/>
    <w:pPr>
      <w:spacing w:before="120"/>
    </w:pPr>
    <w:rPr>
      <w:b w:val="0"/>
      <w:i/>
    </w:rPr>
  </w:style>
  <w:style w:type="paragraph" w:customStyle="1" w:styleId="SuHHead">
    <w:name w:val="Su_H_Head"/>
    <w:basedOn w:val="SuSubject"/>
    <w:rsid w:val="008B3B24"/>
    <w:pPr>
      <w:spacing w:after="120"/>
    </w:pPr>
  </w:style>
  <w:style w:type="paragraph" w:customStyle="1" w:styleId="SuSubject">
    <w:name w:val="Su_Subject"/>
    <w:basedOn w:val="SuSummary"/>
    <w:rsid w:val="008B3B24"/>
    <w:pPr>
      <w:spacing w:before="360"/>
      <w:jc w:val="both"/>
    </w:pPr>
    <w:rPr>
      <w:b/>
      <w:sz w:val="22"/>
    </w:rPr>
  </w:style>
  <w:style w:type="paragraph" w:customStyle="1" w:styleId="SuSummary">
    <w:name w:val="Su_Summary"/>
    <w:basedOn w:val="NormalTimesNewRoman"/>
    <w:next w:val="SuSubject"/>
    <w:rsid w:val="008B3B24"/>
    <w:pPr>
      <w:spacing w:after="240"/>
      <w:jc w:val="center"/>
    </w:pPr>
  </w:style>
  <w:style w:type="paragraph" w:customStyle="1" w:styleId="OpiParaSub">
    <w:name w:val="Opi_Para_Sub"/>
    <w:basedOn w:val="JuParaSub"/>
    <w:rsid w:val="008B3B24"/>
  </w:style>
  <w:style w:type="paragraph" w:customStyle="1" w:styleId="OpiQuotSub">
    <w:name w:val="Opi_Quot_Sub"/>
    <w:basedOn w:val="JuQuotSub"/>
    <w:rsid w:val="008B3B24"/>
  </w:style>
  <w:style w:type="character" w:styleId="Hyperlink">
    <w:name w:val="Hyperlink"/>
    <w:rsid w:val="008B3B24"/>
    <w:rPr>
      <w:color w:val="0000FF"/>
      <w:u w:val="single"/>
    </w:rPr>
  </w:style>
  <w:style w:type="character" w:styleId="Strong">
    <w:name w:val="Strong"/>
    <w:qFormat/>
    <w:rsid w:val="008B3B24"/>
    <w:rPr>
      <w:b/>
      <w:bCs/>
    </w:rPr>
  </w:style>
  <w:style w:type="paragraph" w:styleId="DocumentMap">
    <w:name w:val="Document Map"/>
    <w:basedOn w:val="Normal"/>
    <w:semiHidden/>
    <w:rsid w:val="008B3B24"/>
    <w:pPr>
      <w:shd w:val="clear" w:color="auto" w:fill="000080"/>
    </w:pPr>
    <w:rPr>
      <w:rFonts w:ascii="Tahoma" w:hAnsi="Tahoma" w:cs="Tahoma"/>
      <w:sz w:val="20"/>
    </w:rPr>
  </w:style>
  <w:style w:type="character" w:customStyle="1" w:styleId="JuNames">
    <w:name w:val="Ju_Names"/>
    <w:rsid w:val="008B3B24"/>
    <w:rPr>
      <w:smallCaps/>
    </w:rPr>
  </w:style>
  <w:style w:type="paragraph" w:customStyle="1" w:styleId="NormalJustified">
    <w:name w:val="Normal_Justified"/>
    <w:basedOn w:val="NormalTimesNewRoman"/>
    <w:rsid w:val="008B3B24"/>
    <w:pPr>
      <w:jc w:val="both"/>
    </w:pPr>
  </w:style>
  <w:style w:type="paragraph" w:customStyle="1" w:styleId="JuAppQuestion">
    <w:name w:val="Ju_App_Question"/>
    <w:basedOn w:val="ListBullet"/>
    <w:rsid w:val="008B3B24"/>
    <w:pPr>
      <w:numPr>
        <w:numId w:val="3"/>
      </w:numPr>
    </w:pPr>
    <w:rPr>
      <w:b/>
      <w:color w:val="333333"/>
    </w:rPr>
  </w:style>
  <w:style w:type="paragraph" w:styleId="ListBullet">
    <w:name w:val="List Bullet"/>
    <w:basedOn w:val="NormalTimesNewRoman"/>
    <w:rsid w:val="008B3B24"/>
    <w:pPr>
      <w:numPr>
        <w:numId w:val="2"/>
      </w:numPr>
    </w:pPr>
  </w:style>
  <w:style w:type="paragraph" w:customStyle="1" w:styleId="NormalTimesNewRoman">
    <w:name w:val="Normal_TimesNewRoman"/>
    <w:rsid w:val="008B3B24"/>
    <w:rPr>
      <w:sz w:val="24"/>
      <w:lang w:val="en-GB" w:eastAsia="fr-FR"/>
    </w:rPr>
  </w:style>
  <w:style w:type="character" w:customStyle="1" w:styleId="JuITMark">
    <w:name w:val="Ju_ITMark"/>
    <w:rsid w:val="008B3B24"/>
    <w:rPr>
      <w:rFonts w:ascii="Times New Roman" w:hAnsi="Times New Roman"/>
      <w:vanish/>
      <w:color w:val="339966"/>
      <w:sz w:val="16"/>
      <w:szCs w:val="16"/>
      <w:lang w:val="en-GB"/>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sb8d990e2">
    <w:name w:val="sb8d990e2"/>
    <w:basedOn w:val="DefaultParagraphFont"/>
    <w:rsid w:val="00CF79A7"/>
  </w:style>
  <w:style w:type="character" w:customStyle="1" w:styleId="s6b621b36">
    <w:name w:val="s6b621b36"/>
    <w:basedOn w:val="DefaultParagraphFont"/>
    <w:rsid w:val="009429F0"/>
  </w:style>
  <w:style w:type="paragraph" w:customStyle="1" w:styleId="PubJuPara">
    <w:name w:val="Pub_Ju_Para"/>
    <w:basedOn w:val="NormalTimesNewRoman"/>
    <w:rsid w:val="008B3B24"/>
    <w:pPr>
      <w:ind w:firstLine="284"/>
      <w:jc w:val="both"/>
    </w:pPr>
  </w:style>
  <w:style w:type="paragraph" w:customStyle="1" w:styleId="PubJuQuot">
    <w:name w:val="Pub_Ju_Quot"/>
    <w:basedOn w:val="NormalTimesNewRoman"/>
    <w:rsid w:val="008B3B24"/>
    <w:pPr>
      <w:spacing w:before="120" w:after="120"/>
      <w:ind w:left="403" w:firstLine="176"/>
      <w:jc w:val="both"/>
    </w:pPr>
    <w:rPr>
      <w:sz w:val="20"/>
    </w:rPr>
  </w:style>
  <w:style w:type="paragraph" w:customStyle="1" w:styleId="PubListArticleSubject">
    <w:name w:val="Pub_List_ArticleSubject"/>
    <w:basedOn w:val="NormalTimesNewRoman"/>
    <w:rsid w:val="008B3B24"/>
    <w:pPr>
      <w:tabs>
        <w:tab w:val="left" w:pos="2977"/>
      </w:tabs>
      <w:ind w:left="2977" w:hanging="2977"/>
    </w:pPr>
  </w:style>
  <w:style w:type="paragraph" w:customStyle="1" w:styleId="PubListCaseNo">
    <w:name w:val="Pub_List_CaseNo"/>
    <w:basedOn w:val="NormalTimesNewRoman"/>
    <w:rsid w:val="008B3B24"/>
    <w:pPr>
      <w:tabs>
        <w:tab w:val="left" w:pos="1276"/>
      </w:tabs>
      <w:spacing w:line="288" w:lineRule="auto"/>
      <w:ind w:left="1276" w:hanging="1276"/>
    </w:pPr>
  </w:style>
  <w:style w:type="paragraph" w:customStyle="1" w:styleId="PubListCases">
    <w:name w:val="Pub_List_Cases"/>
    <w:basedOn w:val="NormalTimesNewRoman"/>
    <w:rsid w:val="008B3B24"/>
    <w:pPr>
      <w:spacing w:line="288" w:lineRule="auto"/>
    </w:pPr>
  </w:style>
  <w:style w:type="paragraph" w:customStyle="1" w:styleId="PubTextIntro">
    <w:name w:val="Pub_Text_Intro"/>
    <w:basedOn w:val="NormalTimesNewRoman"/>
    <w:rsid w:val="008B3B24"/>
    <w:pPr>
      <w:jc w:val="both"/>
    </w:pPr>
    <w:rPr>
      <w:i/>
      <w:sz w:val="20"/>
    </w:rPr>
  </w:style>
  <w:style w:type="paragraph" w:customStyle="1" w:styleId="PubTitleCover">
    <w:name w:val="Pub_Title_Cover"/>
    <w:basedOn w:val="NormalTimesNewRoman"/>
    <w:rsid w:val="008B3B24"/>
    <w:pPr>
      <w:spacing w:before="2500"/>
      <w:jc w:val="center"/>
    </w:pPr>
    <w:rPr>
      <w:b/>
      <w:smallCaps/>
      <w:sz w:val="30"/>
    </w:rPr>
  </w:style>
  <w:style w:type="paragraph" w:customStyle="1" w:styleId="PubTitle1Alpha">
    <w:name w:val="Pub_Title1_Alpha"/>
    <w:basedOn w:val="NormalTimesNewRoman"/>
    <w:next w:val="Normal"/>
    <w:rsid w:val="008B3B24"/>
    <w:pPr>
      <w:spacing w:after="120"/>
      <w:jc w:val="center"/>
    </w:pPr>
    <w:rPr>
      <w:b/>
      <w:smallCaps/>
      <w:sz w:val="30"/>
    </w:rPr>
  </w:style>
  <w:style w:type="paragraph" w:customStyle="1" w:styleId="PubTitle1IndexArticle">
    <w:name w:val="Pub_Title1_IndexArticle"/>
    <w:basedOn w:val="NormalTimesNewRoman"/>
    <w:rsid w:val="008B3B24"/>
    <w:pPr>
      <w:spacing w:after="120"/>
      <w:jc w:val="center"/>
    </w:pPr>
    <w:rPr>
      <w:b/>
      <w:smallCaps/>
      <w:sz w:val="30"/>
    </w:rPr>
  </w:style>
  <w:style w:type="paragraph" w:customStyle="1" w:styleId="PubTitle1IndexKey">
    <w:name w:val="Pub_Title1_IndexKey"/>
    <w:basedOn w:val="NormalTimesNewRoman"/>
    <w:rsid w:val="008B3B24"/>
    <w:pPr>
      <w:spacing w:after="600"/>
      <w:jc w:val="center"/>
    </w:pPr>
    <w:rPr>
      <w:b/>
      <w:smallCaps/>
      <w:sz w:val="30"/>
    </w:rPr>
  </w:style>
  <w:style w:type="paragraph" w:customStyle="1" w:styleId="PubTitle1Num">
    <w:name w:val="Pub_Title1_Num"/>
    <w:basedOn w:val="NormalTimesNewRoman"/>
    <w:next w:val="PubListCaseNo"/>
    <w:rsid w:val="008B3B24"/>
    <w:pPr>
      <w:spacing w:after="720"/>
      <w:jc w:val="center"/>
    </w:pPr>
    <w:rPr>
      <w:b/>
      <w:smallCaps/>
      <w:sz w:val="30"/>
    </w:rPr>
  </w:style>
  <w:style w:type="paragraph" w:customStyle="1" w:styleId="PubTitle2Country">
    <w:name w:val="Pub_Title2_Country"/>
    <w:basedOn w:val="NormalTimesNewRoman"/>
    <w:next w:val="PubListCases"/>
    <w:rsid w:val="008B3B24"/>
    <w:pPr>
      <w:keepNext/>
      <w:keepLines/>
      <w:spacing w:before="600" w:after="360"/>
    </w:pPr>
    <w:rPr>
      <w:b/>
    </w:rPr>
  </w:style>
  <w:style w:type="paragraph" w:customStyle="1" w:styleId="PubTitle2Letters">
    <w:name w:val="Pub_Title2_Letters"/>
    <w:basedOn w:val="NormalTimesNewRoman"/>
    <w:next w:val="PubListCases"/>
    <w:rsid w:val="008B3B24"/>
    <w:pPr>
      <w:keepNext/>
      <w:keepLines/>
      <w:spacing w:before="600" w:after="360"/>
    </w:pPr>
    <w:rPr>
      <w:b/>
      <w:sz w:val="28"/>
    </w:rPr>
  </w:style>
  <w:style w:type="paragraph" w:customStyle="1" w:styleId="PubTitle2Part">
    <w:name w:val="Pub_Title2_Part"/>
    <w:basedOn w:val="NormalTimesNewRoman"/>
    <w:rsid w:val="008B3B24"/>
    <w:pPr>
      <w:keepNext/>
      <w:keepLines/>
      <w:spacing w:before="600" w:after="240"/>
      <w:jc w:val="center"/>
    </w:pPr>
    <w:rPr>
      <w:b/>
      <w:caps/>
    </w:rPr>
  </w:style>
  <w:style w:type="paragraph" w:customStyle="1" w:styleId="PubTitle3Article">
    <w:name w:val="Pub_Title3_Article"/>
    <w:basedOn w:val="NormalTimesNewRoman"/>
    <w:rsid w:val="008B3B24"/>
    <w:pPr>
      <w:keepNext/>
      <w:keepLines/>
      <w:spacing w:before="360" w:after="120"/>
      <w:jc w:val="center"/>
    </w:pPr>
    <w:rPr>
      <w:b/>
      <w:smallCaps/>
      <w:sz w:val="22"/>
    </w:rPr>
  </w:style>
  <w:style w:type="paragraph" w:customStyle="1" w:styleId="PubTitle4ArticleSub">
    <w:name w:val="Pub_Title4_Article_Sub"/>
    <w:basedOn w:val="PubTitle3Article"/>
    <w:rsid w:val="008B3B24"/>
    <w:pPr>
      <w:spacing w:before="240"/>
    </w:pPr>
    <w:rPr>
      <w:smallCaps w:val="0"/>
      <w:sz w:val="20"/>
    </w:rPr>
  </w:style>
  <w:style w:type="paragraph" w:customStyle="1" w:styleId="PubTitle5Subject">
    <w:name w:val="Pub_Title5_Subject"/>
    <w:basedOn w:val="NormalTimesNewRoman"/>
    <w:rsid w:val="008B3B24"/>
    <w:pPr>
      <w:keepNext/>
      <w:keepLines/>
      <w:spacing w:before="240" w:after="120"/>
      <w:jc w:val="both"/>
    </w:pPr>
    <w:rPr>
      <w:b/>
      <w:i/>
    </w:rPr>
  </w:style>
  <w:style w:type="paragraph" w:customStyle="1" w:styleId="PubTitle6SubjectSub">
    <w:name w:val="Pub_Title6_Subject_Sub"/>
    <w:basedOn w:val="NormalTimesNewRoman"/>
    <w:rsid w:val="008B3B24"/>
    <w:pPr>
      <w:keepNext/>
      <w:keepLines/>
      <w:spacing w:before="240" w:after="120"/>
      <w:ind w:left="284"/>
      <w:jc w:val="both"/>
    </w:pPr>
    <w:rPr>
      <w:b/>
      <w:sz w:val="20"/>
    </w:rPr>
  </w:style>
  <w:style w:type="paragraph" w:customStyle="1" w:styleId="PubTitle7CaseName">
    <w:name w:val="Pub_Title7_CaseName"/>
    <w:basedOn w:val="NormalTimesNewRoman"/>
    <w:rsid w:val="008B3B24"/>
    <w:pPr>
      <w:keepLines/>
      <w:spacing w:after="240"/>
      <w:jc w:val="right"/>
    </w:pPr>
    <w:rPr>
      <w:sz w:val="22"/>
    </w:rPr>
  </w:style>
  <w:style w:type="numbering" w:styleId="111111">
    <w:name w:val="Outline List 2"/>
    <w:basedOn w:val="NoList"/>
    <w:rsid w:val="008B3B24"/>
    <w:pPr>
      <w:numPr>
        <w:numId w:val="7"/>
      </w:numPr>
    </w:pPr>
  </w:style>
  <w:style w:type="numbering" w:styleId="1ai">
    <w:name w:val="Outline List 1"/>
    <w:basedOn w:val="NoList"/>
    <w:rsid w:val="008B3B24"/>
    <w:pPr>
      <w:numPr>
        <w:numId w:val="8"/>
      </w:numPr>
    </w:pPr>
  </w:style>
  <w:style w:type="numbering" w:styleId="ArticleSection">
    <w:name w:val="Outline List 3"/>
    <w:basedOn w:val="NoList"/>
    <w:rsid w:val="008B3B24"/>
    <w:pPr>
      <w:numPr>
        <w:numId w:val="9"/>
      </w:numPr>
    </w:pPr>
  </w:style>
  <w:style w:type="paragraph" w:styleId="BlockText">
    <w:name w:val="Block Text"/>
    <w:basedOn w:val="Normal"/>
    <w:rsid w:val="008B3B24"/>
    <w:pPr>
      <w:spacing w:after="120"/>
      <w:ind w:left="1440" w:right="1440"/>
    </w:pPr>
  </w:style>
  <w:style w:type="paragraph" w:styleId="BodyText">
    <w:name w:val="Body Text"/>
    <w:basedOn w:val="Normal"/>
    <w:rsid w:val="008B3B24"/>
    <w:pPr>
      <w:spacing w:after="120"/>
    </w:pPr>
  </w:style>
  <w:style w:type="paragraph" w:styleId="BodyText2">
    <w:name w:val="Body Text 2"/>
    <w:basedOn w:val="Normal"/>
    <w:rsid w:val="008B3B24"/>
    <w:pPr>
      <w:spacing w:after="120" w:line="480" w:lineRule="auto"/>
    </w:pPr>
  </w:style>
  <w:style w:type="paragraph" w:styleId="BodyText3">
    <w:name w:val="Body Text 3"/>
    <w:basedOn w:val="Normal"/>
    <w:rsid w:val="008B3B24"/>
    <w:pPr>
      <w:spacing w:after="120"/>
    </w:pPr>
    <w:rPr>
      <w:sz w:val="16"/>
      <w:szCs w:val="16"/>
    </w:rPr>
  </w:style>
  <w:style w:type="paragraph" w:styleId="BodyTextFirstIndent">
    <w:name w:val="Body Text First Indent"/>
    <w:basedOn w:val="BodyText"/>
    <w:rsid w:val="008B3B24"/>
    <w:pPr>
      <w:ind w:firstLine="210"/>
    </w:pPr>
  </w:style>
  <w:style w:type="paragraph" w:styleId="BodyTextIndent">
    <w:name w:val="Body Text Indent"/>
    <w:basedOn w:val="Normal"/>
    <w:rsid w:val="008B3B24"/>
    <w:pPr>
      <w:spacing w:after="120"/>
      <w:ind w:left="283"/>
    </w:pPr>
  </w:style>
  <w:style w:type="paragraph" w:styleId="BodyTextFirstIndent2">
    <w:name w:val="Body Text First Indent 2"/>
    <w:basedOn w:val="BodyTextIndent"/>
    <w:rsid w:val="008B3B24"/>
    <w:pPr>
      <w:ind w:firstLine="210"/>
    </w:pPr>
  </w:style>
  <w:style w:type="paragraph" w:styleId="BodyTextIndent2">
    <w:name w:val="Body Text Indent 2"/>
    <w:basedOn w:val="Normal"/>
    <w:rsid w:val="008B3B24"/>
    <w:pPr>
      <w:spacing w:after="120" w:line="480" w:lineRule="auto"/>
      <w:ind w:left="283"/>
    </w:pPr>
  </w:style>
  <w:style w:type="paragraph" w:styleId="BodyTextIndent3">
    <w:name w:val="Body Text Indent 3"/>
    <w:basedOn w:val="Normal"/>
    <w:rsid w:val="008B3B24"/>
    <w:pPr>
      <w:spacing w:after="120"/>
      <w:ind w:left="283"/>
    </w:pPr>
    <w:rPr>
      <w:sz w:val="16"/>
      <w:szCs w:val="16"/>
    </w:rPr>
  </w:style>
  <w:style w:type="paragraph" w:styleId="Caption">
    <w:name w:val="caption"/>
    <w:basedOn w:val="Normal"/>
    <w:next w:val="Normal"/>
    <w:qFormat/>
    <w:rsid w:val="008B3B24"/>
    <w:rPr>
      <w:b/>
      <w:bCs/>
      <w:sz w:val="20"/>
    </w:rPr>
  </w:style>
  <w:style w:type="paragraph" w:styleId="Closing">
    <w:name w:val="Closing"/>
    <w:basedOn w:val="Normal"/>
    <w:rsid w:val="008B3B24"/>
    <w:pPr>
      <w:ind w:left="4252"/>
    </w:pPr>
  </w:style>
  <w:style w:type="paragraph" w:styleId="Date">
    <w:name w:val="Date"/>
    <w:basedOn w:val="Normal"/>
    <w:next w:val="Normal"/>
    <w:rsid w:val="008B3B24"/>
  </w:style>
  <w:style w:type="paragraph" w:styleId="E-mailSignature">
    <w:name w:val="E-mail Signature"/>
    <w:basedOn w:val="Normal"/>
    <w:rsid w:val="008B3B24"/>
  </w:style>
  <w:style w:type="character" w:styleId="Emphasis">
    <w:name w:val="Emphasis"/>
    <w:qFormat/>
    <w:rsid w:val="008B3B24"/>
    <w:rPr>
      <w:i/>
      <w:iCs/>
    </w:rPr>
  </w:style>
  <w:style w:type="paragraph" w:styleId="EnvelopeAddress">
    <w:name w:val="envelope address"/>
    <w:basedOn w:val="Normal"/>
    <w:rsid w:val="008B3B24"/>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8B3B24"/>
    <w:rPr>
      <w:rFonts w:ascii="Arial" w:hAnsi="Arial" w:cs="Arial"/>
      <w:sz w:val="20"/>
    </w:rPr>
  </w:style>
  <w:style w:type="character" w:styleId="HTMLAcronym">
    <w:name w:val="HTML Acronym"/>
    <w:basedOn w:val="DefaultParagraphFont"/>
    <w:rsid w:val="008B3B24"/>
  </w:style>
  <w:style w:type="paragraph" w:styleId="HTMLAddress">
    <w:name w:val="HTML Address"/>
    <w:basedOn w:val="Normal"/>
    <w:rsid w:val="008B3B24"/>
    <w:rPr>
      <w:i/>
      <w:iCs/>
    </w:rPr>
  </w:style>
  <w:style w:type="character" w:styleId="HTMLCite">
    <w:name w:val="HTML Cite"/>
    <w:rsid w:val="008B3B24"/>
    <w:rPr>
      <w:i/>
      <w:iCs/>
    </w:rPr>
  </w:style>
  <w:style w:type="character" w:styleId="HTMLCode">
    <w:name w:val="HTML Code"/>
    <w:rsid w:val="008B3B24"/>
    <w:rPr>
      <w:rFonts w:ascii="Courier New" w:hAnsi="Courier New" w:cs="Courier New"/>
      <w:sz w:val="20"/>
      <w:szCs w:val="20"/>
    </w:rPr>
  </w:style>
  <w:style w:type="character" w:styleId="HTMLDefinition">
    <w:name w:val="HTML Definition"/>
    <w:rsid w:val="008B3B24"/>
    <w:rPr>
      <w:i/>
      <w:iCs/>
    </w:rPr>
  </w:style>
  <w:style w:type="character" w:styleId="HTMLKeyboard">
    <w:name w:val="HTML Keyboard"/>
    <w:rsid w:val="008B3B24"/>
    <w:rPr>
      <w:rFonts w:ascii="Courier New" w:hAnsi="Courier New" w:cs="Courier New"/>
      <w:sz w:val="20"/>
      <w:szCs w:val="20"/>
    </w:rPr>
  </w:style>
  <w:style w:type="paragraph" w:styleId="HTMLPreformatted">
    <w:name w:val="HTML Preformatted"/>
    <w:basedOn w:val="Normal"/>
    <w:rsid w:val="008B3B24"/>
    <w:rPr>
      <w:rFonts w:ascii="Courier New" w:hAnsi="Courier New" w:cs="Courier New"/>
      <w:sz w:val="20"/>
    </w:rPr>
  </w:style>
  <w:style w:type="character" w:styleId="HTMLSample">
    <w:name w:val="HTML Sample"/>
    <w:rsid w:val="008B3B24"/>
    <w:rPr>
      <w:rFonts w:ascii="Courier New" w:hAnsi="Courier New" w:cs="Courier New"/>
    </w:rPr>
  </w:style>
  <w:style w:type="character" w:styleId="HTMLTypewriter">
    <w:name w:val="HTML Typewriter"/>
    <w:rsid w:val="008B3B24"/>
    <w:rPr>
      <w:rFonts w:ascii="Courier New" w:hAnsi="Courier New" w:cs="Courier New"/>
      <w:sz w:val="20"/>
      <w:szCs w:val="20"/>
    </w:rPr>
  </w:style>
  <w:style w:type="character" w:styleId="HTMLVariable">
    <w:name w:val="HTML Variable"/>
    <w:rsid w:val="008B3B24"/>
    <w:rPr>
      <w:i/>
      <w:iCs/>
    </w:rPr>
  </w:style>
  <w:style w:type="paragraph" w:styleId="Index1">
    <w:name w:val="index 1"/>
    <w:basedOn w:val="Normal"/>
    <w:next w:val="Normal"/>
    <w:autoRedefine/>
    <w:semiHidden/>
    <w:rsid w:val="008B3B24"/>
    <w:pPr>
      <w:ind w:left="240" w:hanging="240"/>
    </w:pPr>
  </w:style>
  <w:style w:type="paragraph" w:styleId="Index2">
    <w:name w:val="index 2"/>
    <w:basedOn w:val="Normal"/>
    <w:next w:val="Normal"/>
    <w:autoRedefine/>
    <w:semiHidden/>
    <w:rsid w:val="008B3B24"/>
    <w:pPr>
      <w:ind w:left="480" w:hanging="240"/>
    </w:pPr>
  </w:style>
  <w:style w:type="paragraph" w:styleId="Index3">
    <w:name w:val="index 3"/>
    <w:basedOn w:val="Normal"/>
    <w:next w:val="Normal"/>
    <w:autoRedefine/>
    <w:semiHidden/>
    <w:rsid w:val="008B3B24"/>
    <w:pPr>
      <w:ind w:left="720" w:hanging="240"/>
    </w:pPr>
  </w:style>
  <w:style w:type="paragraph" w:styleId="Index4">
    <w:name w:val="index 4"/>
    <w:basedOn w:val="Normal"/>
    <w:next w:val="Normal"/>
    <w:autoRedefine/>
    <w:semiHidden/>
    <w:rsid w:val="008B3B24"/>
    <w:pPr>
      <w:ind w:left="960" w:hanging="240"/>
    </w:pPr>
  </w:style>
  <w:style w:type="paragraph" w:styleId="Index5">
    <w:name w:val="index 5"/>
    <w:basedOn w:val="Normal"/>
    <w:next w:val="Normal"/>
    <w:autoRedefine/>
    <w:semiHidden/>
    <w:rsid w:val="008B3B24"/>
    <w:pPr>
      <w:ind w:left="1200" w:hanging="240"/>
    </w:pPr>
  </w:style>
  <w:style w:type="paragraph" w:styleId="Index6">
    <w:name w:val="index 6"/>
    <w:basedOn w:val="Normal"/>
    <w:next w:val="Normal"/>
    <w:autoRedefine/>
    <w:semiHidden/>
    <w:rsid w:val="008B3B24"/>
    <w:pPr>
      <w:ind w:left="1440" w:hanging="240"/>
    </w:pPr>
  </w:style>
  <w:style w:type="paragraph" w:styleId="Index7">
    <w:name w:val="index 7"/>
    <w:basedOn w:val="Normal"/>
    <w:next w:val="Normal"/>
    <w:autoRedefine/>
    <w:semiHidden/>
    <w:rsid w:val="008B3B24"/>
    <w:pPr>
      <w:ind w:left="1680" w:hanging="240"/>
    </w:pPr>
  </w:style>
  <w:style w:type="paragraph" w:styleId="Index8">
    <w:name w:val="index 8"/>
    <w:basedOn w:val="Normal"/>
    <w:next w:val="Normal"/>
    <w:autoRedefine/>
    <w:semiHidden/>
    <w:rsid w:val="008B3B24"/>
    <w:pPr>
      <w:ind w:left="1920" w:hanging="240"/>
    </w:pPr>
  </w:style>
  <w:style w:type="paragraph" w:styleId="Index9">
    <w:name w:val="index 9"/>
    <w:basedOn w:val="Normal"/>
    <w:next w:val="Normal"/>
    <w:autoRedefine/>
    <w:semiHidden/>
    <w:rsid w:val="008B3B24"/>
    <w:pPr>
      <w:ind w:left="2160" w:hanging="240"/>
    </w:pPr>
  </w:style>
  <w:style w:type="paragraph" w:styleId="IndexHeading">
    <w:name w:val="index heading"/>
    <w:basedOn w:val="Normal"/>
    <w:next w:val="Index1"/>
    <w:semiHidden/>
    <w:rsid w:val="008B3B24"/>
    <w:rPr>
      <w:rFonts w:ascii="Arial" w:hAnsi="Arial" w:cs="Arial"/>
      <w:b/>
      <w:bCs/>
    </w:rPr>
  </w:style>
  <w:style w:type="character" w:styleId="LineNumber">
    <w:name w:val="line number"/>
    <w:basedOn w:val="DefaultParagraphFont"/>
    <w:rsid w:val="008B3B24"/>
  </w:style>
  <w:style w:type="paragraph" w:styleId="List">
    <w:name w:val="List"/>
    <w:basedOn w:val="Normal"/>
    <w:rsid w:val="008B3B24"/>
    <w:pPr>
      <w:ind w:left="283" w:hanging="283"/>
    </w:pPr>
  </w:style>
  <w:style w:type="paragraph" w:styleId="List2">
    <w:name w:val="List 2"/>
    <w:basedOn w:val="Normal"/>
    <w:rsid w:val="008B3B24"/>
    <w:pPr>
      <w:ind w:left="566" w:hanging="283"/>
    </w:pPr>
  </w:style>
  <w:style w:type="paragraph" w:styleId="List3">
    <w:name w:val="List 3"/>
    <w:basedOn w:val="Normal"/>
    <w:rsid w:val="008B3B24"/>
    <w:pPr>
      <w:ind w:left="849" w:hanging="283"/>
    </w:pPr>
  </w:style>
  <w:style w:type="paragraph" w:styleId="List4">
    <w:name w:val="List 4"/>
    <w:basedOn w:val="Normal"/>
    <w:rsid w:val="008B3B24"/>
    <w:pPr>
      <w:ind w:left="1132" w:hanging="283"/>
    </w:pPr>
  </w:style>
  <w:style w:type="paragraph" w:styleId="List5">
    <w:name w:val="List 5"/>
    <w:basedOn w:val="Normal"/>
    <w:rsid w:val="008B3B24"/>
    <w:pPr>
      <w:ind w:left="1415" w:hanging="283"/>
    </w:pPr>
  </w:style>
  <w:style w:type="paragraph" w:styleId="ListBullet2">
    <w:name w:val="List Bullet 2"/>
    <w:basedOn w:val="Normal"/>
    <w:rsid w:val="008B3B24"/>
    <w:pPr>
      <w:numPr>
        <w:numId w:val="10"/>
      </w:numPr>
    </w:pPr>
  </w:style>
  <w:style w:type="paragraph" w:styleId="ListBullet3">
    <w:name w:val="List Bullet 3"/>
    <w:basedOn w:val="Normal"/>
    <w:rsid w:val="008B3B24"/>
    <w:pPr>
      <w:numPr>
        <w:numId w:val="11"/>
      </w:numPr>
    </w:pPr>
  </w:style>
  <w:style w:type="paragraph" w:styleId="ListBullet4">
    <w:name w:val="List Bullet 4"/>
    <w:basedOn w:val="Normal"/>
    <w:rsid w:val="008B3B24"/>
    <w:pPr>
      <w:numPr>
        <w:numId w:val="12"/>
      </w:numPr>
    </w:pPr>
  </w:style>
  <w:style w:type="paragraph" w:styleId="ListBullet5">
    <w:name w:val="List Bullet 5"/>
    <w:basedOn w:val="Normal"/>
    <w:rsid w:val="008B3B24"/>
    <w:pPr>
      <w:numPr>
        <w:numId w:val="13"/>
      </w:numPr>
    </w:pPr>
  </w:style>
  <w:style w:type="paragraph" w:styleId="ListContinue">
    <w:name w:val="List Continue"/>
    <w:basedOn w:val="Normal"/>
    <w:rsid w:val="008B3B24"/>
    <w:pPr>
      <w:spacing w:after="120"/>
      <w:ind w:left="283"/>
    </w:pPr>
  </w:style>
  <w:style w:type="paragraph" w:styleId="ListContinue2">
    <w:name w:val="List Continue 2"/>
    <w:basedOn w:val="Normal"/>
    <w:rsid w:val="008B3B24"/>
    <w:pPr>
      <w:spacing w:after="120"/>
      <w:ind w:left="566"/>
    </w:pPr>
  </w:style>
  <w:style w:type="paragraph" w:styleId="ListContinue3">
    <w:name w:val="List Continue 3"/>
    <w:basedOn w:val="Normal"/>
    <w:rsid w:val="008B3B24"/>
    <w:pPr>
      <w:spacing w:after="120"/>
      <w:ind w:left="849"/>
    </w:pPr>
  </w:style>
  <w:style w:type="paragraph" w:styleId="ListContinue4">
    <w:name w:val="List Continue 4"/>
    <w:basedOn w:val="Normal"/>
    <w:rsid w:val="008B3B24"/>
    <w:pPr>
      <w:spacing w:after="120"/>
      <w:ind w:left="1132"/>
    </w:pPr>
  </w:style>
  <w:style w:type="paragraph" w:styleId="ListContinue5">
    <w:name w:val="List Continue 5"/>
    <w:basedOn w:val="Normal"/>
    <w:rsid w:val="008B3B24"/>
    <w:pPr>
      <w:spacing w:after="120"/>
      <w:ind w:left="1415"/>
    </w:pPr>
  </w:style>
  <w:style w:type="paragraph" w:styleId="ListNumber">
    <w:name w:val="List Number"/>
    <w:basedOn w:val="Normal"/>
    <w:rsid w:val="008B3B24"/>
    <w:pPr>
      <w:numPr>
        <w:numId w:val="14"/>
      </w:numPr>
    </w:pPr>
  </w:style>
  <w:style w:type="paragraph" w:styleId="ListNumber2">
    <w:name w:val="List Number 2"/>
    <w:basedOn w:val="Normal"/>
    <w:rsid w:val="008B3B24"/>
    <w:pPr>
      <w:numPr>
        <w:numId w:val="15"/>
      </w:numPr>
    </w:pPr>
  </w:style>
  <w:style w:type="paragraph" w:styleId="ListNumber3">
    <w:name w:val="List Number 3"/>
    <w:basedOn w:val="Normal"/>
    <w:rsid w:val="008B3B24"/>
    <w:pPr>
      <w:numPr>
        <w:numId w:val="16"/>
      </w:numPr>
    </w:pPr>
  </w:style>
  <w:style w:type="paragraph" w:styleId="ListNumber4">
    <w:name w:val="List Number 4"/>
    <w:basedOn w:val="Normal"/>
    <w:rsid w:val="008B3B24"/>
    <w:pPr>
      <w:numPr>
        <w:numId w:val="17"/>
      </w:numPr>
    </w:pPr>
  </w:style>
  <w:style w:type="paragraph" w:styleId="ListNumber5">
    <w:name w:val="List Number 5"/>
    <w:basedOn w:val="Normal"/>
    <w:rsid w:val="008B3B24"/>
    <w:pPr>
      <w:numPr>
        <w:numId w:val="18"/>
      </w:numPr>
    </w:pPr>
  </w:style>
  <w:style w:type="paragraph" w:styleId="MacroText">
    <w:name w:val="macro"/>
    <w:semiHidden/>
    <w:rsid w:val="008B3B24"/>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8B3B2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8B3B24"/>
    <w:rPr>
      <w:szCs w:val="24"/>
    </w:rPr>
  </w:style>
  <w:style w:type="paragraph" w:styleId="NormalIndent">
    <w:name w:val="Normal Indent"/>
    <w:basedOn w:val="Normal"/>
    <w:rsid w:val="008B3B24"/>
    <w:pPr>
      <w:ind w:left="720"/>
    </w:pPr>
  </w:style>
  <w:style w:type="paragraph" w:styleId="NoteHeading">
    <w:name w:val="Note Heading"/>
    <w:basedOn w:val="Normal"/>
    <w:next w:val="Normal"/>
    <w:rsid w:val="008B3B24"/>
  </w:style>
  <w:style w:type="paragraph" w:styleId="PlainText">
    <w:name w:val="Plain Text"/>
    <w:basedOn w:val="Normal"/>
    <w:rsid w:val="008B3B24"/>
    <w:rPr>
      <w:rFonts w:ascii="Courier New" w:hAnsi="Courier New" w:cs="Courier New"/>
      <w:sz w:val="20"/>
    </w:rPr>
  </w:style>
  <w:style w:type="paragraph" w:styleId="Salutation">
    <w:name w:val="Salutation"/>
    <w:basedOn w:val="Normal"/>
    <w:next w:val="Normal"/>
    <w:rsid w:val="008B3B24"/>
  </w:style>
  <w:style w:type="paragraph" w:styleId="Signature">
    <w:name w:val="Signature"/>
    <w:basedOn w:val="Normal"/>
    <w:rsid w:val="008B3B24"/>
    <w:pPr>
      <w:ind w:left="4252"/>
    </w:pPr>
  </w:style>
  <w:style w:type="paragraph" w:styleId="Subtitle">
    <w:name w:val="Subtitle"/>
    <w:basedOn w:val="Normal"/>
    <w:qFormat/>
    <w:rsid w:val="008B3B24"/>
    <w:pPr>
      <w:spacing w:after="60"/>
      <w:jc w:val="center"/>
      <w:outlineLvl w:val="1"/>
    </w:pPr>
    <w:rPr>
      <w:rFonts w:ascii="Arial" w:hAnsi="Arial" w:cs="Arial"/>
      <w:szCs w:val="24"/>
    </w:rPr>
  </w:style>
  <w:style w:type="table" w:styleId="Table3Deffects1">
    <w:name w:val="Table 3D effects 1"/>
    <w:basedOn w:val="TableNormal"/>
    <w:rsid w:val="008B3B24"/>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B3B24"/>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B3B24"/>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B3B24"/>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B3B24"/>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B3B24"/>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B3B24"/>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B3B24"/>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B3B24"/>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B3B24"/>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B3B24"/>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B3B24"/>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B3B24"/>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B3B24"/>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B3B24"/>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B3B24"/>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B3B24"/>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B3B2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B3B24"/>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B3B24"/>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B3B24"/>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B3B24"/>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B3B24"/>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B3B24"/>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B3B24"/>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B3B24"/>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B3B24"/>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B3B24"/>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B3B24"/>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B3B24"/>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B3B24"/>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B3B24"/>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B3B24"/>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B3B24"/>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B3B24"/>
    <w:pPr>
      <w:ind w:left="240" w:hanging="240"/>
    </w:pPr>
  </w:style>
  <w:style w:type="paragraph" w:styleId="TableofFigures">
    <w:name w:val="table of figures"/>
    <w:basedOn w:val="Normal"/>
    <w:next w:val="Normal"/>
    <w:semiHidden/>
    <w:rsid w:val="008B3B24"/>
  </w:style>
  <w:style w:type="table" w:styleId="TableProfessional">
    <w:name w:val="Table Professional"/>
    <w:basedOn w:val="TableNormal"/>
    <w:rsid w:val="008B3B24"/>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B3B24"/>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B3B24"/>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B3B24"/>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B3B24"/>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3B24"/>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B3B2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B3B24"/>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B3B24"/>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B3B24"/>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B3B2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B3B24"/>
    <w:pPr>
      <w:spacing w:before="120"/>
    </w:pPr>
    <w:rPr>
      <w:rFonts w:ascii="Arial" w:hAnsi="Arial" w:cs="Arial"/>
      <w:b/>
      <w:bCs/>
      <w:szCs w:val="24"/>
    </w:rPr>
  </w:style>
  <w:style w:type="paragraph" w:styleId="TOC1">
    <w:name w:val="toc 1"/>
    <w:basedOn w:val="Normal"/>
    <w:next w:val="Normal"/>
    <w:autoRedefine/>
    <w:semiHidden/>
    <w:rsid w:val="008B3B24"/>
  </w:style>
  <w:style w:type="paragraph" w:styleId="TOC2">
    <w:name w:val="toc 2"/>
    <w:basedOn w:val="Normal"/>
    <w:next w:val="Normal"/>
    <w:autoRedefine/>
    <w:semiHidden/>
    <w:rsid w:val="008B3B24"/>
    <w:pPr>
      <w:ind w:left="240"/>
    </w:pPr>
  </w:style>
  <w:style w:type="paragraph" w:styleId="TOC3">
    <w:name w:val="toc 3"/>
    <w:basedOn w:val="Normal"/>
    <w:next w:val="Normal"/>
    <w:autoRedefine/>
    <w:semiHidden/>
    <w:rsid w:val="008B3B24"/>
    <w:pPr>
      <w:ind w:left="480"/>
    </w:pPr>
  </w:style>
  <w:style w:type="paragraph" w:styleId="TOC4">
    <w:name w:val="toc 4"/>
    <w:basedOn w:val="Normal"/>
    <w:next w:val="Normal"/>
    <w:autoRedefine/>
    <w:semiHidden/>
    <w:rsid w:val="008B3B24"/>
    <w:pPr>
      <w:ind w:left="720"/>
    </w:pPr>
  </w:style>
  <w:style w:type="paragraph" w:styleId="TOC5">
    <w:name w:val="toc 5"/>
    <w:basedOn w:val="Normal"/>
    <w:next w:val="Normal"/>
    <w:autoRedefine/>
    <w:semiHidden/>
    <w:rsid w:val="008B3B24"/>
    <w:pPr>
      <w:ind w:left="960"/>
    </w:pPr>
  </w:style>
  <w:style w:type="paragraph" w:styleId="TOC6">
    <w:name w:val="toc 6"/>
    <w:basedOn w:val="Normal"/>
    <w:next w:val="Normal"/>
    <w:autoRedefine/>
    <w:semiHidden/>
    <w:rsid w:val="008B3B24"/>
    <w:pPr>
      <w:ind w:left="1200"/>
    </w:pPr>
  </w:style>
  <w:style w:type="paragraph" w:styleId="TOC7">
    <w:name w:val="toc 7"/>
    <w:basedOn w:val="Normal"/>
    <w:next w:val="Normal"/>
    <w:autoRedefine/>
    <w:semiHidden/>
    <w:rsid w:val="008B3B24"/>
    <w:pPr>
      <w:ind w:left="1440"/>
    </w:pPr>
  </w:style>
  <w:style w:type="paragraph" w:styleId="TOC8">
    <w:name w:val="toc 8"/>
    <w:basedOn w:val="Normal"/>
    <w:next w:val="Normal"/>
    <w:autoRedefine/>
    <w:semiHidden/>
    <w:rsid w:val="008B3B24"/>
    <w:pPr>
      <w:ind w:left="1680"/>
    </w:pPr>
  </w:style>
  <w:style w:type="paragraph" w:styleId="TOC9">
    <w:name w:val="toc 9"/>
    <w:basedOn w:val="Normal"/>
    <w:next w:val="Normal"/>
    <w:autoRedefine/>
    <w:semiHidden/>
    <w:rsid w:val="008B3B24"/>
    <w:pPr>
      <w:ind w:left="1920"/>
    </w:pPr>
  </w:style>
  <w:style w:type="table" w:customStyle="1" w:styleId="ECHRHeaderTable">
    <w:name w:val="ECHR_Header_Table"/>
    <w:basedOn w:val="TableGrid"/>
    <w:rsid w:val="008B3B24"/>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 w:type="character" w:customStyle="1" w:styleId="ju--005fpara----char--char">
    <w:name w:val="ju--005fpara----char--char"/>
    <w:basedOn w:val="DefaultParagraphFont"/>
    <w:rsid w:val="00FA78BB"/>
  </w:style>
  <w:style w:type="character" w:customStyle="1" w:styleId="ju-005fpara--char">
    <w:name w:val="ju-005fpara--char"/>
    <w:basedOn w:val="DefaultParagraphFont"/>
    <w:rsid w:val="00FA78BB"/>
  </w:style>
  <w:style w:type="character" w:customStyle="1" w:styleId="normal--char">
    <w:name w:val="normal--char"/>
    <w:basedOn w:val="DefaultParagraphFont"/>
    <w:rsid w:val="00FA78BB"/>
  </w:style>
  <w:style w:type="character" w:customStyle="1" w:styleId="wordhighlighted">
    <w:name w:val="wordhighlighted"/>
    <w:basedOn w:val="DefaultParagraphFont"/>
    <w:rsid w:val="00CA02AF"/>
  </w:style>
  <w:style w:type="character" w:customStyle="1" w:styleId="column04">
    <w:name w:val="column04"/>
    <w:basedOn w:val="DefaultParagraphFont"/>
    <w:rsid w:val="002710C6"/>
  </w:style>
  <w:style w:type="character" w:customStyle="1" w:styleId="s85f22697">
    <w:name w:val="s85f22697"/>
    <w:basedOn w:val="DefaultParagraphFont"/>
    <w:rsid w:val="002710C6"/>
  </w:style>
  <w:style w:type="character" w:customStyle="1" w:styleId="sf97c7c07">
    <w:name w:val="sf97c7c07"/>
    <w:basedOn w:val="DefaultParagraphFont"/>
    <w:rsid w:val="002710C6"/>
  </w:style>
  <w:style w:type="paragraph" w:customStyle="1" w:styleId="jupara0">
    <w:name w:val="jupara"/>
    <w:basedOn w:val="Normal"/>
    <w:rsid w:val="006545FA"/>
    <w:pPr>
      <w:suppressAutoHyphens w:val="0"/>
      <w:ind w:firstLine="284"/>
      <w:jc w:val="both"/>
    </w:pPr>
    <w:rPr>
      <w:szCs w:val="24"/>
      <w:lang w:eastAsia="en-GB"/>
    </w:rPr>
  </w:style>
  <w:style w:type="paragraph" w:customStyle="1" w:styleId="jucase0">
    <w:name w:val="jucase"/>
    <w:basedOn w:val="Normal"/>
    <w:rsid w:val="006545FA"/>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1026952993">
      <w:bodyDiv w:val="1"/>
      <w:marLeft w:val="0"/>
      <w:marRight w:val="0"/>
      <w:marTop w:val="0"/>
      <w:marBottom w:val="0"/>
      <w:divBdr>
        <w:top w:val="none" w:sz="0" w:space="0" w:color="auto"/>
        <w:left w:val="none" w:sz="0" w:space="0" w:color="auto"/>
        <w:bottom w:val="none" w:sz="0" w:space="0" w:color="auto"/>
        <w:right w:val="none" w:sz="0" w:space="0" w:color="auto"/>
      </w:divBdr>
    </w:div>
    <w:div w:id="103469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3F86EA-A2C7-44E1-A555-D16FF3FCA6EA}">
  <ds:schemaRefs>
    <ds:schemaRef ds:uri="http://schemas.openxmlformats.org/officeDocument/2006/bibliography"/>
  </ds:schemaRefs>
</ds:datastoreItem>
</file>

<file path=customXml/itemProps2.xml><?xml version="1.0" encoding="utf-8"?>
<ds:datastoreItem xmlns:ds="http://schemas.openxmlformats.org/officeDocument/2006/customXml" ds:itemID="{FE40E6FA-B3AB-4BE1-9E6A-A93E5A08D932}"/>
</file>

<file path=customXml/itemProps3.xml><?xml version="1.0" encoding="utf-8"?>
<ds:datastoreItem xmlns:ds="http://schemas.openxmlformats.org/officeDocument/2006/customXml" ds:itemID="{B1E2032C-5F5F-4B60-A12D-8EF290C8395A}"/>
</file>

<file path=customXml/itemProps4.xml><?xml version="1.0" encoding="utf-8"?>
<ds:datastoreItem xmlns:ds="http://schemas.openxmlformats.org/officeDocument/2006/customXml" ds:itemID="{A20EA6E2-91CD-4E8A-824E-692EEC0F56DE}"/>
</file>

<file path=docProps/app.xml><?xml version="1.0" encoding="utf-8"?>
<Properties xmlns="http://schemas.openxmlformats.org/officeDocument/2006/extended-properties" xmlns:vt="http://schemas.openxmlformats.org/officeDocument/2006/docPropsVTypes">
  <Template>Normal.dotm</Template>
  <TotalTime>0</TotalTime>
  <Pages>1</Pages>
  <Words>8155</Words>
  <Characters>46488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2013-03-21T13:50:00Z</cp:lastPrinted>
  <dcterms:created xsi:type="dcterms:W3CDTF">2022-01-03T09:26:00Z</dcterms:created>
  <dcterms:modified xsi:type="dcterms:W3CDTF">2022-01-03T09:26:00Z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