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FCE" w:rsidP="00E4189F" w:rsidRDefault="00DE6FCE">
      <w:pPr>
        <w:jc w:val="center"/>
      </w:pPr>
      <w:bookmarkStart w:name="_GoBack" w:id="0"/>
      <w:bookmarkEnd w:id="0"/>
    </w:p>
    <w:p w:rsidR="00DE6FCE" w:rsidP="00E4189F" w:rsidRDefault="00DE6FCE">
      <w:pPr>
        <w:jc w:val="center"/>
      </w:pPr>
    </w:p>
    <w:p w:rsidRPr="00445083" w:rsidR="00CD49A7" w:rsidP="00E4189F" w:rsidRDefault="00CD49A7">
      <w:pPr>
        <w:jc w:val="center"/>
      </w:pPr>
    </w:p>
    <w:p w:rsidRPr="00445083" w:rsidR="00CD49A7" w:rsidP="00E4189F" w:rsidRDefault="00445083">
      <w:pPr>
        <w:jc w:val="center"/>
      </w:pPr>
      <w:r w:rsidRPr="00445083">
        <w:t>THIRD SECTION</w:t>
      </w:r>
    </w:p>
    <w:p w:rsidR="00DE6FCE" w:rsidP="00E4189F" w:rsidRDefault="00DE6FCE">
      <w:pPr>
        <w:jc w:val="center"/>
      </w:pPr>
    </w:p>
    <w:p w:rsidR="00DE6FCE" w:rsidP="00E4189F" w:rsidRDefault="00DE6FCE">
      <w:pPr>
        <w:jc w:val="center"/>
      </w:pPr>
    </w:p>
    <w:p w:rsidR="00DE6FCE" w:rsidP="00E4189F" w:rsidRDefault="00DE6FCE">
      <w:pPr>
        <w:jc w:val="center"/>
      </w:pPr>
    </w:p>
    <w:p w:rsidR="00DE6FCE" w:rsidP="00E4189F" w:rsidRDefault="00DE6FCE">
      <w:pPr>
        <w:jc w:val="center"/>
      </w:pPr>
    </w:p>
    <w:p w:rsidRPr="00445083" w:rsidR="00CD49A7" w:rsidP="00E4189F" w:rsidRDefault="00CD49A7">
      <w:pPr>
        <w:jc w:val="center"/>
      </w:pPr>
    </w:p>
    <w:p w:rsidRPr="00445083" w:rsidR="00CD49A7" w:rsidP="00E4189F" w:rsidRDefault="00CD49A7">
      <w:pPr>
        <w:jc w:val="center"/>
        <w:rPr>
          <w:b/>
        </w:rPr>
      </w:pPr>
      <w:bookmarkStart w:name="To" w:id="1"/>
      <w:r w:rsidRPr="00445083">
        <w:rPr>
          <w:b/>
        </w:rPr>
        <w:t xml:space="preserve">CASE OF </w:t>
      </w:r>
      <w:bookmarkEnd w:id="1"/>
      <w:r w:rsidR="00233636">
        <w:rPr>
          <w:b/>
        </w:rPr>
        <w:t xml:space="preserve">VITO SANTE </w:t>
      </w:r>
      <w:r w:rsidRPr="00445083" w:rsidR="00445083">
        <w:rPr>
          <w:b/>
        </w:rPr>
        <w:t xml:space="preserve">SANTORO v. </w:t>
      </w:r>
      <w:smartTag w:uri="urn:schemas-microsoft-com:office:smarttags" w:element="country-region">
        <w:smartTag w:uri="urn:schemas-microsoft-com:office:smarttags" w:element="place">
          <w:r w:rsidR="00445083" w:rsidRPr="00445083">
            <w:rPr>
              <w:b/>
            </w:rPr>
            <w:t>ITALY</w:t>
          </w:r>
        </w:smartTag>
      </w:smartTag>
    </w:p>
    <w:p w:rsidRPr="00445083" w:rsidR="00CD49A7" w:rsidP="00E4189F" w:rsidRDefault="00CD49A7">
      <w:pPr>
        <w:jc w:val="center"/>
      </w:pPr>
    </w:p>
    <w:p w:rsidRPr="00445083" w:rsidR="00CD49A7" w:rsidP="00E4189F" w:rsidRDefault="00CD49A7">
      <w:pPr>
        <w:jc w:val="center"/>
        <w:rPr>
          <w:i/>
        </w:rPr>
      </w:pPr>
      <w:r w:rsidRPr="00445083">
        <w:rPr>
          <w:i/>
        </w:rPr>
        <w:t>(</w:t>
      </w:r>
      <w:r w:rsidRPr="00445083" w:rsidR="00445083">
        <w:rPr>
          <w:i/>
          <w:noProof/>
        </w:rPr>
        <w:t>Application no. 36681/97</w:t>
      </w:r>
      <w:r w:rsidRPr="00445083">
        <w:rPr>
          <w:i/>
        </w:rPr>
        <w:t>)</w:t>
      </w:r>
    </w:p>
    <w:p w:rsidR="00DE6FCE" w:rsidP="00E4189F" w:rsidRDefault="00DE6FCE">
      <w:pPr>
        <w:jc w:val="center"/>
        <w:rPr>
          <w:sz w:val="22"/>
        </w:rPr>
      </w:pPr>
    </w:p>
    <w:p w:rsidR="00DE6FCE" w:rsidP="00E4189F" w:rsidRDefault="00DE6FCE">
      <w:pPr>
        <w:jc w:val="center"/>
        <w:rPr>
          <w:sz w:val="22"/>
        </w:rPr>
      </w:pPr>
    </w:p>
    <w:p w:rsidR="00DE6FCE" w:rsidP="00E4189F" w:rsidRDefault="00DE6FCE">
      <w:pPr>
        <w:jc w:val="center"/>
        <w:rPr>
          <w:sz w:val="22"/>
        </w:rPr>
      </w:pPr>
    </w:p>
    <w:p w:rsidR="00DE6FCE" w:rsidP="00E4189F" w:rsidRDefault="00DE6FCE">
      <w:pPr>
        <w:jc w:val="center"/>
        <w:rPr>
          <w:sz w:val="22"/>
        </w:rPr>
      </w:pPr>
    </w:p>
    <w:p w:rsidR="00DE6FCE" w:rsidP="00E4189F" w:rsidRDefault="00DE6FCE">
      <w:pPr>
        <w:jc w:val="center"/>
        <w:rPr>
          <w:sz w:val="22"/>
        </w:rPr>
      </w:pPr>
    </w:p>
    <w:p w:rsidR="00DE6FCE" w:rsidP="00E4189F" w:rsidRDefault="00DE6FCE">
      <w:pPr>
        <w:jc w:val="center"/>
        <w:rPr>
          <w:sz w:val="22"/>
        </w:rPr>
      </w:pPr>
    </w:p>
    <w:p w:rsidR="00DE6FCE" w:rsidP="00E4189F" w:rsidRDefault="00DE6FCE">
      <w:pPr>
        <w:jc w:val="center"/>
        <w:rPr>
          <w:sz w:val="22"/>
        </w:rPr>
      </w:pPr>
    </w:p>
    <w:p w:rsidR="00DE6FCE" w:rsidP="00E4189F" w:rsidRDefault="00DE6FCE">
      <w:pPr>
        <w:jc w:val="center"/>
        <w:rPr>
          <w:sz w:val="22"/>
        </w:rPr>
      </w:pPr>
    </w:p>
    <w:p w:rsidR="00DE6FCE" w:rsidP="00E4189F" w:rsidRDefault="00DE6FCE">
      <w:pPr>
        <w:jc w:val="center"/>
        <w:rPr>
          <w:sz w:val="22"/>
        </w:rPr>
      </w:pPr>
    </w:p>
    <w:p w:rsidR="00DE6FCE" w:rsidP="00E4189F" w:rsidRDefault="00DE6FCE">
      <w:pPr>
        <w:jc w:val="center"/>
        <w:rPr>
          <w:sz w:val="22"/>
        </w:rPr>
      </w:pPr>
      <w:r>
        <w:rPr>
          <w:sz w:val="22"/>
        </w:rPr>
        <w:t>JUDGMENT</w:t>
      </w:r>
    </w:p>
    <w:p w:rsidR="00DE6FCE" w:rsidP="00E4189F" w:rsidRDefault="00DE6FCE">
      <w:pPr>
        <w:jc w:val="center"/>
        <w:rPr>
          <w:sz w:val="22"/>
        </w:rPr>
      </w:pPr>
    </w:p>
    <w:p w:rsidR="00DE6FCE" w:rsidP="00E4189F" w:rsidRDefault="00DE6FCE">
      <w:pPr>
        <w:jc w:val="center"/>
        <w:rPr>
          <w:sz w:val="22"/>
        </w:rPr>
      </w:pPr>
    </w:p>
    <w:p w:rsidR="00DE6FCE" w:rsidP="00E4189F" w:rsidRDefault="00DE6FCE">
      <w:pPr>
        <w:jc w:val="center"/>
        <w:rPr>
          <w:sz w:val="22"/>
        </w:rPr>
      </w:pPr>
    </w:p>
    <w:p w:rsidR="00DE6FCE" w:rsidP="00E4189F" w:rsidRDefault="00DE6FCE">
      <w:pPr>
        <w:jc w:val="center"/>
        <w:rPr>
          <w:sz w:val="22"/>
        </w:rPr>
      </w:pPr>
      <w:smartTag w:uri="urn:schemas-microsoft-com:office:smarttags" w:element="City">
        <w:smartTag w:uri="urn:schemas-microsoft-com:office:smarttags" w:element="place">
          <w:r>
            <w:rPr>
              <w:sz w:val="22"/>
            </w:rPr>
            <w:t>STRASBOURG</w:t>
          </w:r>
        </w:smartTag>
      </w:smartTag>
    </w:p>
    <w:p w:rsidR="00DE6FCE" w:rsidP="00E4189F" w:rsidRDefault="00DE6FCE">
      <w:pPr>
        <w:jc w:val="center"/>
        <w:rPr>
          <w:sz w:val="22"/>
        </w:rPr>
      </w:pPr>
    </w:p>
    <w:p w:rsidR="00DE6FCE" w:rsidP="00E4189F" w:rsidRDefault="00D71533">
      <w:pPr>
        <w:jc w:val="center"/>
        <w:rPr>
          <w:sz w:val="22"/>
        </w:rPr>
      </w:pPr>
      <w:smartTag w:uri="urn:schemas-microsoft-com:office:smarttags" w:element="date">
        <w:smartTagPr>
          <w:attr w:name="Month" w:val="7"/>
          <w:attr w:name="Day" w:val="1"/>
          <w:attr w:name="Year" w:val="2004"/>
        </w:smartTagPr>
        <w:r>
          <w:rPr>
            <w:sz w:val="22"/>
          </w:rPr>
          <w:t>1 July 2004</w:t>
        </w:r>
      </w:smartTag>
    </w:p>
    <w:p w:rsidR="00DE6FCE" w:rsidP="00E4189F" w:rsidRDefault="00DE6FCE">
      <w:pPr>
        <w:jc w:val="center"/>
        <w:rPr>
          <w:sz w:val="22"/>
        </w:rPr>
      </w:pPr>
    </w:p>
    <w:p w:rsidRPr="00282BDF" w:rsidR="00E4189F" w:rsidP="00E4189F" w:rsidRDefault="00E4189F">
      <w:pPr>
        <w:jc w:val="center"/>
        <w:rPr>
          <w:b/>
          <w:color w:val="FF0000"/>
          <w:sz w:val="36"/>
          <w:u w:val="single"/>
          <w:lang w:val="fr-FR"/>
        </w:rPr>
      </w:pPr>
      <w:r w:rsidRPr="00282BDF">
        <w:rPr>
          <w:b/>
          <w:color w:val="FF0000"/>
          <w:sz w:val="36"/>
          <w:u w:val="single"/>
          <w:lang w:val="fr-FR"/>
        </w:rPr>
        <w:t>FIN</w:t>
      </w:r>
      <w:r>
        <w:rPr>
          <w:b/>
          <w:color w:val="FF0000"/>
          <w:sz w:val="36"/>
          <w:u w:val="single"/>
        </w:rPr>
        <w:t>AL</w:t>
      </w:r>
    </w:p>
    <w:p w:rsidRPr="00282BDF" w:rsidR="00E4189F" w:rsidP="00E4189F" w:rsidRDefault="00E4189F">
      <w:pPr>
        <w:jc w:val="center"/>
        <w:rPr>
          <w:i/>
          <w:color w:val="FF0000"/>
          <w:lang w:val="fr-FR"/>
        </w:rPr>
      </w:pPr>
    </w:p>
    <w:p w:rsidRPr="00282BDF" w:rsidR="00E4189F" w:rsidP="00E4189F" w:rsidRDefault="00E4189F">
      <w:pPr>
        <w:jc w:val="center"/>
        <w:rPr>
          <w:i/>
          <w:color w:val="FF0000"/>
          <w:sz w:val="36"/>
          <w:lang w:val="fr-FR"/>
        </w:rPr>
      </w:pPr>
      <w:r>
        <w:rPr>
          <w:i/>
          <w:color w:val="FF0000"/>
          <w:sz w:val="36"/>
        </w:rPr>
        <w:t>01</w:t>
      </w:r>
      <w:r w:rsidRPr="00282BDF">
        <w:rPr>
          <w:i/>
          <w:color w:val="FF0000"/>
          <w:sz w:val="36"/>
          <w:lang w:val="fr-FR"/>
        </w:rPr>
        <w:t>/</w:t>
      </w:r>
      <w:r>
        <w:rPr>
          <w:i/>
          <w:color w:val="FF0000"/>
          <w:sz w:val="36"/>
        </w:rPr>
        <w:t>10</w:t>
      </w:r>
      <w:r w:rsidRPr="00282BDF">
        <w:rPr>
          <w:i/>
          <w:color w:val="FF0000"/>
          <w:sz w:val="36"/>
          <w:lang w:val="fr-FR"/>
        </w:rPr>
        <w:t>/2004</w:t>
      </w:r>
    </w:p>
    <w:p w:rsidR="000F1CF6" w:rsidP="00DE6FCE" w:rsidRDefault="000F1CF6">
      <w:pPr>
        <w:rPr>
          <w:i/>
          <w:sz w:val="22"/>
        </w:rPr>
      </w:pPr>
    </w:p>
    <w:p w:rsidR="000F1CF6" w:rsidP="00DE6FCE" w:rsidRDefault="000F1CF6">
      <w:pPr>
        <w:rPr>
          <w:i/>
          <w:sz w:val="22"/>
        </w:rPr>
      </w:pPr>
    </w:p>
    <w:p w:rsidR="000F1CF6" w:rsidP="00DE6FCE" w:rsidRDefault="000F1CF6">
      <w:pPr>
        <w:rPr>
          <w:i/>
          <w:sz w:val="22"/>
        </w:rPr>
      </w:pPr>
    </w:p>
    <w:p w:rsidR="00DE6FCE" w:rsidRDefault="00DE6FCE">
      <w:pPr>
        <w:pStyle w:val="JuCase"/>
        <w:sectPr w:rsidR="00DE6FCE" w:rsidSect="00DE6FCE">
          <w:headerReference w:type="even" r:id="rId7"/>
          <w:headerReference w:type="default" r:id="rId8"/>
          <w:footnotePr>
            <w:numRestart w:val="eachPage"/>
          </w:footnotePr>
          <w:pgSz w:w="11906" w:h="16838" w:code="9"/>
          <w:pgMar w:top="2274" w:right="2274" w:bottom="2274" w:left="2274" w:header="1701" w:footer="720" w:gutter="0"/>
          <w:pgNumType w:start="1"/>
          <w:cols w:space="720"/>
          <w:docGrid w:linePitch="326"/>
        </w:sectPr>
      </w:pPr>
    </w:p>
    <w:p w:rsidRPr="00445083" w:rsidR="00CD49A7" w:rsidRDefault="00CD49A7">
      <w:pPr>
        <w:pStyle w:val="JuCase"/>
      </w:pPr>
      <w:r w:rsidRPr="00445083">
        <w:t xml:space="preserve">In the case of </w:t>
      </w:r>
      <w:r w:rsidR="00233636">
        <w:t xml:space="preserve">Vito Sante </w:t>
      </w:r>
      <w:r w:rsidRPr="00445083" w:rsidR="00445083">
        <w:rPr>
          <w:noProof/>
        </w:rPr>
        <w:t xml:space="preserve">Santoro v. </w:t>
      </w:r>
      <w:smartTag w:uri="urn:schemas-microsoft-com:office:smarttags" w:element="country-region">
        <w:smartTag w:uri="urn:schemas-microsoft-com:office:smarttags" w:element="place">
          <w:r w:rsidR="00445083" w:rsidRPr="00445083">
            <w:rPr>
              <w:noProof/>
            </w:rPr>
            <w:t>Italy</w:t>
          </w:r>
        </w:smartTag>
      </w:smartTag>
      <w:r w:rsidRPr="00445083">
        <w:t>,</w:t>
      </w:r>
    </w:p>
    <w:p w:rsidRPr="00445083" w:rsidR="00CD49A7" w:rsidRDefault="00CD49A7">
      <w:pPr>
        <w:pStyle w:val="JuPara"/>
      </w:pPr>
      <w:r w:rsidRPr="00445083">
        <w:t>The European Court of Human Rights</w:t>
      </w:r>
      <w:r w:rsidRPr="00445083" w:rsidR="00445083">
        <w:rPr>
          <w:noProof/>
        </w:rPr>
        <w:t xml:space="preserve"> (Third Section)</w:t>
      </w:r>
      <w:r w:rsidRPr="00445083">
        <w:t xml:space="preserve">, sitting as a </w:t>
      </w:r>
      <w:r w:rsidRPr="00445083" w:rsidR="00445083">
        <w:t>Chamber</w:t>
      </w:r>
      <w:r w:rsidRPr="00445083">
        <w:t xml:space="preserve"> composed of:</w:t>
      </w:r>
    </w:p>
    <w:p w:rsidRPr="00673BD0" w:rsidR="00673BD0" w:rsidRDefault="00DE6FCE">
      <w:pPr>
        <w:pStyle w:val="JuJudges"/>
      </w:pPr>
      <w:r w:rsidRPr="00E913A5">
        <w:tab/>
        <w:t>Mr</w:t>
      </w:r>
      <w:r w:rsidRPr="00E913A5">
        <w:tab/>
      </w:r>
      <w:r w:rsidRPr="00E913A5">
        <w:rPr>
          <w:rStyle w:val="JuNames"/>
        </w:rPr>
        <w:t>G.</w:t>
      </w:r>
      <w:r w:rsidRPr="00E913A5">
        <w:t xml:space="preserve"> </w:t>
      </w:r>
      <w:r w:rsidRPr="00E913A5">
        <w:rPr>
          <w:rStyle w:val="JuNames"/>
        </w:rPr>
        <w:t>Ress</w:t>
      </w:r>
      <w:r w:rsidRPr="00E913A5">
        <w:t xml:space="preserve">, </w:t>
      </w:r>
      <w:r w:rsidRPr="00E913A5">
        <w:rPr>
          <w:i/>
        </w:rPr>
        <w:t>President</w:t>
      </w:r>
      <w:r w:rsidRPr="00E913A5">
        <w:t>,</w:t>
      </w:r>
      <w:r w:rsidRPr="00E913A5">
        <w:br/>
      </w:r>
      <w:r w:rsidRPr="00E913A5">
        <w:tab/>
        <w:t>Mr</w:t>
      </w:r>
      <w:r w:rsidRPr="00E913A5">
        <w:tab/>
      </w:r>
      <w:r w:rsidRPr="00E913A5">
        <w:rPr>
          <w:rStyle w:val="JuNames"/>
        </w:rPr>
        <w:t>I.</w:t>
      </w:r>
      <w:r w:rsidRPr="00E913A5">
        <w:t xml:space="preserve"> </w:t>
      </w:r>
      <w:r w:rsidRPr="00E913A5">
        <w:rPr>
          <w:rStyle w:val="JuNames"/>
        </w:rPr>
        <w:t>Cabral Barreto</w:t>
      </w:r>
      <w:r w:rsidRPr="00E913A5">
        <w:t>,</w:t>
      </w:r>
      <w:r w:rsidRPr="00E913A5">
        <w:br/>
      </w:r>
      <w:r w:rsidRPr="00E913A5">
        <w:tab/>
        <w:t>Mr</w:t>
      </w:r>
      <w:r w:rsidRPr="00E913A5">
        <w:tab/>
      </w:r>
      <w:r w:rsidRPr="00E913A5">
        <w:rPr>
          <w:rStyle w:val="JuNames"/>
        </w:rPr>
        <w:t>L.</w:t>
      </w:r>
      <w:r w:rsidRPr="00E913A5">
        <w:t xml:space="preserve"> </w:t>
      </w:r>
      <w:r w:rsidRPr="00E913A5">
        <w:rPr>
          <w:rStyle w:val="JuNames"/>
        </w:rPr>
        <w:t>Caflisch</w:t>
      </w:r>
      <w:r w:rsidRPr="00E913A5">
        <w:t>,</w:t>
      </w:r>
      <w:r w:rsidRPr="00E913A5">
        <w:br/>
      </w:r>
      <w:r w:rsidRPr="00E913A5">
        <w:tab/>
        <w:t>Mr</w:t>
      </w:r>
      <w:r w:rsidRPr="00E913A5">
        <w:tab/>
      </w:r>
      <w:r w:rsidRPr="00E913A5">
        <w:rPr>
          <w:rStyle w:val="JuNames"/>
        </w:rPr>
        <w:t>J.</w:t>
      </w:r>
      <w:r w:rsidRPr="00E913A5">
        <w:t xml:space="preserve"> </w:t>
      </w:r>
      <w:r w:rsidRPr="00E913A5">
        <w:rPr>
          <w:rStyle w:val="JuNames"/>
        </w:rPr>
        <w:t>Hedigan</w:t>
      </w:r>
      <w:r w:rsidRPr="00E913A5">
        <w:t>,</w:t>
      </w:r>
      <w:r w:rsidRPr="00E913A5">
        <w:br/>
      </w:r>
      <w:r w:rsidRPr="00E913A5">
        <w:tab/>
        <w:t>Mrs</w:t>
      </w:r>
      <w:r w:rsidRPr="00E913A5">
        <w:tab/>
      </w:r>
      <w:r w:rsidRPr="00E913A5">
        <w:rPr>
          <w:rStyle w:val="JuNames"/>
        </w:rPr>
        <w:t>M.</w:t>
      </w:r>
      <w:r w:rsidRPr="00E913A5">
        <w:t xml:space="preserve"> </w:t>
      </w:r>
      <w:r w:rsidRPr="00E913A5">
        <w:rPr>
          <w:rStyle w:val="JuNames"/>
        </w:rPr>
        <w:t>Tsatsa-Nikolovska</w:t>
      </w:r>
      <w:r w:rsidRPr="00E913A5">
        <w:t>,</w:t>
      </w:r>
      <w:r w:rsidRPr="00E913A5">
        <w:br/>
      </w:r>
      <w:r w:rsidRPr="00E913A5">
        <w:tab/>
        <w:t>Mrs</w:t>
      </w:r>
      <w:r w:rsidRPr="00E913A5">
        <w:tab/>
      </w:r>
      <w:r w:rsidRPr="00E913A5">
        <w:rPr>
          <w:rStyle w:val="JuNames"/>
        </w:rPr>
        <w:t>H.S.</w:t>
      </w:r>
      <w:r w:rsidRPr="00E913A5">
        <w:t xml:space="preserve"> </w:t>
      </w:r>
      <w:r w:rsidRPr="00E913A5">
        <w:rPr>
          <w:rStyle w:val="JuNames"/>
        </w:rPr>
        <w:t>Greve</w:t>
      </w:r>
      <w:r w:rsidRPr="00E913A5">
        <w:rPr>
          <w:rStyle w:val="JuNames"/>
          <w:smallCaps w:val="0"/>
        </w:rPr>
        <w:t>,</w:t>
      </w:r>
      <w:r w:rsidRPr="00E913A5">
        <w:rPr>
          <w:rStyle w:val="JuNames"/>
        </w:rPr>
        <w:br/>
      </w:r>
      <w:r w:rsidRPr="00E913A5">
        <w:tab/>
        <w:t>Mr</w:t>
      </w:r>
      <w:r w:rsidRPr="00E913A5">
        <w:tab/>
      </w:r>
      <w:r w:rsidRPr="00E913A5">
        <w:rPr>
          <w:rStyle w:val="JuNames"/>
        </w:rPr>
        <w:t>V.</w:t>
      </w:r>
      <w:r w:rsidRPr="00E913A5">
        <w:t xml:space="preserve"> </w:t>
      </w:r>
      <w:r w:rsidRPr="00E913A5">
        <w:rPr>
          <w:rStyle w:val="JuNames"/>
        </w:rPr>
        <w:t>Zagrebelsky,</w:t>
      </w:r>
      <w:r w:rsidRPr="00E913A5">
        <w:t xml:space="preserve"> </w:t>
      </w:r>
      <w:r w:rsidRPr="00E913A5">
        <w:rPr>
          <w:i/>
        </w:rPr>
        <w:t>judges</w:t>
      </w:r>
      <w:r w:rsidRPr="00E913A5">
        <w:t>,</w:t>
      </w:r>
    </w:p>
    <w:p w:rsidRPr="00673BD0" w:rsidR="00CD49A7" w:rsidRDefault="00673BD0">
      <w:pPr>
        <w:pStyle w:val="JuJudges"/>
      </w:pPr>
      <w:r>
        <w:t>a</w:t>
      </w:r>
      <w:r w:rsidRPr="00445083" w:rsidR="00CD49A7">
        <w:t xml:space="preserve">nd </w:t>
      </w:r>
      <w:r w:rsidRPr="00445083" w:rsidR="00445083">
        <w:t>Mr</w:t>
      </w:r>
      <w:r w:rsidRPr="00445083" w:rsidR="00CD49A7">
        <w:t xml:space="preserve"> </w:t>
      </w:r>
      <w:r w:rsidRPr="00445083" w:rsidR="00445083">
        <w:rPr>
          <w:rStyle w:val="JuNames"/>
        </w:rPr>
        <w:t>V.</w:t>
      </w:r>
      <w:r w:rsidRPr="00445083" w:rsidR="00CD49A7">
        <w:t xml:space="preserve"> </w:t>
      </w:r>
      <w:r w:rsidRPr="00445083" w:rsidR="00445083">
        <w:rPr>
          <w:rStyle w:val="JuNames"/>
        </w:rPr>
        <w:t>Berger</w:t>
      </w:r>
      <w:r w:rsidRPr="00445083" w:rsidR="00CD49A7">
        <w:t xml:space="preserve">, </w:t>
      </w:r>
      <w:r w:rsidRPr="00445083" w:rsidR="00445083">
        <w:rPr>
          <w:i/>
        </w:rPr>
        <w:t>Section Registrar</w:t>
      </w:r>
      <w:r>
        <w:t>,</w:t>
      </w:r>
    </w:p>
    <w:p w:rsidRPr="00445083" w:rsidR="00CD49A7" w:rsidRDefault="00CD49A7">
      <w:pPr>
        <w:pStyle w:val="JuPara"/>
      </w:pPr>
      <w:r w:rsidRPr="00445083">
        <w:t xml:space="preserve">Having deliberated in private on </w:t>
      </w:r>
      <w:smartTag w:uri="urn:schemas-microsoft-com:office:smarttags" w:element="date">
        <w:smartTagPr>
          <w:attr w:name="Month" w:val="1"/>
          <w:attr w:name="Day" w:val="16"/>
          <w:attr w:name="Year" w:val="2003"/>
        </w:smartTagPr>
        <w:r w:rsidR="008C4013">
          <w:t>16 January 2003</w:t>
        </w:r>
      </w:smartTag>
      <w:r w:rsidR="00153A7A">
        <w:t xml:space="preserve"> and</w:t>
      </w:r>
      <w:r w:rsidRPr="00445083">
        <w:t xml:space="preserve"> </w:t>
      </w:r>
      <w:smartTag w:uri="urn:schemas-microsoft-com:office:smarttags" w:element="date">
        <w:smartTagPr>
          <w:attr w:name="Month" w:val="6"/>
          <w:attr w:name="Day" w:val="10"/>
          <w:attr w:name="Year" w:val="2004"/>
        </w:smartTagPr>
        <w:r w:rsidR="00DE6FCE">
          <w:t>10 June 2004</w:t>
        </w:r>
      </w:smartTag>
      <w:r w:rsidRPr="00445083">
        <w:t>,</w:t>
      </w:r>
    </w:p>
    <w:p w:rsidRPr="00445083" w:rsidR="00CD49A7" w:rsidRDefault="00CD49A7">
      <w:pPr>
        <w:pStyle w:val="JuPara"/>
      </w:pPr>
      <w:r w:rsidRPr="00445083">
        <w:t>Delivers the following judgmen</w:t>
      </w:r>
      <w:r w:rsidR="00153A7A">
        <w:t>t, which was adopted on the last-</w:t>
      </w:r>
      <w:r w:rsidRPr="00445083">
        <w:t>mentioned date:</w:t>
      </w:r>
    </w:p>
    <w:p w:rsidRPr="00445083" w:rsidR="00CD49A7" w:rsidRDefault="00CD49A7">
      <w:pPr>
        <w:pStyle w:val="JuHHead"/>
      </w:pPr>
      <w:r w:rsidRPr="00445083">
        <w:t>PROCEDURE</w:t>
      </w:r>
    </w:p>
    <w:p w:rsidR="00E4189F" w:rsidRDefault="00445083">
      <w:pPr>
        <w:pStyle w:val="JuPara"/>
      </w:pPr>
      <w:r w:rsidRPr="00445083">
        <w:fldChar w:fldCharType="begin"/>
      </w:r>
      <w:r w:rsidRPr="00445083">
        <w:instrText xml:space="preserve"> SEQ level0 \*arabic </w:instrText>
      </w:r>
      <w:r w:rsidRPr="00445083">
        <w:fldChar w:fldCharType="separate"/>
      </w:r>
      <w:r w:rsidR="000F1CF6">
        <w:rPr>
          <w:noProof/>
        </w:rPr>
        <w:t>1</w:t>
      </w:r>
      <w:r w:rsidRPr="00445083">
        <w:fldChar w:fldCharType="end"/>
      </w:r>
      <w:r w:rsidRPr="00445083" w:rsidR="00CD49A7">
        <w:t xml:space="preserve">.  The case originated in </w:t>
      </w:r>
      <w:r w:rsidRPr="00445083">
        <w:rPr>
          <w:noProof/>
        </w:rPr>
        <w:t>an application (no. 36681/97)</w:t>
      </w:r>
      <w:r w:rsidRPr="00445083" w:rsidR="00CD49A7">
        <w:t xml:space="preserve"> against </w:t>
      </w:r>
      <w:r w:rsidRPr="00445083">
        <w:t xml:space="preserve">the </w:t>
      </w:r>
      <w:smartTag w:uri="urn:schemas-microsoft-com:office:smarttags" w:element="place">
        <w:smartTag w:uri="urn:schemas-microsoft-com:office:smarttags" w:element="PlaceName">
          <w:r w:rsidRPr="00445083">
            <w:t>Italian</w:t>
          </w:r>
        </w:smartTag>
        <w:r w:rsidRPr="00445083">
          <w:t xml:space="preserve"> </w:t>
        </w:r>
        <w:smartTag w:uri="urn:schemas-microsoft-com:office:smarttags" w:element="PlaceType">
          <w:r w:rsidRPr="00445083">
            <w:t>Republic</w:t>
          </w:r>
        </w:smartTag>
      </w:smartTag>
      <w:r w:rsidRPr="00445083" w:rsidR="00CD49A7">
        <w:t xml:space="preserve"> lodged with the </w:t>
      </w:r>
      <w:r w:rsidRPr="00445083">
        <w:rPr>
          <w:noProof/>
        </w:rPr>
        <w:t>European Commission of Human Rights (“the Commission”) under former Article 25</w:t>
      </w:r>
      <w:r w:rsidRPr="00445083" w:rsidR="00CD49A7">
        <w:t xml:space="preserve"> of the Convention for the Protection of Human Rights and Fundamental Freedoms (“the Convention”) by </w:t>
      </w:r>
      <w:r w:rsidRPr="00445083">
        <w:rPr>
          <w:noProof/>
        </w:rPr>
        <w:t xml:space="preserve">an Italian national, </w:t>
      </w:r>
      <w:r w:rsidR="00F847F2">
        <w:rPr>
          <w:noProof/>
        </w:rPr>
        <w:t>Mr</w:t>
      </w:r>
      <w:r w:rsidRPr="00445083">
        <w:rPr>
          <w:noProof/>
        </w:rPr>
        <w:t xml:space="preserve"> Vito Sante Santo</w:t>
      </w:r>
      <w:r w:rsidR="00DE6FCE">
        <w:rPr>
          <w:noProof/>
        </w:rPr>
        <w:t xml:space="preserve">ro (“the applicant”), on </w:t>
      </w:r>
      <w:smartTag w:uri="urn:schemas-microsoft-com:office:smarttags" w:element="date">
        <w:smartTagPr>
          <w:attr w:name="Month" w:val="5"/>
          <w:attr w:name="Day" w:val="22"/>
          <w:attr w:name="Year" w:val="1997"/>
        </w:smartTagPr>
        <w:r w:rsidR="00DE6FCE">
          <w:rPr>
            <w:noProof/>
          </w:rPr>
          <w:t>22 May </w:t>
        </w:r>
        <w:r w:rsidRPr="00445083">
          <w:rPr>
            <w:noProof/>
          </w:rPr>
          <w:t>1997</w:t>
        </w:r>
      </w:smartTag>
      <w:r w:rsidRPr="00445083" w:rsidR="00CD49A7">
        <w:t>.</w:t>
      </w:r>
    </w:p>
    <w:p w:rsidR="00B75A1B" w:rsidRDefault="00445083">
      <w:pPr>
        <w:pStyle w:val="JuPara"/>
        <w:rPr>
          <w:noProof/>
        </w:rPr>
      </w:pPr>
      <w:r w:rsidRPr="00445083">
        <w:fldChar w:fldCharType="begin"/>
      </w:r>
      <w:r w:rsidRPr="00445083">
        <w:instrText xml:space="preserve"> SEQ level0 \*arabic </w:instrText>
      </w:r>
      <w:r w:rsidRPr="00445083">
        <w:fldChar w:fldCharType="separate"/>
      </w:r>
      <w:r w:rsidR="000F1CF6">
        <w:rPr>
          <w:noProof/>
        </w:rPr>
        <w:t>2</w:t>
      </w:r>
      <w:r w:rsidRPr="00445083">
        <w:fldChar w:fldCharType="end"/>
      </w:r>
      <w:r w:rsidRPr="00445083" w:rsidR="00CD49A7">
        <w:t>.  </w:t>
      </w:r>
      <w:r w:rsidRPr="00445083">
        <w:rPr>
          <w:noProof/>
        </w:rPr>
        <w:t xml:space="preserve">The applicant was represented by Mr </w:t>
      </w:r>
      <w:r w:rsidR="00F847F2">
        <w:rPr>
          <w:noProof/>
        </w:rPr>
        <w:t>G</w:t>
      </w:r>
      <w:r w:rsidRPr="00445083">
        <w:rPr>
          <w:noProof/>
        </w:rPr>
        <w:t xml:space="preserve">. Negro, a lawyer practising in </w:t>
      </w:r>
      <w:smartTag w:uri="urn:schemas-microsoft-com:office:smarttags" w:element="City">
        <w:smartTag w:uri="urn:schemas-microsoft-com:office:smarttags" w:element="place">
          <w:r w:rsidRPr="00445083">
            <w:rPr>
              <w:noProof/>
            </w:rPr>
            <w:t>B</w:t>
          </w:r>
          <w:r w:rsidR="00F847F2">
            <w:rPr>
              <w:noProof/>
            </w:rPr>
            <w:t>rindis</w:t>
          </w:r>
          <w:r w:rsidR="00B75A1B">
            <w:rPr>
              <w:noProof/>
            </w:rPr>
            <w:t>i</w:t>
          </w:r>
        </w:smartTag>
      </w:smartTag>
      <w:r w:rsidR="00B75A1B">
        <w:rPr>
          <w:noProof/>
        </w:rPr>
        <w:t>. The Italian</w:t>
      </w:r>
      <w:r w:rsidRPr="00445083" w:rsidR="00B75A1B">
        <w:t xml:space="preserve"> </w:t>
      </w:r>
      <w:r w:rsidR="00B75A1B">
        <w:t>G</w:t>
      </w:r>
      <w:r w:rsidRPr="00445083" w:rsidR="00CD49A7">
        <w:t xml:space="preserve">overnment (“the Government”) were represented by their Agent, </w:t>
      </w:r>
      <w:r w:rsidR="00F847F2">
        <w:rPr>
          <w:noProof/>
        </w:rPr>
        <w:t>Mr I.M. Braguglia, and by</w:t>
      </w:r>
      <w:r w:rsidRPr="00AA22EA" w:rsidR="00F847F2">
        <w:rPr>
          <w:noProof/>
        </w:rPr>
        <w:t xml:space="preserve"> Mr F. Crisafulli, co-</w:t>
      </w:r>
      <w:r w:rsidR="00F847F2">
        <w:rPr>
          <w:noProof/>
        </w:rPr>
        <w:t>A</w:t>
      </w:r>
      <w:r w:rsidRPr="00AA22EA" w:rsidR="00F847F2">
        <w:rPr>
          <w:noProof/>
        </w:rPr>
        <w:t>gen</w:t>
      </w:r>
      <w:r w:rsidR="00B75A1B">
        <w:rPr>
          <w:noProof/>
        </w:rPr>
        <w:t>t.</w:t>
      </w:r>
    </w:p>
    <w:p w:rsidRPr="00445083" w:rsidR="00445083" w:rsidRDefault="00445083">
      <w:pPr>
        <w:pStyle w:val="JuPara"/>
        <w:rPr>
          <w:noProof/>
        </w:rPr>
      </w:pPr>
      <w:r w:rsidRPr="00445083">
        <w:fldChar w:fldCharType="begin"/>
      </w:r>
      <w:r w:rsidRPr="00445083">
        <w:instrText xml:space="preserve"> SEQ level0 \*arabic </w:instrText>
      </w:r>
      <w:r w:rsidRPr="00445083">
        <w:fldChar w:fldCharType="separate"/>
      </w:r>
      <w:r w:rsidR="000F1CF6">
        <w:rPr>
          <w:noProof/>
        </w:rPr>
        <w:t>3</w:t>
      </w:r>
      <w:r w:rsidRPr="00445083">
        <w:fldChar w:fldCharType="end"/>
      </w:r>
      <w:r w:rsidRPr="00445083" w:rsidR="00CD49A7">
        <w:t xml:space="preserve">.  The </w:t>
      </w:r>
      <w:r w:rsidRPr="00445083">
        <w:rPr>
          <w:noProof/>
        </w:rPr>
        <w:t>applicant</w:t>
      </w:r>
      <w:r w:rsidRPr="00445083" w:rsidR="00CD49A7">
        <w:t xml:space="preserve"> alleged, in particular,</w:t>
      </w:r>
      <w:r w:rsidR="00F847F2">
        <w:t xml:space="preserve"> that the preventive measure of special supervision</w:t>
      </w:r>
      <w:r w:rsidR="00244F51">
        <w:t xml:space="preserve"> that had been imposed on him</w:t>
      </w:r>
      <w:r w:rsidR="00F847F2">
        <w:t xml:space="preserve"> </w:t>
      </w:r>
      <w:r w:rsidR="000850EA">
        <w:t xml:space="preserve">had </w:t>
      </w:r>
      <w:r w:rsidR="00F847F2">
        <w:t>violated his right of freedom of movement and that he had been deprived of his right to vote in the</w:t>
      </w:r>
      <w:r w:rsidR="008C4013">
        <w:t xml:space="preserve"> parliamentary </w:t>
      </w:r>
      <w:r w:rsidR="00244F51">
        <w:t xml:space="preserve">and </w:t>
      </w:r>
      <w:r w:rsidR="00F847F2">
        <w:t>regional council</w:t>
      </w:r>
      <w:r w:rsidR="00244F51">
        <w:t xml:space="preserve"> elections</w:t>
      </w:r>
      <w:r w:rsidRPr="00445083" w:rsidR="00CD49A7">
        <w:t>.</w:t>
      </w:r>
    </w:p>
    <w:p w:rsidRPr="00445083" w:rsidR="00CD49A7" w:rsidRDefault="00445083">
      <w:pPr>
        <w:pStyle w:val="JuPara"/>
      </w:pPr>
      <w:r w:rsidRPr="00445083">
        <w:rPr>
          <w:noProof/>
        </w:rPr>
        <w:fldChar w:fldCharType="begin"/>
      </w:r>
      <w:r w:rsidRPr="00445083">
        <w:rPr>
          <w:noProof/>
        </w:rPr>
        <w:instrText xml:space="preserve"> SEQ level0 \*arabic </w:instrText>
      </w:r>
      <w:r w:rsidRPr="00445083">
        <w:rPr>
          <w:noProof/>
        </w:rPr>
        <w:fldChar w:fldCharType="separate"/>
      </w:r>
      <w:r w:rsidR="000F1CF6">
        <w:rPr>
          <w:noProof/>
        </w:rPr>
        <w:t>4</w:t>
      </w:r>
      <w:r w:rsidRPr="00445083">
        <w:rPr>
          <w:noProof/>
        </w:rPr>
        <w:fldChar w:fldCharType="end"/>
      </w:r>
      <w:r w:rsidRPr="00445083">
        <w:rPr>
          <w:noProof/>
        </w:rPr>
        <w:t xml:space="preserve">.  The application was transmitted to the Court on </w:t>
      </w:r>
      <w:smartTag w:uri="urn:schemas-microsoft-com:office:smarttags" w:element="date">
        <w:smartTagPr>
          <w:attr w:name="Month" w:val="11"/>
          <w:attr w:name="Day" w:val="1"/>
          <w:attr w:name="Year" w:val="1998"/>
        </w:smartTagPr>
        <w:r w:rsidRPr="00445083">
          <w:rPr>
            <w:noProof/>
          </w:rPr>
          <w:t>1 November 1998</w:t>
        </w:r>
      </w:smartTag>
      <w:r w:rsidRPr="00445083">
        <w:rPr>
          <w:noProof/>
        </w:rPr>
        <w:t>, when Protocol No. 11 to the Convention came into force (Article 5 § 2 of Protocol No. 11).</w:t>
      </w:r>
    </w:p>
    <w:p w:rsidR="00F847F2" w:rsidRDefault="00445083">
      <w:pPr>
        <w:pStyle w:val="JuPara"/>
        <w:rPr>
          <w:noProof/>
        </w:rPr>
      </w:pPr>
      <w:r w:rsidRPr="00445083">
        <w:fldChar w:fldCharType="begin"/>
      </w:r>
      <w:r w:rsidRPr="00445083">
        <w:instrText xml:space="preserve"> SEQ level0 \*arabic </w:instrText>
      </w:r>
      <w:r w:rsidRPr="00445083">
        <w:fldChar w:fldCharType="separate"/>
      </w:r>
      <w:r w:rsidR="000F1CF6">
        <w:rPr>
          <w:noProof/>
        </w:rPr>
        <w:t>5</w:t>
      </w:r>
      <w:r w:rsidRPr="00445083">
        <w:fldChar w:fldCharType="end"/>
      </w:r>
      <w:r w:rsidRPr="00445083" w:rsidR="00CD49A7">
        <w:t xml:space="preserve">.  The </w:t>
      </w:r>
      <w:r w:rsidRPr="00445083">
        <w:rPr>
          <w:noProof/>
        </w:rPr>
        <w:t>application was</w:t>
      </w:r>
      <w:r w:rsidRPr="00445083" w:rsidR="00CD49A7">
        <w:t xml:space="preserve"> allocated to the </w:t>
      </w:r>
      <w:r w:rsidR="00F847F2">
        <w:t>Second</w:t>
      </w:r>
      <w:r w:rsidRPr="00445083">
        <w:rPr>
          <w:noProof/>
        </w:rPr>
        <w:t xml:space="preserve"> Section</w:t>
      </w:r>
      <w:r w:rsidRPr="00445083" w:rsidR="00CD49A7">
        <w:t xml:space="preserve"> of the Court (Rule 52 § 1 of the Rules of Court). </w:t>
      </w:r>
      <w:r w:rsidRPr="00445083">
        <w:rPr>
          <w:noProof/>
        </w:rPr>
        <w:t>Within that Section, the Chamber that would consider the case (Article 27 § 1 of the Convention) was constituted as provided in Rule 26 § 1.</w:t>
      </w:r>
    </w:p>
    <w:p w:rsidRPr="00445083" w:rsidR="00CD49A7" w:rsidRDefault="00F847F2">
      <w:pPr>
        <w:pStyle w:val="JuPara"/>
      </w:pPr>
      <w:r>
        <w:fldChar w:fldCharType="begin"/>
      </w:r>
      <w:r>
        <w:instrText xml:space="preserve"> SEQ level0 \*arabic </w:instrText>
      </w:r>
      <w:r>
        <w:fldChar w:fldCharType="separate"/>
      </w:r>
      <w:r w:rsidR="000F1CF6">
        <w:rPr>
          <w:noProof/>
        </w:rPr>
        <w:t>6</w:t>
      </w:r>
      <w:r>
        <w:fldChar w:fldCharType="end"/>
      </w:r>
      <w:r>
        <w:t>.  </w:t>
      </w:r>
      <w:r w:rsidRPr="00445083">
        <w:rPr>
          <w:noProof/>
        </w:rPr>
        <w:t xml:space="preserve">On </w:t>
      </w:r>
      <w:smartTag w:uri="urn:schemas-microsoft-com:office:smarttags" w:element="date">
        <w:smartTagPr>
          <w:attr w:name="Month" w:val="11"/>
          <w:attr w:name="Day" w:val="1"/>
          <w:attr w:name="Year" w:val="2001"/>
        </w:smartTagPr>
        <w:r w:rsidRPr="00445083">
          <w:rPr>
            <w:noProof/>
          </w:rPr>
          <w:t>1 November 20</w:t>
        </w:r>
        <w:r w:rsidR="008C4013">
          <w:rPr>
            <w:noProof/>
          </w:rPr>
          <w:t>01</w:t>
        </w:r>
      </w:smartTag>
      <w:r w:rsidR="008C4013">
        <w:rPr>
          <w:noProof/>
        </w:rPr>
        <w:t xml:space="preserve"> the</w:t>
      </w:r>
      <w:r w:rsidRPr="00445083">
        <w:rPr>
          <w:noProof/>
        </w:rPr>
        <w:t xml:space="preserve"> Court changed the composition of its Sections (Rule 25 § 1). This case was assigned to the newly composed Third Section (Rule 52 § 1)</w:t>
      </w:r>
      <w:r>
        <w:rPr>
          <w:noProof/>
        </w:rPr>
        <w:t>.</w:t>
      </w:r>
    </w:p>
    <w:p w:rsidRPr="00445083" w:rsidR="00CD49A7" w:rsidRDefault="00445083">
      <w:pPr>
        <w:pStyle w:val="JuPara"/>
      </w:pPr>
      <w:r w:rsidRPr="00445083">
        <w:fldChar w:fldCharType="begin"/>
      </w:r>
      <w:r w:rsidRPr="00445083">
        <w:instrText xml:space="preserve"> SEQ level0 \*arabic </w:instrText>
      </w:r>
      <w:r w:rsidRPr="00445083">
        <w:fldChar w:fldCharType="separate"/>
      </w:r>
      <w:r w:rsidR="000F1CF6">
        <w:rPr>
          <w:noProof/>
        </w:rPr>
        <w:t>7</w:t>
      </w:r>
      <w:r w:rsidRPr="00445083">
        <w:fldChar w:fldCharType="end"/>
      </w:r>
      <w:r w:rsidRPr="00445083" w:rsidR="00CD49A7">
        <w:t>.  </w:t>
      </w:r>
      <w:r w:rsidRPr="00445083">
        <w:rPr>
          <w:noProof/>
        </w:rPr>
        <w:t xml:space="preserve">By a decision of </w:t>
      </w:r>
      <w:smartTag w:uri="urn:schemas-microsoft-com:office:smarttags" w:element="date">
        <w:smartTagPr>
          <w:attr w:name="Month" w:val="1"/>
          <w:attr w:name="Day" w:val="16"/>
          <w:attr w:name="Year" w:val="2003"/>
        </w:smartTagPr>
        <w:r w:rsidRPr="00445083">
          <w:rPr>
            <w:noProof/>
          </w:rPr>
          <w:t>16 January 200</w:t>
        </w:r>
        <w:r w:rsidR="00B75A1B">
          <w:rPr>
            <w:noProof/>
          </w:rPr>
          <w:t>3</w:t>
        </w:r>
      </w:smartTag>
      <w:r w:rsidR="00B75A1B">
        <w:rPr>
          <w:noProof/>
        </w:rPr>
        <w:t>, t</w:t>
      </w:r>
      <w:r w:rsidR="00244F51">
        <w:rPr>
          <w:noProof/>
        </w:rPr>
        <w:t>he Chamber</w:t>
      </w:r>
      <w:r w:rsidRPr="00445083">
        <w:rPr>
          <w:noProof/>
        </w:rPr>
        <w:t xml:space="preserve"> declared the application partly admissible</w:t>
      </w:r>
      <w:r w:rsidR="00153A7A">
        <w:rPr>
          <w:rStyle w:val="FootnoteReference"/>
          <w:noProof/>
        </w:rPr>
        <w:footnoteReference w:id="1"/>
      </w:r>
      <w:r w:rsidRPr="00445083">
        <w:rPr>
          <w:noProof/>
        </w:rPr>
        <w:t>.</w:t>
      </w:r>
    </w:p>
    <w:p w:rsidRPr="008C4013" w:rsidR="00445083" w:rsidRDefault="00F847F2">
      <w:pPr>
        <w:pStyle w:val="JuPara"/>
        <w:rPr>
          <w:noProof/>
        </w:rPr>
      </w:pPr>
      <w:r w:rsidRPr="008C4013">
        <w:fldChar w:fldCharType="begin"/>
      </w:r>
      <w:r w:rsidRPr="008C4013">
        <w:instrText xml:space="preserve"> SEQ level0 \*arabic </w:instrText>
      </w:r>
      <w:r w:rsidRPr="008C4013">
        <w:fldChar w:fldCharType="separate"/>
      </w:r>
      <w:r w:rsidR="000F1CF6">
        <w:rPr>
          <w:noProof/>
        </w:rPr>
        <w:t>8</w:t>
      </w:r>
      <w:r w:rsidRPr="008C4013">
        <w:fldChar w:fldCharType="end"/>
      </w:r>
      <w:r w:rsidRPr="008C4013">
        <w:t>.  The Chamber having decid</w:t>
      </w:r>
      <w:r w:rsidRPr="008C4013" w:rsidR="008C4013">
        <w:t>ed, after</w:t>
      </w:r>
      <w:r w:rsidRPr="008C4013">
        <w:t xml:space="preserve"> consulting the parties, that no hearing on the merits was required (Rule 59 § 3 </w:t>
      </w:r>
      <w:r w:rsidRPr="008C4013">
        <w:rPr>
          <w:i/>
        </w:rPr>
        <w:t>in fine</w:t>
      </w:r>
      <w:r w:rsidRPr="008C4013">
        <w:t>), the parties replied in writing to each other</w:t>
      </w:r>
      <w:r w:rsidR="00E4189F">
        <w:t>’</w:t>
      </w:r>
      <w:r w:rsidRPr="008C4013">
        <w:t>s observations.</w:t>
      </w:r>
    </w:p>
    <w:p w:rsidRPr="00445083" w:rsidR="00CD49A7" w:rsidRDefault="00673BD0">
      <w:pPr>
        <w:pStyle w:val="JuHHead"/>
      </w:pPr>
      <w:r>
        <w:t>T</w:t>
      </w:r>
      <w:r w:rsidRPr="00445083" w:rsidR="00CD49A7">
        <w:t>H</w:t>
      </w:r>
      <w:r>
        <w:t>E FACTS</w:t>
      </w:r>
    </w:p>
    <w:p w:rsidRPr="00445083" w:rsidR="00CD49A7" w:rsidRDefault="00CD49A7">
      <w:pPr>
        <w:pStyle w:val="JuHIRoman"/>
      </w:pPr>
      <w:r w:rsidRPr="00445083">
        <w:t>I.  THE CIRCUMSTANCES OF THE CASE</w:t>
      </w:r>
    </w:p>
    <w:p w:rsidRPr="00445083" w:rsidR="00CD49A7" w:rsidRDefault="00445083">
      <w:pPr>
        <w:pStyle w:val="JuPara"/>
      </w:pPr>
      <w:r w:rsidRPr="00445083">
        <w:fldChar w:fldCharType="begin"/>
      </w:r>
      <w:r w:rsidRPr="00445083">
        <w:instrText xml:space="preserve"> SEQ level0 \*arabic </w:instrText>
      </w:r>
      <w:r w:rsidRPr="00445083">
        <w:fldChar w:fldCharType="separate"/>
      </w:r>
      <w:r w:rsidR="000F1CF6">
        <w:rPr>
          <w:noProof/>
        </w:rPr>
        <w:t>9</w:t>
      </w:r>
      <w:r w:rsidRPr="00445083">
        <w:fldChar w:fldCharType="end"/>
      </w:r>
      <w:r w:rsidRPr="00445083" w:rsidR="00CD49A7">
        <w:t xml:space="preserve">.  The </w:t>
      </w:r>
      <w:r w:rsidRPr="00445083">
        <w:rPr>
          <w:noProof/>
        </w:rPr>
        <w:t>applicant was born in 1957 and lives</w:t>
      </w:r>
      <w:r w:rsidRPr="00445083" w:rsidR="00CD49A7">
        <w:t xml:space="preserve"> in </w:t>
      </w:r>
      <w:r w:rsidRPr="00445083">
        <w:rPr>
          <w:noProof/>
        </w:rPr>
        <w:t>O</w:t>
      </w:r>
      <w:r>
        <w:rPr>
          <w:noProof/>
        </w:rPr>
        <w:t>stuni (</w:t>
      </w:r>
      <w:smartTag w:uri="urn:schemas-microsoft-com:office:smarttags" w:element="place">
        <w:smartTag w:uri="urn:schemas-microsoft-com:office:smarttags" w:element="PlaceType">
          <w:r w:rsidR="00153A7A">
            <w:rPr>
              <w:noProof/>
            </w:rPr>
            <w:t>province</w:t>
          </w:r>
        </w:smartTag>
        <w:r w:rsidR="00153A7A">
          <w:rPr>
            <w:noProof/>
          </w:rPr>
          <w:t xml:space="preserve"> of </w:t>
        </w:r>
        <w:smartTag w:uri="urn:schemas-microsoft-com:office:smarttags" w:element="PlaceName">
          <w:r>
            <w:rPr>
              <w:noProof/>
            </w:rPr>
            <w:t>Brindisi</w:t>
          </w:r>
        </w:smartTag>
      </w:smartTag>
      <w:r>
        <w:rPr>
          <w:noProof/>
        </w:rPr>
        <w:t>)</w:t>
      </w:r>
      <w:r w:rsidRPr="00445083" w:rsidR="00CD49A7">
        <w:t>.</w:t>
      </w:r>
    </w:p>
    <w:p w:rsidRPr="00445083" w:rsidR="00CD49A7" w:rsidRDefault="00CD49A7">
      <w:pPr>
        <w:pStyle w:val="JuHA"/>
      </w:pPr>
      <w:r w:rsidRPr="00445083">
        <w:t>A.  </w:t>
      </w:r>
      <w:r w:rsidR="00445083">
        <w:t>The special supervision by the police</w:t>
      </w:r>
    </w:p>
    <w:p w:rsidR="00E4189F" w:rsidP="00445083" w:rsidRDefault="00445083">
      <w:pPr>
        <w:pStyle w:val="JuPara"/>
      </w:pPr>
      <w:r>
        <w:fldChar w:fldCharType="begin"/>
      </w:r>
      <w:r>
        <w:instrText xml:space="preserve"> SEQ level0 \*arabic </w:instrText>
      </w:r>
      <w:r>
        <w:fldChar w:fldCharType="separate"/>
      </w:r>
      <w:r w:rsidR="000F1CF6">
        <w:rPr>
          <w:noProof/>
        </w:rPr>
        <w:t>10</w:t>
      </w:r>
      <w:r>
        <w:fldChar w:fldCharType="end"/>
      </w:r>
      <w:r>
        <w:t xml:space="preserve">.  In an order of </w:t>
      </w:r>
      <w:smartTag w:uri="urn:schemas-microsoft-com:office:smarttags" w:element="date">
        <w:smartTagPr>
          <w:attr w:name="Month" w:val="3"/>
          <w:attr w:name="Day" w:val="24"/>
          <w:attr w:name="Year" w:val="1994"/>
        </w:smartTagPr>
        <w:r>
          <w:t>24 March 1994</w:t>
        </w:r>
      </w:smartTag>
      <w:r>
        <w:t>, file</w:t>
      </w:r>
      <w:r w:rsidR="00DE6FCE">
        <w:t xml:space="preserve">d with the registry on </w:t>
      </w:r>
      <w:smartTag w:uri="urn:schemas-microsoft-com:office:smarttags" w:element="date">
        <w:smartTagPr>
          <w:attr w:name="Month" w:val="3"/>
          <w:attr w:name="Day" w:val="30"/>
          <w:attr w:name="Year" w:val="1994"/>
        </w:smartTagPr>
        <w:r w:rsidR="00DE6FCE">
          <w:t>30 March </w:t>
        </w:r>
        <w:r>
          <w:t>1994</w:t>
        </w:r>
      </w:smartTag>
      <w:r>
        <w:t xml:space="preserve">, the Brindisi District Court imposed </w:t>
      </w:r>
      <w:r w:rsidR="00E801A2">
        <w:t xml:space="preserve">a </w:t>
      </w:r>
      <w:r>
        <w:t>preventive measure on the applicant, who was placed under special police supervision for one year.</w:t>
      </w:r>
    </w:p>
    <w:p w:rsidR="00E4189F" w:rsidP="00445083" w:rsidRDefault="00673BD0">
      <w:pPr>
        <w:pStyle w:val="JuPara"/>
      </w:pPr>
      <w:r>
        <w:fldChar w:fldCharType="begin"/>
      </w:r>
      <w:r>
        <w:instrText xml:space="preserve"> SEQ level0 \*arabic </w:instrText>
      </w:r>
      <w:r>
        <w:fldChar w:fldCharType="separate"/>
      </w:r>
      <w:r w:rsidR="000F1CF6">
        <w:rPr>
          <w:noProof/>
        </w:rPr>
        <w:t>11</w:t>
      </w:r>
      <w:r>
        <w:fldChar w:fldCharType="end"/>
      </w:r>
      <w:r>
        <w:t>.  </w:t>
      </w:r>
      <w:r w:rsidR="00445083">
        <w:t>The Brindisi District Court found that numerous criminal complaints had been made against the applicant. In particular, it found that in 1991 and 1992 a series of criminal complaints had been lodged alleging that he had received stolen goods under cover of his vehicle</w:t>
      </w:r>
      <w:r w:rsidR="00244F51">
        <w:t xml:space="preserve"> </w:t>
      </w:r>
      <w:r w:rsidR="00445083">
        <w:t>dismantling and spare</w:t>
      </w:r>
      <w:r w:rsidR="00244F51">
        <w:t xml:space="preserve"> </w:t>
      </w:r>
      <w:r w:rsidR="00445083">
        <w:t xml:space="preserve">parts business. On </w:t>
      </w:r>
      <w:smartTag w:uri="urn:schemas-microsoft-com:office:smarttags" w:element="date">
        <w:smartTagPr>
          <w:attr w:name="Month" w:val="5"/>
          <w:attr w:name="Day" w:val="13"/>
          <w:attr w:name="Year" w:val="1992"/>
        </w:smartTagPr>
        <w:r w:rsidR="00445083">
          <w:t>13 May 1992</w:t>
        </w:r>
      </w:smartTag>
      <w:r w:rsidR="00445083">
        <w:t xml:space="preserve"> a preventive measure in the form of a warning (</w:t>
      </w:r>
      <w:r w:rsidR="00445083">
        <w:rPr>
          <w:i/>
        </w:rPr>
        <w:t>avviso sociale</w:t>
      </w:r>
      <w:r w:rsidR="00445083">
        <w:t>) was imposed on the app</w:t>
      </w:r>
      <w:r w:rsidR="00240235">
        <w:t xml:space="preserve">licant for one year. On </w:t>
      </w:r>
      <w:smartTag w:uri="urn:schemas-microsoft-com:office:smarttags" w:element="date">
        <w:smartTagPr>
          <w:attr w:name="Month" w:val="6"/>
          <w:attr w:name="Day" w:val="13"/>
          <w:attr w:name="Year" w:val="1992"/>
        </w:smartTagPr>
        <w:r w:rsidR="00240235">
          <w:t xml:space="preserve">13 June </w:t>
        </w:r>
        <w:r w:rsidR="00445083">
          <w:t>1992</w:t>
        </w:r>
      </w:smartTag>
      <w:r w:rsidR="00445083">
        <w:t xml:space="preserve"> a criminal complaint was </w:t>
      </w:r>
      <w:r w:rsidR="00E801A2">
        <w:t>lodged</w:t>
      </w:r>
      <w:r w:rsidR="00445083">
        <w:t xml:space="preserve"> against him for aiding and abetting</w:t>
      </w:r>
      <w:r w:rsidR="00E801A2">
        <w:t xml:space="preserve"> theft and trading in stolen goods</w:t>
      </w:r>
      <w:r w:rsidR="00445083">
        <w:t xml:space="preserve">; he was acquitted by a judgment of </w:t>
      </w:r>
      <w:smartTag w:uri="urn:schemas-microsoft-com:office:smarttags" w:element="date">
        <w:smartTagPr>
          <w:attr w:name="Month" w:val="7"/>
          <w:attr w:name="Day" w:val="2"/>
          <w:attr w:name="Year" w:val="1993"/>
        </w:smartTagPr>
        <w:r w:rsidR="00445083">
          <w:t>2</w:t>
        </w:r>
        <w:r w:rsidR="00240235">
          <w:t xml:space="preserve"> </w:t>
        </w:r>
        <w:r w:rsidR="00445083">
          <w:t>July 1993</w:t>
        </w:r>
      </w:smartTag>
      <w:r w:rsidR="00DE6FCE">
        <w:t xml:space="preserve">. On </w:t>
      </w:r>
      <w:smartTag w:uri="urn:schemas-microsoft-com:office:smarttags" w:element="date">
        <w:smartTagPr>
          <w:attr w:name="Month" w:val="5"/>
          <w:attr w:name="Day" w:val="5"/>
          <w:attr w:name="Year" w:val="1993"/>
        </w:smartTagPr>
        <w:r w:rsidR="00DE6FCE">
          <w:t>5</w:t>
        </w:r>
        <w:r w:rsidR="00240235">
          <w:t xml:space="preserve"> </w:t>
        </w:r>
        <w:r w:rsidR="00DE6FCE">
          <w:t>May</w:t>
        </w:r>
        <w:r w:rsidR="00240235">
          <w:t xml:space="preserve"> </w:t>
        </w:r>
        <w:r w:rsidR="00445083">
          <w:t>1993</w:t>
        </w:r>
      </w:smartTag>
      <w:r w:rsidR="00445083">
        <w:t xml:space="preserve"> the applicant was arrested with two others in connection with another complaint for receiving stolen goods which had been </w:t>
      </w:r>
      <w:r w:rsidR="00153A7A">
        <w:t>lodge</w:t>
      </w:r>
      <w:r w:rsidR="00E801A2">
        <w:t>d</w:t>
      </w:r>
      <w:r w:rsidR="00445083">
        <w:t xml:space="preserve"> against him. In the light of the foregoing, the District Court considered that there w</w:t>
      </w:r>
      <w:r w:rsidR="00153A7A">
        <w:t>ere reasonable grounds for believ</w:t>
      </w:r>
      <w:r w:rsidR="00445083">
        <w:t>ing that, in spite of his clean record, the applicant was a habitual offender and thus “socially dangerous”, within the meaning of section 1 of Law no. 1423/56</w:t>
      </w:r>
      <w:r w:rsidR="00244F51">
        <w:t xml:space="preserve"> of 27</w:t>
      </w:r>
      <w:r w:rsidR="00240235">
        <w:t> </w:t>
      </w:r>
      <w:r w:rsidR="00244F51">
        <w:t>December 1956</w:t>
      </w:r>
      <w:r w:rsidR="00445083">
        <w:t>. It refused, however, to make a compulsory residence order (</w:t>
      </w:r>
      <w:r w:rsidR="00445083">
        <w:rPr>
          <w:i/>
        </w:rPr>
        <w:t>obbligo di soggiorno</w:t>
      </w:r>
      <w:r w:rsidR="00445083">
        <w:t>) against him.</w:t>
      </w:r>
    </w:p>
    <w:p w:rsidR="00445083" w:rsidP="00445083" w:rsidRDefault="00445083">
      <w:pPr>
        <w:pStyle w:val="JuPara"/>
      </w:pPr>
      <w:r>
        <w:fldChar w:fldCharType="begin"/>
      </w:r>
      <w:r>
        <w:instrText xml:space="preserve"> SEQ level0 \*arabic </w:instrText>
      </w:r>
      <w:r>
        <w:fldChar w:fldCharType="separate"/>
      </w:r>
      <w:r w:rsidR="000F1CF6">
        <w:rPr>
          <w:noProof/>
        </w:rPr>
        <w:t>12</w:t>
      </w:r>
      <w:r>
        <w:fldChar w:fldCharType="end"/>
      </w:r>
      <w:r>
        <w:t>.  The order imposing the preventive measure was forwarded f</w:t>
      </w:r>
      <w:r w:rsidR="00244F51">
        <w:t xml:space="preserve">or enforcement to the </w:t>
      </w:r>
      <w:smartTag w:uri="urn:schemas-microsoft-com:office:smarttags" w:element="City">
        <w:smartTag w:uri="urn:schemas-microsoft-com:office:smarttags" w:element="place">
          <w:r w:rsidR="00244F51">
            <w:t>Brindisi</w:t>
          </w:r>
        </w:smartTag>
      </w:smartTag>
      <w:r w:rsidR="00244F51">
        <w:t xml:space="preserve"> p</w:t>
      </w:r>
      <w:r>
        <w:t xml:space="preserve">refect on </w:t>
      </w:r>
      <w:smartTag w:uri="urn:schemas-microsoft-com:office:smarttags" w:element="date">
        <w:smartTagPr>
          <w:attr w:name="Month" w:val="4"/>
          <w:attr w:name="Day" w:val="7"/>
          <w:attr w:name="Year" w:val="1994"/>
        </w:smartTagPr>
        <w:r>
          <w:t>7 April 1994</w:t>
        </w:r>
      </w:smartTag>
      <w:r>
        <w:t xml:space="preserve"> and served on the applicant on </w:t>
      </w:r>
      <w:smartTag w:uri="urn:schemas-microsoft-com:office:smarttags" w:element="date">
        <w:smartTagPr>
          <w:attr w:name="Month" w:val="5"/>
          <w:attr w:name="Day" w:val="3"/>
          <w:attr w:name="Year" w:val="1994"/>
        </w:smartTagPr>
        <w:r>
          <w:t>3 May 1994</w:t>
        </w:r>
      </w:smartTag>
      <w:r>
        <w:t>.</w:t>
      </w:r>
    </w:p>
    <w:p w:rsidR="00445083" w:rsidP="00445083" w:rsidRDefault="00445083">
      <w:pPr>
        <w:pStyle w:val="JuPara"/>
      </w:pPr>
      <w:r>
        <w:fldChar w:fldCharType="begin"/>
      </w:r>
      <w:r>
        <w:instrText xml:space="preserve"> SEQ level0 \*arabic </w:instrText>
      </w:r>
      <w:r>
        <w:fldChar w:fldCharType="separate"/>
      </w:r>
      <w:r w:rsidR="000F1CF6">
        <w:rPr>
          <w:noProof/>
        </w:rPr>
        <w:t>13</w:t>
      </w:r>
      <w:r>
        <w:fldChar w:fldCharType="end"/>
      </w:r>
      <w:r>
        <w:t xml:space="preserve">.  The applicant appealed, but his appeal was dismissed by the Lecce Court of Appeal on </w:t>
      </w:r>
      <w:smartTag w:uri="urn:schemas-microsoft-com:office:smarttags" w:element="date">
        <w:smartTagPr>
          <w:attr w:name="Month" w:val="7"/>
          <w:attr w:name="Day" w:val="29"/>
          <w:attr w:name="Year" w:val="1994"/>
        </w:smartTagPr>
        <w:r>
          <w:t>29 July 1994</w:t>
        </w:r>
      </w:smartTag>
      <w:r>
        <w:t>. The ord</w:t>
      </w:r>
      <w:r w:rsidR="00DE6FCE">
        <w:t xml:space="preserve">er became final on </w:t>
      </w:r>
      <w:smartTag w:uri="urn:schemas-microsoft-com:office:smarttags" w:element="date">
        <w:smartTagPr>
          <w:attr w:name="Month" w:val="9"/>
          <w:attr w:name="Day" w:val="24"/>
          <w:attr w:name="Year" w:val="1994"/>
        </w:smartTagPr>
        <w:r w:rsidR="00DE6FCE">
          <w:t>24</w:t>
        </w:r>
        <w:r w:rsidR="00240235">
          <w:t xml:space="preserve"> </w:t>
        </w:r>
        <w:r w:rsidR="00DE6FCE">
          <w:t>September</w:t>
        </w:r>
        <w:r w:rsidR="00240235">
          <w:t xml:space="preserve"> </w:t>
        </w:r>
        <w:r>
          <w:t>1994</w:t>
        </w:r>
      </w:smartTag>
      <w:r>
        <w:t xml:space="preserve"> and was subsequently served on the Ostuni municipality on </w:t>
      </w:r>
      <w:smartTag w:uri="urn:schemas-microsoft-com:office:smarttags" w:element="date">
        <w:smartTagPr>
          <w:attr w:name="Month" w:val="9"/>
          <w:attr w:name="Day" w:val="27"/>
          <w:attr w:name="Year" w:val="1994"/>
        </w:smartTagPr>
        <w:r>
          <w:t>27 September</w:t>
        </w:r>
        <w:r w:rsidR="00240235">
          <w:t xml:space="preserve"> </w:t>
        </w:r>
        <w:r>
          <w:t>1994</w:t>
        </w:r>
      </w:smartTag>
      <w:r>
        <w:t>.</w:t>
      </w:r>
    </w:p>
    <w:p w:rsidR="00445083" w:rsidP="00445083" w:rsidRDefault="00445083">
      <w:pPr>
        <w:pStyle w:val="JuPara"/>
      </w:pPr>
      <w:r>
        <w:fldChar w:fldCharType="begin"/>
      </w:r>
      <w:r>
        <w:instrText xml:space="preserve"> SEQ level0 \*arabic </w:instrText>
      </w:r>
      <w:r>
        <w:fldChar w:fldCharType="separate"/>
      </w:r>
      <w:r w:rsidR="000F1CF6">
        <w:rPr>
          <w:noProof/>
        </w:rPr>
        <w:t>14</w:t>
      </w:r>
      <w:r>
        <w:fldChar w:fldCharType="end"/>
      </w:r>
      <w:r>
        <w:t xml:space="preserve">.  On </w:t>
      </w:r>
      <w:smartTag w:uri="urn:schemas-microsoft-com:office:smarttags" w:element="date">
        <w:smartTagPr>
          <w:attr w:name="Month" w:val="7"/>
          <w:attr w:name="Day" w:val="25"/>
          <w:attr w:name="Year" w:val="1995"/>
        </w:smartTagPr>
        <w:r>
          <w:t>25 July 1995</w:t>
        </w:r>
      </w:smartTag>
      <w:r>
        <w:t xml:space="preserve"> the Ostuni police drafted, in the applicant</w:t>
      </w:r>
      <w:r w:rsidR="00E4189F">
        <w:t>’</w:t>
      </w:r>
      <w:r>
        <w:t xml:space="preserve">s presence, a document setting out the obligations imposed on </w:t>
      </w:r>
      <w:r w:rsidR="00153A7A">
        <w:t>him</w:t>
      </w:r>
      <w:r>
        <w:t xml:space="preserve"> (</w:t>
      </w:r>
      <w:r>
        <w:rPr>
          <w:i/>
        </w:rPr>
        <w:t>verbale di sottoposizione agli obblighi</w:t>
      </w:r>
      <w:r>
        <w:t>).</w:t>
      </w:r>
    </w:p>
    <w:p w:rsidR="00445083" w:rsidP="000850EA" w:rsidRDefault="00445083">
      <w:pPr>
        <w:pStyle w:val="JuPara"/>
        <w:keepNext/>
        <w:keepLines/>
      </w:pPr>
      <w:r>
        <w:fldChar w:fldCharType="begin"/>
      </w:r>
      <w:r>
        <w:instrText xml:space="preserve"> SEQ level0 \*arabic </w:instrText>
      </w:r>
      <w:r>
        <w:fldChar w:fldCharType="separate"/>
      </w:r>
      <w:r w:rsidR="000F1CF6">
        <w:rPr>
          <w:noProof/>
        </w:rPr>
        <w:t>15</w:t>
      </w:r>
      <w:r>
        <w:fldChar w:fldCharType="end"/>
      </w:r>
      <w:r>
        <w:t>.  The applicant was required:</w:t>
      </w:r>
    </w:p>
    <w:p w:rsidR="00445083" w:rsidP="000850EA" w:rsidRDefault="00445083">
      <w:pPr>
        <w:pStyle w:val="JuPara"/>
        <w:keepNext/>
        <w:keepLines/>
      </w:pPr>
      <w:r>
        <w:t>(a)  to look for a suitable job within two months from the date of service of the order;</w:t>
      </w:r>
    </w:p>
    <w:p w:rsidR="00445083" w:rsidP="00445083" w:rsidRDefault="00445083">
      <w:pPr>
        <w:pStyle w:val="JuPara"/>
      </w:pPr>
      <w:r>
        <w:t>(b)  not to change his place of residence;</w:t>
      </w:r>
    </w:p>
    <w:p w:rsidR="00445083" w:rsidP="00445083" w:rsidRDefault="00445083">
      <w:pPr>
        <w:pStyle w:val="JuPara"/>
      </w:pPr>
      <w:r>
        <w:t>(c)  not to leave his home without informing the authorities responsible for supervising him;</w:t>
      </w:r>
    </w:p>
    <w:p w:rsidR="00445083" w:rsidP="00445083" w:rsidRDefault="00445083">
      <w:pPr>
        <w:pStyle w:val="JuPara"/>
      </w:pPr>
      <w:r>
        <w:t>(d)  to live an honest life and not to arouse suspicion;</w:t>
      </w:r>
    </w:p>
    <w:p w:rsidR="00445083" w:rsidP="00445083" w:rsidRDefault="00445083">
      <w:pPr>
        <w:pStyle w:val="JuPara"/>
      </w:pPr>
      <w:r>
        <w:t>(e)  not to associate with persons who had a criminal record or who were subject to preventive or security measures;</w:t>
      </w:r>
    </w:p>
    <w:p w:rsidR="00445083" w:rsidP="00445083" w:rsidRDefault="00445083">
      <w:pPr>
        <w:pStyle w:val="JuPara"/>
      </w:pPr>
      <w:r>
        <w:t xml:space="preserve">(f)  not to return home later than </w:t>
      </w:r>
      <w:smartTag w:uri="urn:schemas-microsoft-com:office:smarttags" w:element="time">
        <w:smartTagPr>
          <w:attr w:name="Hour" w:val="20"/>
          <w:attr w:name="Minute" w:val="0"/>
        </w:smartTagPr>
        <w:r>
          <w:t>8 p.m.</w:t>
        </w:r>
      </w:smartTag>
      <w:r>
        <w:t xml:space="preserve"> in summer </w:t>
      </w:r>
      <w:r w:rsidR="00153A7A">
        <w:t>and</w:t>
      </w:r>
      <w:r>
        <w:t xml:space="preserve"> </w:t>
      </w:r>
      <w:smartTag w:uri="urn:schemas-microsoft-com:office:smarttags" w:element="time">
        <w:smartTagPr>
          <w:attr w:name="Hour" w:val="18"/>
          <w:attr w:name="Minute" w:val="0"/>
        </w:smartTagPr>
        <w:r>
          <w:t>6 p.m.</w:t>
        </w:r>
      </w:smartTag>
      <w:r>
        <w:t xml:space="preserve"> in winter or to leave home before </w:t>
      </w:r>
      <w:smartTag w:uri="urn:schemas-microsoft-com:office:smarttags" w:element="time">
        <w:smartTagPr>
          <w:attr w:name="Hour" w:val="7"/>
          <w:attr w:name="Minute" w:val="0"/>
        </w:smartTagPr>
        <w:r>
          <w:t>7 a.m.</w:t>
        </w:r>
      </w:smartTag>
      <w:r>
        <w:t>, unless due cause could be shown and in all cases on</w:t>
      </w:r>
      <w:r w:rsidR="00153A7A">
        <w:t>ly after informing the authorities</w:t>
      </w:r>
      <w:r>
        <w:t xml:space="preserve"> responsible for supervising him;</w:t>
      </w:r>
    </w:p>
    <w:p w:rsidR="00445083" w:rsidP="00445083" w:rsidRDefault="00445083">
      <w:pPr>
        <w:pStyle w:val="JuPara"/>
      </w:pPr>
      <w:r>
        <w:t>(g)  not to keep or carry weapons;</w:t>
      </w:r>
    </w:p>
    <w:p w:rsidR="00445083" w:rsidP="00445083" w:rsidRDefault="00445083">
      <w:pPr>
        <w:pStyle w:val="JuPara"/>
      </w:pPr>
      <w:r>
        <w:t>(h)  not to go to bars or attend public meetings;</w:t>
      </w:r>
    </w:p>
    <w:p w:rsidR="00445083" w:rsidP="00445083" w:rsidRDefault="00445083">
      <w:pPr>
        <w:pStyle w:val="JuPara"/>
      </w:pPr>
      <w:r>
        <w:t xml:space="preserve">(i)  to report to the relevant police station on Sundays between </w:t>
      </w:r>
      <w:smartTag w:uri="urn:schemas-microsoft-com:office:smarttags" w:element="time">
        <w:smartTagPr>
          <w:attr w:name="Hour" w:val="9"/>
          <w:attr w:name="Minute" w:val="0"/>
        </w:smartTagPr>
        <w:r>
          <w:t>9 a.m.</w:t>
        </w:r>
      </w:smartTag>
      <w:r>
        <w:t xml:space="preserve"> and 12 </w:t>
      </w:r>
      <w:smartTag w:uri="urn:schemas-microsoft-com:office:smarttags" w:element="time">
        <w:smartTagPr>
          <w:attr w:name="Hour" w:val="12"/>
          <w:attr w:name="Minute" w:val="0"/>
        </w:smartTagPr>
        <w:r>
          <w:t>noon</w:t>
        </w:r>
      </w:smartTag>
      <w:r>
        <w:t>;</w:t>
      </w:r>
    </w:p>
    <w:p w:rsidR="00445083" w:rsidP="00445083" w:rsidRDefault="00445083">
      <w:pPr>
        <w:pStyle w:val="JuPara"/>
      </w:pPr>
      <w:r>
        <w:t>(j)  to have on him at all times the card setting out his precise obligatio</w:t>
      </w:r>
      <w:r w:rsidR="00153A7A">
        <w:t>ns under the preventive measure</w:t>
      </w:r>
      <w:r>
        <w:t xml:space="preserve"> and a copy of the court order.</w:t>
      </w:r>
    </w:p>
    <w:p w:rsidR="00445083" w:rsidP="00445083" w:rsidRDefault="00445083">
      <w:pPr>
        <w:pStyle w:val="JuPara"/>
      </w:pPr>
      <w:r>
        <w:fldChar w:fldCharType="begin"/>
      </w:r>
      <w:r>
        <w:instrText xml:space="preserve"> SEQ level0 \*arabic </w:instrText>
      </w:r>
      <w:r>
        <w:fldChar w:fldCharType="separate"/>
      </w:r>
      <w:r w:rsidR="000F1CF6">
        <w:rPr>
          <w:noProof/>
        </w:rPr>
        <w:t>16</w:t>
      </w:r>
      <w:r>
        <w:fldChar w:fldCharType="end"/>
      </w:r>
      <w:r>
        <w:t xml:space="preserve">.  On </w:t>
      </w:r>
      <w:smartTag w:uri="urn:schemas-microsoft-com:office:smarttags" w:element="date">
        <w:smartTagPr>
          <w:attr w:name="Month" w:val="7"/>
          <w:attr w:name="Day" w:val="31"/>
          <w:attr w:name="Year" w:val="1995"/>
        </w:smartTagPr>
        <w:r>
          <w:t>31 July 1995</w:t>
        </w:r>
      </w:smartTag>
      <w:r>
        <w:t xml:space="preserve"> the applicant applied to the Brindisi District Court for a declaration that the preventive measure had expired on </w:t>
      </w:r>
      <w:smartTag w:uri="urn:schemas-microsoft-com:office:smarttags" w:element="date">
        <w:smartTagPr>
          <w:attr w:name="Month" w:val="5"/>
          <w:attr w:name="Day" w:val="2"/>
          <w:attr w:name="Year" w:val="1995"/>
        </w:smartTagPr>
        <w:r>
          <w:t>2 May 1995</w:t>
        </w:r>
      </w:smartTag>
      <w:r>
        <w:t>, that is</w:t>
      </w:r>
      <w:r w:rsidR="00E801A2">
        <w:t xml:space="preserve">, </w:t>
      </w:r>
      <w:r>
        <w:t xml:space="preserve">one year after the date on which the order of </w:t>
      </w:r>
      <w:smartTag w:uri="urn:schemas-microsoft-com:office:smarttags" w:element="date">
        <w:smartTagPr>
          <w:attr w:name="Month" w:val="3"/>
          <w:attr w:name="Day" w:val="24"/>
          <w:attr w:name="Year" w:val="1994"/>
        </w:smartTagPr>
        <w:r>
          <w:t>24 March 1994</w:t>
        </w:r>
      </w:smartTag>
      <w:r>
        <w:t xml:space="preserve"> was served on him.</w:t>
      </w:r>
    </w:p>
    <w:p w:rsidR="00E4189F" w:rsidP="00445083" w:rsidRDefault="00445083">
      <w:pPr>
        <w:pStyle w:val="JuPara"/>
      </w:pPr>
      <w:r>
        <w:fldChar w:fldCharType="begin"/>
      </w:r>
      <w:r>
        <w:instrText xml:space="preserve"> SEQ level0 \*arabic </w:instrText>
      </w:r>
      <w:r>
        <w:fldChar w:fldCharType="separate"/>
      </w:r>
      <w:r w:rsidR="000F1CF6">
        <w:rPr>
          <w:noProof/>
        </w:rPr>
        <w:t>17</w:t>
      </w:r>
      <w:r>
        <w:fldChar w:fldCharType="end"/>
      </w:r>
      <w:r>
        <w:t>.  In an order of 7 October 1995, the Brindisi District Court found that, even if pursuant to section 11 o</w:t>
      </w:r>
      <w:r w:rsidR="00244F51">
        <w:t>f Law no. 1423/</w:t>
      </w:r>
      <w:r>
        <w:t>56 the special supervision peri</w:t>
      </w:r>
      <w:r w:rsidR="00153A7A">
        <w:t>od began</w:t>
      </w:r>
      <w:r>
        <w:t xml:space="preserve"> on the day on which the person on whom the preventive measure was imposed was served with the relevant order, compliance with that formality was necessary but not sufficient to constit</w:t>
      </w:r>
      <w:r w:rsidR="00153A7A">
        <w:t>ute an initial step in the implementa</w:t>
      </w:r>
      <w:r>
        <w:t>tion of the measure. For there to be such an initial step, it was also necessary under section 7 of Law no. 1423</w:t>
      </w:r>
      <w:r w:rsidR="00244F51">
        <w:t>/56</w:t>
      </w:r>
      <w:r>
        <w:t xml:space="preserve"> for the relevant order to be forwarded for enforcement to the competent police authority. The District Court observed that, under the Court of Cassation</w:t>
      </w:r>
      <w:r w:rsidR="00E4189F">
        <w:t>’</w:t>
      </w:r>
      <w:r>
        <w:t>s case-law, special supervision did not lapse at the end of the period for which it had been imposed, in</w:t>
      </w:r>
      <w:r w:rsidR="00153A7A">
        <w:t>dependently of when it was implemen</w:t>
      </w:r>
      <w:r>
        <w:t xml:space="preserve">ted. In the case before it, the initial step in the implementation of the measure had been taken on </w:t>
      </w:r>
      <w:smartTag w:uri="urn:schemas-microsoft-com:office:smarttags" w:element="date">
        <w:smartTagPr>
          <w:attr w:name="Month" w:val="7"/>
          <w:attr w:name="Day" w:val="25"/>
          <w:attr w:name="Year" w:val="1995"/>
        </w:smartTagPr>
        <w:r>
          <w:t>25 July 1995</w:t>
        </w:r>
      </w:smartTag>
      <w:r>
        <w:t>, the day on which the Ostuni police had drafted the document setting out the obligations imposed on the applicant. Consequently, it held that the preventive measure had not ceased to apply.</w:t>
      </w:r>
    </w:p>
    <w:p w:rsidR="00445083" w:rsidP="00445083" w:rsidRDefault="00445083">
      <w:pPr>
        <w:pStyle w:val="JuPara"/>
      </w:pPr>
      <w:r>
        <w:fldChar w:fldCharType="begin"/>
      </w:r>
      <w:r>
        <w:instrText xml:space="preserve"> SEQ level0 \*arabic </w:instrText>
      </w:r>
      <w:r>
        <w:fldChar w:fldCharType="separate"/>
      </w:r>
      <w:r w:rsidR="000F1CF6">
        <w:rPr>
          <w:noProof/>
        </w:rPr>
        <w:t>18</w:t>
      </w:r>
      <w:r>
        <w:fldChar w:fldCharType="end"/>
      </w:r>
      <w:r>
        <w:t>.  The applicant appealed to the Lecce Court of Appeal. He maintained that the preventive measure had automat</w:t>
      </w:r>
      <w:r w:rsidR="00DE6FCE">
        <w:t xml:space="preserve">ically ceased to apply on </w:t>
      </w:r>
      <w:smartTag w:uri="urn:schemas-microsoft-com:office:smarttags" w:element="date">
        <w:smartTagPr>
          <w:attr w:name="Month" w:val="5"/>
          <w:attr w:name="Day" w:val="2"/>
          <w:attr w:name="Year" w:val="1995"/>
        </w:smartTagPr>
        <w:r w:rsidR="00DE6FCE">
          <w:t>2 May </w:t>
        </w:r>
        <w:r>
          <w:t>1995</w:t>
        </w:r>
      </w:smartTag>
      <w:r>
        <w:t xml:space="preserve"> or, at the latest, on </w:t>
      </w:r>
      <w:smartTag w:uri="urn:schemas-microsoft-com:office:smarttags" w:element="date">
        <w:smartTagPr>
          <w:attr w:name="Month" w:val="9"/>
          <w:attr w:name="Day" w:val="28"/>
          <w:attr w:name="Year" w:val="1995"/>
        </w:smartTagPr>
        <w:r>
          <w:t>2</w:t>
        </w:r>
        <w:r w:rsidR="00244F51">
          <w:t>8</w:t>
        </w:r>
        <w:r>
          <w:t xml:space="preserve"> September 1995</w:t>
        </w:r>
      </w:smartTag>
      <w:r>
        <w:t xml:space="preserve">, which was </w:t>
      </w:r>
      <w:r w:rsidR="000850EA">
        <w:t xml:space="preserve">one year after the </w:t>
      </w:r>
      <w:r>
        <w:t xml:space="preserve">date on which the order </w:t>
      </w:r>
      <w:r w:rsidR="000850EA">
        <w:t>had been</w:t>
      </w:r>
      <w:r>
        <w:t xml:space="preserve"> served on the </w:t>
      </w:r>
      <w:smartTag w:uri="urn:schemas-microsoft-com:office:smarttags" w:element="City">
        <w:smartTag w:uri="urn:schemas-microsoft-com:office:smarttags" w:element="place">
          <w:r>
            <w:t>Brindisi</w:t>
          </w:r>
        </w:smartTag>
      </w:smartTag>
      <w:r>
        <w:t xml:space="preserve"> police and the Ostuni municipality. In any event, the applicant sought an order </w:t>
      </w:r>
      <w:r w:rsidR="00153A7A">
        <w:t>discharg</w:t>
      </w:r>
      <w:r w:rsidR="000850EA">
        <w:t>ing</w:t>
      </w:r>
      <w:r>
        <w:t xml:space="preserve"> the measure, arguing that there were no gr</w:t>
      </w:r>
      <w:r w:rsidR="00153A7A">
        <w:t>ounds for it to remain in force</w:t>
      </w:r>
      <w:r>
        <w:t>.</w:t>
      </w:r>
    </w:p>
    <w:p w:rsidR="00445083" w:rsidP="00445083" w:rsidRDefault="00445083">
      <w:pPr>
        <w:pStyle w:val="JuPara"/>
      </w:pPr>
      <w:r>
        <w:fldChar w:fldCharType="begin"/>
      </w:r>
      <w:r>
        <w:instrText xml:space="preserve"> SEQ level0 \*arabic </w:instrText>
      </w:r>
      <w:r>
        <w:fldChar w:fldCharType="separate"/>
      </w:r>
      <w:r w:rsidR="000F1CF6">
        <w:rPr>
          <w:noProof/>
        </w:rPr>
        <w:t>19</w:t>
      </w:r>
      <w:r>
        <w:fldChar w:fldCharType="end"/>
      </w:r>
      <w:r>
        <w:t xml:space="preserve">.  In a judgment of </w:t>
      </w:r>
      <w:smartTag w:uri="urn:schemas-microsoft-com:office:smarttags" w:element="date">
        <w:smartTagPr>
          <w:attr w:name="Month" w:val="4"/>
          <w:attr w:name="Day" w:val="29"/>
          <w:attr w:name="Year" w:val="1996"/>
        </w:smartTagPr>
        <w:r>
          <w:t>29 April 1996</w:t>
        </w:r>
      </w:smartTag>
      <w:r>
        <w:t xml:space="preserve">, the Court of Appeal upheld the order of </w:t>
      </w:r>
      <w:smartTag w:uri="urn:schemas-microsoft-com:office:smarttags" w:element="date">
        <w:smartTagPr>
          <w:attr w:name="Month" w:val="10"/>
          <w:attr w:name="Day" w:val="7"/>
          <w:attr w:name="Year" w:val="1995"/>
        </w:smartTagPr>
        <w:r>
          <w:t>7 October 1995</w:t>
        </w:r>
      </w:smartTag>
      <w:r>
        <w:t>, observing that t</w:t>
      </w:r>
      <w:r w:rsidR="00153A7A">
        <w:t xml:space="preserve">he </w:t>
      </w:r>
      <w:r>
        <w:t>case fell outside those for which statute provided the automatic lapse of special supervision. It considered that the preventive measure could not automatically cease to apply on the date stated in the order</w:t>
      </w:r>
      <w:r w:rsidR="00244F51">
        <w:t xml:space="preserve"> of </w:t>
      </w:r>
      <w:smartTag w:uri="urn:schemas-microsoft-com:office:smarttags" w:element="date">
        <w:smartTagPr>
          <w:attr w:name="Month" w:val="3"/>
          <w:attr w:name="Day" w:val="24"/>
          <w:attr w:name="Year" w:val="1994"/>
        </w:smartTagPr>
        <w:r w:rsidR="00244F51">
          <w:t>24 March 1994</w:t>
        </w:r>
      </w:smartTag>
      <w:r>
        <w:t xml:space="preserve"> independently of when it was implemented. Consequently, it concluded that the </w:t>
      </w:r>
      <w:r w:rsidR="00153A7A">
        <w:t>starting-</w:t>
      </w:r>
      <w:r w:rsidRPr="00403110">
        <w:t>point</w:t>
      </w:r>
      <w:r>
        <w:rPr>
          <w:i/>
        </w:rPr>
        <w:t xml:space="preserve"> </w:t>
      </w:r>
      <w:r>
        <w:t>for the application of the preventive measure was the day on which the first steps had been taken t</w:t>
      </w:r>
      <w:r w:rsidR="00153A7A">
        <w:t>o implement it. In this</w:t>
      </w:r>
      <w:r w:rsidR="00DE6FCE">
        <w:t xml:space="preserve"> case that had been </w:t>
      </w:r>
      <w:smartTag w:uri="urn:schemas-microsoft-com:office:smarttags" w:element="date">
        <w:smartTagPr>
          <w:attr w:name="Month" w:val="7"/>
          <w:attr w:name="Day" w:val="25"/>
          <w:attr w:name="Year" w:val="1995"/>
        </w:smartTagPr>
        <w:r w:rsidR="00DE6FCE">
          <w:t>25 July </w:t>
        </w:r>
        <w:r>
          <w:t>1995</w:t>
        </w:r>
      </w:smartTag>
      <w:r>
        <w:t>, when the police had drafted the document setting out the applicant</w:t>
      </w:r>
      <w:r w:rsidR="00E4189F">
        <w:t>’</w:t>
      </w:r>
      <w:r>
        <w:t>s obligations under the order.</w:t>
      </w:r>
    </w:p>
    <w:p w:rsidR="00445083" w:rsidP="00445083" w:rsidRDefault="00445083">
      <w:pPr>
        <w:pStyle w:val="JuPara"/>
      </w:pPr>
      <w:r>
        <w:fldChar w:fldCharType="begin"/>
      </w:r>
      <w:r>
        <w:instrText xml:space="preserve"> SEQ level0 \*arabic </w:instrText>
      </w:r>
      <w:r>
        <w:fldChar w:fldCharType="separate"/>
      </w:r>
      <w:r w:rsidR="000F1CF6">
        <w:rPr>
          <w:noProof/>
        </w:rPr>
        <w:t>20</w:t>
      </w:r>
      <w:r>
        <w:fldChar w:fldCharType="end"/>
      </w:r>
      <w:r>
        <w:t>.  The applicant appealed on points of law to the Court of Cassation.</w:t>
      </w:r>
    </w:p>
    <w:p w:rsidR="00445083" w:rsidP="00445083" w:rsidRDefault="00445083">
      <w:pPr>
        <w:pStyle w:val="JuPara"/>
        <w:rPr>
          <w:color w:val="0000FF"/>
        </w:rPr>
      </w:pPr>
      <w:r>
        <w:fldChar w:fldCharType="begin"/>
      </w:r>
      <w:r>
        <w:instrText xml:space="preserve"> SEQ level0 \*arabic </w:instrText>
      </w:r>
      <w:r>
        <w:fldChar w:fldCharType="separate"/>
      </w:r>
      <w:r w:rsidR="000F1CF6">
        <w:rPr>
          <w:noProof/>
        </w:rPr>
        <w:t>21</w:t>
      </w:r>
      <w:r>
        <w:fldChar w:fldCharType="end"/>
      </w:r>
      <w:r>
        <w:t>.  </w:t>
      </w:r>
      <w:r w:rsidR="00F46F4B">
        <w:t>In a</w:t>
      </w:r>
      <w:r>
        <w:t xml:space="preserve"> judgment of </w:t>
      </w:r>
      <w:smartTag w:uri="urn:schemas-microsoft-com:office:smarttags" w:element="date">
        <w:smartTagPr>
          <w:attr w:name="Month" w:val="12"/>
          <w:attr w:name="Day" w:val="16"/>
          <w:attr w:name="Year" w:val="1996"/>
        </w:smartTagPr>
        <w:r>
          <w:t>16 December 1996</w:t>
        </w:r>
      </w:smartTag>
      <w:r>
        <w:t xml:space="preserve">, which was filed with the registry on </w:t>
      </w:r>
      <w:smartTag w:uri="urn:schemas-microsoft-com:office:smarttags" w:element="date">
        <w:smartTagPr>
          <w:attr w:name="Month" w:val="2"/>
          <w:attr w:name="Day" w:val="6"/>
          <w:attr w:name="Year" w:val="1997"/>
        </w:smartTagPr>
        <w:r>
          <w:t>6 February 1997</w:t>
        </w:r>
      </w:smartTag>
      <w:r>
        <w:t xml:space="preserve">, the Court of Cassation ruled that the order for special supervision of the applicant had ceased to apply on </w:t>
      </w:r>
      <w:smartTag w:uri="urn:schemas-microsoft-com:office:smarttags" w:element="date">
        <w:smartTagPr>
          <w:attr w:name="Month" w:val="5"/>
          <w:attr w:name="Day" w:val="2"/>
          <w:attr w:name="Year" w:val="1995"/>
        </w:smartTagPr>
        <w:r>
          <w:t>2 May 1995</w:t>
        </w:r>
      </w:smartTag>
      <w:r>
        <w:t xml:space="preserve">. It </w:t>
      </w:r>
      <w:r w:rsidR="00AA72DB">
        <w:t>observed</w:t>
      </w:r>
      <w:r>
        <w:t xml:space="preserve"> that</w:t>
      </w:r>
      <w:r>
        <w:rPr>
          <w:color w:val="0000FF"/>
        </w:rPr>
        <w:t xml:space="preserve"> </w:t>
      </w:r>
      <w:r>
        <w:t>section 11 of Law no. 1423/56 expressly provided that the period of special supervision started to run on the day the person to be supervised was served with the relevant order.</w:t>
      </w:r>
      <w:r>
        <w:rPr>
          <w:color w:val="0000FF"/>
        </w:rPr>
        <w:t xml:space="preserve"> </w:t>
      </w:r>
      <w:r>
        <w:t>Consequently, contrary to the opinion of the Court of Appeal, it found that the date on which the document setting out the obligations imposed on the applicant</w:t>
      </w:r>
      <w:r>
        <w:rPr>
          <w:color w:val="0000FF"/>
        </w:rPr>
        <w:t xml:space="preserve"> </w:t>
      </w:r>
      <w:r>
        <w:t>was drafted was not relevant for the purposes of identifying the</w:t>
      </w:r>
      <w:r>
        <w:rPr>
          <w:color w:val="0000FF"/>
        </w:rPr>
        <w:t xml:space="preserve"> </w:t>
      </w:r>
      <w:r w:rsidRPr="00AD4D9E">
        <w:t>date</w:t>
      </w:r>
      <w:r>
        <w:t xml:space="preserve"> </w:t>
      </w:r>
      <w:r w:rsidR="00F46F4B">
        <w:t xml:space="preserve">on which </w:t>
      </w:r>
      <w:r>
        <w:t>the preventive measure first took effect. It concluded that the period of special supervision had started to run on the day on which the relevant order was served on the applicant</w:t>
      </w:r>
      <w:r w:rsidR="00AA72DB">
        <w:t xml:space="preserve"> (</w:t>
      </w:r>
      <w:smartTag w:uri="urn:schemas-microsoft-com:office:smarttags" w:element="date">
        <w:smartTagPr>
          <w:attr w:name="Month" w:val="5"/>
          <w:attr w:name="Day" w:val="3"/>
          <w:attr w:name="Year" w:val="1994"/>
        </w:smartTagPr>
        <w:r w:rsidR="00AA72DB">
          <w:t>3 May 1994</w:t>
        </w:r>
      </w:smartTag>
      <w:r w:rsidR="00AA72DB">
        <w:t>)</w:t>
      </w:r>
      <w:r>
        <w:t>.</w:t>
      </w:r>
    </w:p>
    <w:p w:rsidR="00445083" w:rsidP="00445083" w:rsidRDefault="00445083">
      <w:pPr>
        <w:pStyle w:val="JuPara"/>
      </w:pPr>
      <w:r>
        <w:fldChar w:fldCharType="begin"/>
      </w:r>
      <w:r>
        <w:instrText xml:space="preserve"> SEQ level0 \*arabic </w:instrText>
      </w:r>
      <w:r>
        <w:fldChar w:fldCharType="separate"/>
      </w:r>
      <w:r w:rsidR="000F1CF6">
        <w:rPr>
          <w:noProof/>
        </w:rPr>
        <w:t>22</w:t>
      </w:r>
      <w:r>
        <w:fldChar w:fldCharType="end"/>
      </w:r>
      <w:r>
        <w:t xml:space="preserve">.  In the meantime, on </w:t>
      </w:r>
      <w:smartTag w:uri="urn:schemas-microsoft-com:office:smarttags" w:element="date">
        <w:smartTagPr>
          <w:attr w:name="Month" w:val="9"/>
          <w:attr w:name="Day" w:val="20"/>
          <w:attr w:name="Year" w:val="1996"/>
        </w:smartTagPr>
        <w:r>
          <w:t>20 September 1996</w:t>
        </w:r>
      </w:smartTag>
      <w:r>
        <w:t xml:space="preserve"> the Ostuni police had informed the Brindisi District Court that the order for special supervision of the applicant had ceased to apply on </w:t>
      </w:r>
      <w:smartTag w:uri="urn:schemas-microsoft-com:office:smarttags" w:element="date">
        <w:smartTagPr>
          <w:attr w:name="Month" w:val="7"/>
          <w:attr w:name="Day" w:val="24"/>
          <w:attr w:name="Year" w:val="1996"/>
        </w:smartTagPr>
        <w:r>
          <w:t>24 July 1996</w:t>
        </w:r>
      </w:smartTag>
      <w:r>
        <w:t>.</w:t>
      </w:r>
    </w:p>
    <w:p w:rsidRPr="00445083" w:rsidR="00CD49A7" w:rsidRDefault="00CD49A7">
      <w:pPr>
        <w:pStyle w:val="JuHA"/>
      </w:pPr>
      <w:r w:rsidRPr="00445083">
        <w:t>B.  </w:t>
      </w:r>
      <w:r w:rsidR="00445083">
        <w:t>The disenfranchisement</w:t>
      </w:r>
    </w:p>
    <w:p w:rsidR="00E4189F" w:rsidP="00445083" w:rsidRDefault="00445083">
      <w:pPr>
        <w:pStyle w:val="JuPara"/>
      </w:pPr>
      <w:r w:rsidRPr="00445083">
        <w:fldChar w:fldCharType="begin"/>
      </w:r>
      <w:r w:rsidRPr="00445083">
        <w:instrText xml:space="preserve"> SEQ level0 \*arabic </w:instrText>
      </w:r>
      <w:r w:rsidRPr="00445083">
        <w:fldChar w:fldCharType="separate"/>
      </w:r>
      <w:r w:rsidR="000F1CF6">
        <w:rPr>
          <w:noProof/>
        </w:rPr>
        <w:t>23</w:t>
      </w:r>
      <w:r w:rsidRPr="00445083">
        <w:fldChar w:fldCharType="end"/>
      </w:r>
      <w:r w:rsidRPr="00445083" w:rsidR="00CD49A7">
        <w:t>.  </w:t>
      </w:r>
      <w:r>
        <w:t xml:space="preserve">As a result of the special supervision measure imposed on the applicant, the Ostuni Municipal Electoral </w:t>
      </w:r>
      <w:r w:rsidR="00DE6FCE">
        <w:t xml:space="preserve">Committee decided on </w:t>
      </w:r>
      <w:smartTag w:uri="urn:schemas-microsoft-com:office:smarttags" w:element="date">
        <w:smartTagPr>
          <w:attr w:name="Month" w:val="1"/>
          <w:attr w:name="Day" w:val="10"/>
          <w:attr w:name="Year" w:val="1995"/>
        </w:smartTagPr>
        <w:r w:rsidR="00DE6FCE">
          <w:t>10 January </w:t>
        </w:r>
        <w:r>
          <w:t>1995</w:t>
        </w:r>
      </w:smartTag>
      <w:r>
        <w:t xml:space="preserve"> to strike the applicant off the electoral register on the ground that his ci</w:t>
      </w:r>
      <w:r w:rsidR="00153A7A">
        <w:t>vic</w:t>
      </w:r>
      <w:r>
        <w:t xml:space="preserve"> rights had been suspended pursuant to Presidential Decree no. 223 of </w:t>
      </w:r>
      <w:smartTag w:uri="urn:schemas-microsoft-com:office:smarttags" w:element="date">
        <w:smartTagPr>
          <w:attr w:name="Month" w:val="3"/>
          <w:attr w:name="Day" w:val="20"/>
          <w:attr w:name="Year" w:val="1967"/>
        </w:smartTagPr>
        <w:r>
          <w:t>20 March 1967</w:t>
        </w:r>
      </w:smartTag>
      <w:r>
        <w:t>.</w:t>
      </w:r>
    </w:p>
    <w:p w:rsidR="00E4189F" w:rsidP="00445083" w:rsidRDefault="00445083">
      <w:pPr>
        <w:pStyle w:val="JuPara"/>
      </w:pPr>
      <w:r>
        <w:fldChar w:fldCharType="begin"/>
      </w:r>
      <w:r>
        <w:instrText xml:space="preserve"> SEQ level0 \*arabic </w:instrText>
      </w:r>
      <w:r>
        <w:fldChar w:fldCharType="separate"/>
      </w:r>
      <w:r w:rsidR="000F1CF6">
        <w:rPr>
          <w:noProof/>
        </w:rPr>
        <w:t>24</w:t>
      </w:r>
      <w:r>
        <w:fldChar w:fldCharType="end"/>
      </w:r>
      <w:r>
        <w:t xml:space="preserve">.  The applicant was subsequently prevented from </w:t>
      </w:r>
      <w:r w:rsidR="00153A7A">
        <w:t xml:space="preserve">taking part in </w:t>
      </w:r>
      <w:r>
        <w:t>the regional council (</w:t>
      </w:r>
      <w:r>
        <w:rPr>
          <w:i/>
        </w:rPr>
        <w:t>Consiglio Regionale</w:t>
      </w:r>
      <w:r>
        <w:t xml:space="preserve">) </w:t>
      </w:r>
      <w:r w:rsidR="00153A7A">
        <w:t xml:space="preserve">election </w:t>
      </w:r>
      <w:r>
        <w:t xml:space="preserve">of </w:t>
      </w:r>
      <w:smartTag w:uri="urn:schemas-microsoft-com:office:smarttags" w:element="date">
        <w:smartTagPr>
          <w:attr w:name="Month" w:val="4"/>
          <w:attr w:name="Day" w:val="23"/>
          <w:attr w:name="Year" w:val="1995"/>
        </w:smartTagPr>
        <w:r>
          <w:t>23 April 1995</w:t>
        </w:r>
      </w:smartTag>
      <w:r>
        <w:t>.</w:t>
      </w:r>
    </w:p>
    <w:p w:rsidR="00445083" w:rsidP="00445083" w:rsidRDefault="00445083">
      <w:pPr>
        <w:pStyle w:val="JuPara"/>
      </w:pPr>
      <w:r>
        <w:fldChar w:fldCharType="begin"/>
      </w:r>
      <w:r>
        <w:instrText xml:space="preserve"> SEQ level0 \*arabic </w:instrText>
      </w:r>
      <w:r>
        <w:fldChar w:fldCharType="separate"/>
      </w:r>
      <w:r w:rsidR="000F1CF6">
        <w:rPr>
          <w:noProof/>
        </w:rPr>
        <w:t>25</w:t>
      </w:r>
      <w:r>
        <w:fldChar w:fldCharType="end"/>
      </w:r>
      <w:r>
        <w:t xml:space="preserve">.  On </w:t>
      </w:r>
      <w:smartTag w:uri="urn:schemas-microsoft-com:office:smarttags" w:element="date">
        <w:smartTagPr>
          <w:attr w:name="Month" w:val="7"/>
          <w:attr w:name="Day" w:val="28"/>
          <w:attr w:name="Year" w:val="1995"/>
        </w:smartTagPr>
        <w:r>
          <w:t>28 July 1995</w:t>
        </w:r>
      </w:smartTag>
      <w:r>
        <w:t xml:space="preserve"> the applicant</w:t>
      </w:r>
      <w:r w:rsidR="00E4189F">
        <w:t>’</w:t>
      </w:r>
      <w:r>
        <w:t>s name was res</w:t>
      </w:r>
      <w:r w:rsidR="000850EA">
        <w:t>tored to the electoral register</w:t>
      </w:r>
      <w:r>
        <w:t>.</w:t>
      </w:r>
    </w:p>
    <w:p w:rsidR="00E4189F" w:rsidP="00445083" w:rsidRDefault="00445083">
      <w:pPr>
        <w:pStyle w:val="JuPara"/>
      </w:pPr>
      <w:r>
        <w:fldChar w:fldCharType="begin"/>
      </w:r>
      <w:r>
        <w:instrText xml:space="preserve"> SEQ level0 \*arabic </w:instrText>
      </w:r>
      <w:r>
        <w:fldChar w:fldCharType="separate"/>
      </w:r>
      <w:r w:rsidR="000F1CF6">
        <w:rPr>
          <w:noProof/>
        </w:rPr>
        <w:t>26</w:t>
      </w:r>
      <w:r>
        <w:fldChar w:fldCharType="end"/>
      </w:r>
      <w:r>
        <w:t xml:space="preserve">.  In a certificate issued on </w:t>
      </w:r>
      <w:smartTag w:uri="urn:schemas-microsoft-com:office:smarttags" w:element="date">
        <w:smartTagPr>
          <w:attr w:name="Month" w:val="11"/>
          <w:attr w:name="Day" w:val="22"/>
          <w:attr w:name="Year" w:val="1995"/>
        </w:smartTagPr>
        <w:r>
          <w:t>22 November 1995</w:t>
        </w:r>
      </w:smartTag>
      <w:r>
        <w:t xml:space="preserve">, however, the mayor of Ostuni stated that </w:t>
      </w:r>
      <w:r w:rsidR="000850EA">
        <w:t>the applicant had been subject</w:t>
      </w:r>
      <w:r>
        <w:t xml:space="preserve"> to a further year</w:t>
      </w:r>
      <w:r w:rsidR="00E4189F">
        <w:t>’</w:t>
      </w:r>
      <w:r>
        <w:t xml:space="preserve">s special supervision by a decision of the </w:t>
      </w:r>
      <w:smartTag w:uri="urn:schemas-microsoft-com:office:smarttags" w:element="City">
        <w:smartTag w:uri="urn:schemas-microsoft-com:office:smarttags" w:element="place">
          <w:r>
            <w:t>Brindisi</w:t>
          </w:r>
        </w:smartTag>
      </w:smartTag>
      <w:r>
        <w:t xml:space="preserve"> police of </w:t>
      </w:r>
      <w:smartTag w:uri="urn:schemas-microsoft-com:office:smarttags" w:element="date">
        <w:smartTagPr>
          <w:attr w:name="Month" w:val="7"/>
          <w:attr w:name="Day" w:val="25"/>
          <w:attr w:name="Year" w:val="1995"/>
        </w:smartTagPr>
        <w:r>
          <w:t>25 July 1995</w:t>
        </w:r>
      </w:smartTag>
      <w:r>
        <w:t xml:space="preserve">. On </w:t>
      </w:r>
      <w:smartTag w:uri="urn:schemas-microsoft-com:office:smarttags" w:element="date">
        <w:smartTagPr>
          <w:attr w:name="Month" w:val="12"/>
          <w:attr w:name="Day" w:val="15"/>
          <w:attr w:name="Year" w:val="1995"/>
        </w:smartTagPr>
        <w:r>
          <w:t>15 December 1995</w:t>
        </w:r>
      </w:smartTag>
      <w:r>
        <w:t xml:space="preserve"> the mayor declared that the applicant would be struck off the elector</w:t>
      </w:r>
      <w:r w:rsidR="000850EA">
        <w:t>al register</w:t>
      </w:r>
      <w:r>
        <w:t xml:space="preserve"> for another year.</w:t>
      </w:r>
    </w:p>
    <w:p w:rsidR="00E4189F" w:rsidP="00445083" w:rsidRDefault="00445083">
      <w:pPr>
        <w:pStyle w:val="JuPara"/>
      </w:pPr>
      <w:r>
        <w:fldChar w:fldCharType="begin"/>
      </w:r>
      <w:r>
        <w:instrText xml:space="preserve"> SEQ level0 \*arabic </w:instrText>
      </w:r>
      <w:r>
        <w:fldChar w:fldCharType="separate"/>
      </w:r>
      <w:r w:rsidR="000F1CF6">
        <w:rPr>
          <w:noProof/>
        </w:rPr>
        <w:t>27</w:t>
      </w:r>
      <w:r>
        <w:fldChar w:fldCharType="end"/>
      </w:r>
      <w:r>
        <w:t xml:space="preserve">.  On </w:t>
      </w:r>
      <w:smartTag w:uri="urn:schemas-microsoft-com:office:smarttags" w:element="date">
        <w:smartTagPr>
          <w:attr w:name="Month" w:val="4"/>
          <w:attr w:name="Day" w:val="12"/>
          <w:attr w:name="Year" w:val="1996"/>
        </w:smartTagPr>
        <w:r>
          <w:t>12 April 1996</w:t>
        </w:r>
      </w:smartTag>
      <w:r>
        <w:t xml:space="preserve"> the Ostuni Municipal Electoral Committee refused the applicant</w:t>
      </w:r>
      <w:r w:rsidR="00E4189F">
        <w:t>’</w:t>
      </w:r>
      <w:r>
        <w:t xml:space="preserve">s request to be allowed to take part in the </w:t>
      </w:r>
      <w:r w:rsidR="00153A7A">
        <w:t>national p</w:t>
      </w:r>
      <w:r w:rsidR="00244F51">
        <w:t>arliament</w:t>
      </w:r>
      <w:r w:rsidR="00153A7A">
        <w:t>ary</w:t>
      </w:r>
      <w:r w:rsidR="00244F51">
        <w:t xml:space="preserve"> </w:t>
      </w:r>
      <w:r w:rsidR="00153A7A">
        <w:t>election</w:t>
      </w:r>
      <w:r>
        <w:t xml:space="preserve"> on </w:t>
      </w:r>
      <w:smartTag w:uri="urn:schemas-microsoft-com:office:smarttags" w:element="date">
        <w:smartTagPr>
          <w:attr w:name="Month" w:val="4"/>
          <w:attr w:name="Day" w:val="21"/>
          <w:attr w:name="Year" w:val="1996"/>
        </w:smartTagPr>
        <w:r>
          <w:t>21 April 1996</w:t>
        </w:r>
      </w:smartTag>
      <w:r>
        <w:t>.</w:t>
      </w:r>
    </w:p>
    <w:p w:rsidR="00445083" w:rsidP="00445083" w:rsidRDefault="00445083">
      <w:pPr>
        <w:pStyle w:val="JuPara"/>
      </w:pPr>
      <w:r>
        <w:fldChar w:fldCharType="begin"/>
      </w:r>
      <w:r>
        <w:instrText xml:space="preserve"> SEQ level0 \*arabic </w:instrText>
      </w:r>
      <w:r>
        <w:fldChar w:fldCharType="separate"/>
      </w:r>
      <w:r w:rsidR="000F1CF6">
        <w:rPr>
          <w:noProof/>
        </w:rPr>
        <w:t>28</w:t>
      </w:r>
      <w:r>
        <w:fldChar w:fldCharType="end"/>
      </w:r>
      <w:r>
        <w:t>.  The applicant lodged an appeal with the Lecce Court of Appeal in which he conten</w:t>
      </w:r>
      <w:r w:rsidR="00F46F4B">
        <w:t>ded that the preventive measure</w:t>
      </w:r>
      <w:r>
        <w:t xml:space="preserve"> had ceased to apply on </w:t>
      </w:r>
      <w:smartTag w:uri="urn:schemas-microsoft-com:office:smarttags" w:element="date">
        <w:smartTagPr>
          <w:attr w:name="Month" w:val="5"/>
          <w:attr w:name="Day" w:val="2"/>
          <w:attr w:name="Year" w:val="1995"/>
        </w:smartTagPr>
        <w:r>
          <w:t>2 May 1995</w:t>
        </w:r>
      </w:smartTag>
      <w:r>
        <w:t xml:space="preserve"> and that, accordingly, there were no grounds for </w:t>
      </w:r>
      <w:r w:rsidR="00153A7A">
        <w:t>excluding him from the election</w:t>
      </w:r>
      <w:r>
        <w:t>.</w:t>
      </w:r>
    </w:p>
    <w:p w:rsidRPr="00445083" w:rsidR="00CD49A7" w:rsidP="00445083" w:rsidRDefault="00445083">
      <w:pPr>
        <w:pStyle w:val="JuPara"/>
      </w:pPr>
      <w:r>
        <w:fldChar w:fldCharType="begin"/>
      </w:r>
      <w:r>
        <w:instrText xml:space="preserve"> SEQ level0 \*arabic </w:instrText>
      </w:r>
      <w:r>
        <w:fldChar w:fldCharType="separate"/>
      </w:r>
      <w:r w:rsidR="000F1CF6">
        <w:rPr>
          <w:noProof/>
        </w:rPr>
        <w:t>29</w:t>
      </w:r>
      <w:r>
        <w:fldChar w:fldCharType="end"/>
      </w:r>
      <w:r>
        <w:t>.  </w:t>
      </w:r>
      <w:r w:rsidR="00F46F4B">
        <w:t xml:space="preserve">In a </w:t>
      </w:r>
      <w:r>
        <w:t xml:space="preserve">judgment of </w:t>
      </w:r>
      <w:smartTag w:uri="urn:schemas-microsoft-com:office:smarttags" w:element="date">
        <w:smartTagPr>
          <w:attr w:name="Month" w:val="4"/>
          <w:attr w:name="Day" w:val="18"/>
          <w:attr w:name="Year" w:val="1996"/>
        </w:smartTagPr>
        <w:r>
          <w:t>18 April 1996</w:t>
        </w:r>
      </w:smartTag>
      <w:r>
        <w:t xml:space="preserve">, </w:t>
      </w:r>
      <w:r w:rsidR="00244F51">
        <w:t>the Lecce Court of Appeal dismiss</w:t>
      </w:r>
      <w:r>
        <w:t>ed</w:t>
      </w:r>
      <w:r w:rsidR="00153A7A">
        <w:t xml:space="preserve"> the appeal</w:t>
      </w:r>
      <w:r>
        <w:t xml:space="preserve"> on the ground that the disenfranchisement could be challenged only after the preventive measure </w:t>
      </w:r>
      <w:r w:rsidR="000850EA">
        <w:t>had</w:t>
      </w:r>
      <w:r>
        <w:t xml:space="preserve"> actually </w:t>
      </w:r>
      <w:r w:rsidR="000850EA">
        <w:t xml:space="preserve">been </w:t>
      </w:r>
      <w:r>
        <w:t>implemented.</w:t>
      </w:r>
    </w:p>
    <w:p w:rsidR="00CD49A7" w:rsidRDefault="00CD49A7">
      <w:pPr>
        <w:pStyle w:val="JuHIRoman"/>
      </w:pPr>
      <w:r w:rsidRPr="00445083">
        <w:t>II. RELEVANT DOMESTIC LAW</w:t>
      </w:r>
    </w:p>
    <w:p w:rsidR="00644633" w:rsidP="00644633" w:rsidRDefault="00644633">
      <w:pPr>
        <w:pStyle w:val="JuHA"/>
      </w:pPr>
      <w:r>
        <w:t>A</w:t>
      </w:r>
      <w:r w:rsidRPr="00445083">
        <w:t>.  </w:t>
      </w:r>
      <w:r>
        <w:t>Provisions concerning preventive measures</w:t>
      </w:r>
    </w:p>
    <w:p w:rsidRPr="00000710" w:rsidR="00644633" w:rsidP="00644633" w:rsidRDefault="00644633">
      <w:pPr>
        <w:pStyle w:val="JuPara"/>
      </w:pPr>
      <w:r>
        <w:fldChar w:fldCharType="begin"/>
      </w:r>
      <w:r>
        <w:instrText xml:space="preserve"> SEQ level0 \*arabic </w:instrText>
      </w:r>
      <w:r>
        <w:fldChar w:fldCharType="separate"/>
      </w:r>
      <w:r w:rsidR="000F1CF6">
        <w:rPr>
          <w:noProof/>
        </w:rPr>
        <w:t>30</w:t>
      </w:r>
      <w:r>
        <w:fldChar w:fldCharType="end"/>
      </w:r>
      <w:r>
        <w:t>. </w:t>
      </w:r>
      <w:r w:rsidRPr="00000710">
        <w:t xml:space="preserve"> The power to impose preventive measures was introduced by Law </w:t>
      </w:r>
      <w:r w:rsidRPr="00000710" w:rsidR="00000710">
        <w:t>n</w:t>
      </w:r>
      <w:r w:rsidR="00153A7A">
        <w:t xml:space="preserve">o. 1423 of </w:t>
      </w:r>
      <w:smartTag w:uri="urn:schemas-microsoft-com:office:smarttags" w:element="date">
        <w:smartTagPr>
          <w:attr w:name="Month" w:val="12"/>
          <w:attr w:name="Day" w:val="27"/>
          <w:attr w:name="Year" w:val="1956"/>
        </w:smartTagPr>
        <w:r w:rsidR="00153A7A">
          <w:t>27 December 1956</w:t>
        </w:r>
      </w:smartTag>
      <w:r w:rsidRPr="00000710">
        <w:t xml:space="preserve">. Such measures are intended to prevent individuals </w:t>
      </w:r>
      <w:r w:rsidRPr="00000710" w:rsidR="00000710">
        <w:t xml:space="preserve">who </w:t>
      </w:r>
      <w:r w:rsidR="00153A7A">
        <w:t>are considered “socially dangerous”</w:t>
      </w:r>
      <w:r w:rsidRPr="00000710">
        <w:t xml:space="preserve"> from committing offences. The statute </w:t>
      </w:r>
      <w:r w:rsidRPr="00000710" w:rsidR="00000710">
        <w:t>indicates</w:t>
      </w:r>
      <w:r w:rsidRPr="00000710">
        <w:t xml:space="preserve"> three groups </w:t>
      </w:r>
      <w:r w:rsidRPr="00000710" w:rsidR="00000710">
        <w:t>of socially</w:t>
      </w:r>
      <w:r w:rsidRPr="00000710">
        <w:t xml:space="preserve"> danger</w:t>
      </w:r>
      <w:r w:rsidRPr="00000710" w:rsidR="00000710">
        <w:t>ous</w:t>
      </w:r>
      <w:r w:rsidRPr="00000710">
        <w:t xml:space="preserve"> </w:t>
      </w:r>
      <w:r w:rsidRPr="00000710" w:rsidR="00000710">
        <w:t>persons</w:t>
      </w:r>
      <w:r w:rsidRPr="00000710">
        <w:t xml:space="preserve">: (a) anyone who, on the basis of factual </w:t>
      </w:r>
      <w:r w:rsidR="00153A7A">
        <w:t>evidence, must be regarded as a</w:t>
      </w:r>
      <w:r w:rsidRPr="00000710">
        <w:t xml:space="preserve"> habitual offender; (b) anyone who</w:t>
      </w:r>
      <w:r w:rsidRPr="00000710" w:rsidR="00000710">
        <w:t>,</w:t>
      </w:r>
      <w:r w:rsidRPr="00000710">
        <w:t xml:space="preserve"> on account of his con</w:t>
      </w:r>
      <w:r w:rsidR="00F46F4B">
        <w:t>duct or life</w:t>
      </w:r>
      <w:r w:rsidRPr="00000710">
        <w:t xml:space="preserve">style </w:t>
      </w:r>
      <w:r w:rsidRPr="00000710" w:rsidR="00000710">
        <w:t xml:space="preserve">and on the basis of factual evidence, </w:t>
      </w:r>
      <w:r w:rsidRPr="00000710">
        <w:t>must be regarded as habitually deriving his income from the proceeds of crime; and (c) anyone who</w:t>
      </w:r>
      <w:r w:rsidRPr="00000710" w:rsidR="00000710">
        <w:t>,</w:t>
      </w:r>
      <w:r w:rsidRPr="00000710">
        <w:t xml:space="preserve"> on account of his conduct</w:t>
      </w:r>
      <w:r w:rsidRPr="00000710" w:rsidR="00000710">
        <w:t xml:space="preserve"> and on the basis of factual evidence,</w:t>
      </w:r>
      <w:r w:rsidRPr="00000710">
        <w:t xml:space="preserve"> must be regarded as having committed off</w:t>
      </w:r>
      <w:r w:rsidR="00153A7A">
        <w:t xml:space="preserve">ences endangering the </w:t>
      </w:r>
      <w:r w:rsidRPr="00000710">
        <w:t xml:space="preserve">physical </w:t>
      </w:r>
      <w:r w:rsidR="00153A7A">
        <w:t xml:space="preserve">or mental </w:t>
      </w:r>
      <w:r w:rsidRPr="00000710">
        <w:t>integrity of minors or posing a threat to society, security or public order.</w:t>
      </w:r>
    </w:p>
    <w:p w:rsidR="00E4189F" w:rsidP="00644633" w:rsidRDefault="00FF1648">
      <w:pPr>
        <w:pStyle w:val="JuPara"/>
      </w:pPr>
      <w:r>
        <w:fldChar w:fldCharType="begin"/>
      </w:r>
      <w:r>
        <w:instrText xml:space="preserve"> SEQ level0 \*arabic </w:instrText>
      </w:r>
      <w:r>
        <w:fldChar w:fldCharType="separate"/>
      </w:r>
      <w:r w:rsidR="000F1CF6">
        <w:rPr>
          <w:noProof/>
        </w:rPr>
        <w:t>31</w:t>
      </w:r>
      <w:r>
        <w:fldChar w:fldCharType="end"/>
      </w:r>
      <w:r>
        <w:t>.  </w:t>
      </w:r>
      <w:r w:rsidRPr="00000710" w:rsidR="00644633">
        <w:t xml:space="preserve">Section 3 of Law </w:t>
      </w:r>
      <w:r w:rsidRPr="00000710" w:rsidR="00000710">
        <w:t>n</w:t>
      </w:r>
      <w:r w:rsidRPr="00000710" w:rsidR="00644633">
        <w:t xml:space="preserve">o. 1423/56 provides that persons who are </w:t>
      </w:r>
      <w:r w:rsidR="00153A7A">
        <w:t>socially dangerous</w:t>
      </w:r>
      <w:r w:rsidRPr="00000710" w:rsidR="00644633">
        <w:t xml:space="preserve"> may be placed under special police supervision. The </w:t>
      </w:r>
      <w:r w:rsidRPr="00000710" w:rsidR="00000710">
        <w:t xml:space="preserve">competent </w:t>
      </w:r>
      <w:r w:rsidR="00000710">
        <w:t>court</w:t>
      </w:r>
      <w:r w:rsidRPr="00000710" w:rsidR="00644633">
        <w:t xml:space="preserve"> sits in camera and must give a reasoned decision after hearing the </w:t>
      </w:r>
      <w:r w:rsidR="00F46F4B">
        <w:t>p</w:t>
      </w:r>
      <w:r w:rsidRPr="00000710" w:rsidR="00644633">
        <w:t xml:space="preserve">ublic </w:t>
      </w:r>
      <w:r w:rsidR="00F46F4B">
        <w:t>p</w:t>
      </w:r>
      <w:r w:rsidRPr="00000710" w:rsidR="00644633">
        <w:t xml:space="preserve">rosecutor and the person </w:t>
      </w:r>
      <w:r w:rsidRPr="00000710" w:rsidR="00000710">
        <w:t>concerned</w:t>
      </w:r>
      <w:r w:rsidR="00153A7A">
        <w:t>, who has the right to fil</w:t>
      </w:r>
      <w:r w:rsidRPr="00000710" w:rsidR="00644633">
        <w:t xml:space="preserve">e memorials and to be represented by a lawyer. </w:t>
      </w:r>
      <w:r w:rsidRPr="00000710" w:rsidR="00000710">
        <w:t>B</w:t>
      </w:r>
      <w:r w:rsidRPr="00000710" w:rsidR="00644633">
        <w:t xml:space="preserve">oth parties </w:t>
      </w:r>
      <w:r w:rsidR="000850EA">
        <w:t>may</w:t>
      </w:r>
      <w:r w:rsidRPr="00000710" w:rsidR="00000710">
        <w:t xml:space="preserve"> lodge an</w:t>
      </w:r>
      <w:r w:rsidRPr="00000710" w:rsidR="00644633">
        <w:t xml:space="preserve"> appeal</w:t>
      </w:r>
      <w:r w:rsidRPr="00000710" w:rsidR="00000710">
        <w:t xml:space="preserve"> and/or an appeal on points of law, which</w:t>
      </w:r>
      <w:r w:rsidRPr="00000710" w:rsidR="00644633">
        <w:t xml:space="preserve"> ha</w:t>
      </w:r>
      <w:r w:rsidRPr="00000710" w:rsidR="00000710">
        <w:t>ve</w:t>
      </w:r>
      <w:r w:rsidRPr="00000710" w:rsidR="00644633">
        <w:t xml:space="preserve"> no suspensive effect.</w:t>
      </w:r>
    </w:p>
    <w:p w:rsidR="00644633" w:rsidP="00644633" w:rsidRDefault="00644633">
      <w:pPr>
        <w:pStyle w:val="JuPara"/>
      </w:pPr>
      <w:r w:rsidRPr="00000710">
        <w:fldChar w:fldCharType="begin"/>
      </w:r>
      <w:r w:rsidRPr="00000710">
        <w:instrText xml:space="preserve"> SEQ level0 \*arabic </w:instrText>
      </w:r>
      <w:r w:rsidRPr="00000710">
        <w:fldChar w:fldCharType="separate"/>
      </w:r>
      <w:r w:rsidR="000F1CF6">
        <w:rPr>
          <w:noProof/>
        </w:rPr>
        <w:t>32</w:t>
      </w:r>
      <w:r w:rsidRPr="00000710">
        <w:fldChar w:fldCharType="end"/>
      </w:r>
      <w:r w:rsidRPr="00000710">
        <w:t xml:space="preserve">.  When imposing a preventive measure, the </w:t>
      </w:r>
      <w:r w:rsidRPr="00000710" w:rsidR="00000710">
        <w:t>court</w:t>
      </w:r>
      <w:r w:rsidRPr="00000710">
        <w:t xml:space="preserve"> must fix its duration and specify the conditions with which the person concerned must comply.</w:t>
      </w:r>
      <w:r w:rsidR="000850EA">
        <w:rPr>
          <w:b/>
        </w:rPr>
        <w:t xml:space="preserve"> </w:t>
      </w:r>
      <w:r w:rsidRPr="000850EA" w:rsidR="000850EA">
        <w:t>In accordance with</w:t>
      </w:r>
      <w:r w:rsidRPr="00FF1648">
        <w:t xml:space="preserve"> paragraph 1 of </w:t>
      </w:r>
      <w:r w:rsidR="00FF1648">
        <w:t>s</w:t>
      </w:r>
      <w:r w:rsidRPr="00FF1648">
        <w:t>ection 11 of Law n</w:t>
      </w:r>
      <w:r w:rsidR="00FF1648">
        <w:t>o.</w:t>
      </w:r>
      <w:r w:rsidRPr="00FF1648">
        <w:t xml:space="preserve"> 1423/56, the special supervision period starts to run on the day on which its addressee is notified of the relevant order and automatically ends when the period of time fixed in the order has elapsed.</w:t>
      </w:r>
    </w:p>
    <w:p w:rsidR="00DE6FCE" w:rsidP="00644633" w:rsidRDefault="00DE6FCE">
      <w:pPr>
        <w:pStyle w:val="JuPara"/>
      </w:pPr>
    </w:p>
    <w:p w:rsidRPr="00644633" w:rsidR="00DE6FCE" w:rsidP="00644633" w:rsidRDefault="00DE6FCE">
      <w:pPr>
        <w:pStyle w:val="JuPara"/>
        <w:rPr>
          <w:b/>
        </w:rPr>
      </w:pPr>
    </w:p>
    <w:p w:rsidRPr="00445083" w:rsidR="00644633" w:rsidP="00644633" w:rsidRDefault="00644633">
      <w:pPr>
        <w:pStyle w:val="JuHA"/>
      </w:pPr>
      <w:r>
        <w:t>B</w:t>
      </w:r>
      <w:r w:rsidRPr="00445083">
        <w:t>.  </w:t>
      </w:r>
      <w:r w:rsidRPr="00C356E1">
        <w:t xml:space="preserve">Provisions on </w:t>
      </w:r>
      <w:r>
        <w:t>disenfranchisement</w:t>
      </w:r>
    </w:p>
    <w:p w:rsidR="00445083" w:rsidP="00445083" w:rsidRDefault="00644633">
      <w:pPr>
        <w:pStyle w:val="JuPara"/>
      </w:pPr>
      <w:r>
        <w:fldChar w:fldCharType="begin"/>
      </w:r>
      <w:r>
        <w:instrText xml:space="preserve"> SEQ level0 \*arabic </w:instrText>
      </w:r>
      <w:r>
        <w:fldChar w:fldCharType="separate"/>
      </w:r>
      <w:r w:rsidR="000F1CF6">
        <w:rPr>
          <w:noProof/>
        </w:rPr>
        <w:t>33</w:t>
      </w:r>
      <w:r>
        <w:fldChar w:fldCharType="end"/>
      </w:r>
      <w:r>
        <w:t>.  </w:t>
      </w:r>
      <w:r w:rsidR="00445083">
        <w:t xml:space="preserve">Article 2 of Presidential Decree no. 223 of </w:t>
      </w:r>
      <w:smartTag w:uri="urn:schemas-microsoft-com:office:smarttags" w:element="date">
        <w:smartTagPr>
          <w:attr w:name="Month" w:val="3"/>
          <w:attr w:name="Day" w:val="20"/>
          <w:attr w:name="Year" w:val="1967"/>
        </w:smartTagPr>
        <w:r w:rsidR="00445083">
          <w:t>20 March 1967</w:t>
        </w:r>
      </w:smartTag>
      <w:r w:rsidR="00445083">
        <w:t xml:space="preserve"> provides that,</w:t>
      </w:r>
      <w:r w:rsidR="00445083">
        <w:rPr>
          <w:i/>
        </w:rPr>
        <w:t xml:space="preserve"> inter alia</w:t>
      </w:r>
      <w:r w:rsidR="00445083">
        <w:t>, persons on whom preventive measures have been imposed by a court order or an administrative decision shall be disenfranchised.</w:t>
      </w:r>
    </w:p>
    <w:p w:rsidR="00445083" w:rsidP="00445083" w:rsidRDefault="00644633">
      <w:pPr>
        <w:pStyle w:val="JuPara"/>
      </w:pPr>
      <w:r>
        <w:fldChar w:fldCharType="begin"/>
      </w:r>
      <w:r>
        <w:instrText xml:space="preserve"> SEQ level0 \*arabic </w:instrText>
      </w:r>
      <w:r>
        <w:fldChar w:fldCharType="separate"/>
      </w:r>
      <w:r w:rsidR="000F1CF6">
        <w:rPr>
          <w:noProof/>
        </w:rPr>
        <w:t>34</w:t>
      </w:r>
      <w:r>
        <w:fldChar w:fldCharType="end"/>
      </w:r>
      <w:r>
        <w:t>.  </w:t>
      </w:r>
      <w:r w:rsidR="00445083">
        <w:t xml:space="preserve">Article 32 § 1 (3) of that decree provides that in such cases the </w:t>
      </w:r>
      <w:r w:rsidR="00F46F4B">
        <w:t>p</w:t>
      </w:r>
      <w:r w:rsidR="00445083">
        <w:t>refect (</w:t>
      </w:r>
      <w:r w:rsidR="00445083">
        <w:rPr>
          <w:i/>
        </w:rPr>
        <w:t>questore</w:t>
      </w:r>
      <w:r w:rsidR="00445083">
        <w:t>) empowered to enforce such measures shall notify the municipality where the person concerned resides of any decision entailing the loss of civi</w:t>
      </w:r>
      <w:r w:rsidR="00153A7A">
        <w:t>c</w:t>
      </w:r>
      <w:r w:rsidR="00445083">
        <w:t xml:space="preserve"> rights. The Municipal Electoral Committee shall then remove the name of the person concerned from the electoral register, even outside one of the usual periods for updating the lists.</w:t>
      </w:r>
    </w:p>
    <w:p w:rsidRPr="00445083" w:rsidR="00644633" w:rsidP="00644633" w:rsidRDefault="00644633">
      <w:pPr>
        <w:pStyle w:val="JuHA"/>
      </w:pPr>
      <w:r>
        <w:t>C</w:t>
      </w:r>
      <w:r w:rsidRPr="00445083">
        <w:t>.  </w:t>
      </w:r>
      <w:r>
        <w:t>Article 117 of the Constitution</w:t>
      </w:r>
    </w:p>
    <w:p w:rsidRPr="00445083" w:rsidR="00CD49A7" w:rsidP="00445083" w:rsidRDefault="00644633">
      <w:pPr>
        <w:pStyle w:val="JuPara"/>
      </w:pPr>
      <w:r>
        <w:fldChar w:fldCharType="begin"/>
      </w:r>
      <w:r>
        <w:instrText xml:space="preserve"> SEQ level0 \*arabic </w:instrText>
      </w:r>
      <w:r>
        <w:fldChar w:fldCharType="separate"/>
      </w:r>
      <w:r w:rsidR="000F1CF6">
        <w:rPr>
          <w:noProof/>
        </w:rPr>
        <w:t>35</w:t>
      </w:r>
      <w:r>
        <w:fldChar w:fldCharType="end"/>
      </w:r>
      <w:r>
        <w:t>.  </w:t>
      </w:r>
      <w:r w:rsidR="00445083">
        <w:t xml:space="preserve">Article 117 of the Constitution confers legislative power on the regions. It sets out the competence of the regions, </w:t>
      </w:r>
      <w:r w:rsidR="00445083">
        <w:rPr>
          <w:i/>
        </w:rPr>
        <w:t>inter alia</w:t>
      </w:r>
      <w:r w:rsidR="00445083">
        <w:t>, for regional administrative</w:t>
      </w:r>
      <w:r w:rsidR="00244F51">
        <w:t xml:space="preserve"> planning, local policy, public </w:t>
      </w:r>
      <w:r w:rsidR="00445083">
        <w:t>health, education, local museums and libraries, town planning, tourism, traffic regulations, n</w:t>
      </w:r>
      <w:r w:rsidR="00244F51">
        <w:t>avigation, quarries and peat bog</w:t>
      </w:r>
      <w:r w:rsidR="00153A7A">
        <w:t>s, hunting</w:t>
      </w:r>
      <w:r w:rsidR="00445083">
        <w:t>, agriculture, forests and handicraft. Article 117 also states that the regions have legislative power in other matters established by constitutional laws.</w:t>
      </w:r>
      <w:r w:rsidR="00FF1648">
        <w:t xml:space="preserve"> Regional laws are </w:t>
      </w:r>
      <w:r w:rsidR="00F46F4B">
        <w:t>enacted</w:t>
      </w:r>
      <w:r w:rsidR="00FF1648">
        <w:t xml:space="preserve"> by the regional councils (Article 121 § 2 of the Constitution).</w:t>
      </w:r>
    </w:p>
    <w:p w:rsidRPr="00445083" w:rsidR="00CD49A7" w:rsidRDefault="00CD49A7">
      <w:pPr>
        <w:pStyle w:val="JuHHead"/>
      </w:pPr>
      <w:r w:rsidRPr="00445083">
        <w:t>THE LAW</w:t>
      </w:r>
    </w:p>
    <w:p w:rsidR="00FF01F8" w:rsidRDefault="00FF01F8">
      <w:pPr>
        <w:pStyle w:val="JuHIRoman"/>
      </w:pPr>
      <w:smartTag w:uri="urn:schemas-microsoft-com:office:smarttags" w:element="place">
        <w:r>
          <w:t>I</w:t>
        </w:r>
        <w:r w:rsidR="00CD49A7" w:rsidRPr="00445083">
          <w:t>.</w:t>
        </w:r>
      </w:smartTag>
      <w:r w:rsidRPr="00445083" w:rsidR="00CD49A7">
        <w:t xml:space="preserve">  ALLEGED VIOLATION OF ARTICLE </w:t>
      </w:r>
      <w:r>
        <w:t>2</w:t>
      </w:r>
      <w:r w:rsidRPr="00445083" w:rsidR="00CD49A7">
        <w:t xml:space="preserve"> OF </w:t>
      </w:r>
      <w:r>
        <w:t>PROTOCOL N</w:t>
      </w:r>
      <w:r w:rsidR="00244F51">
        <w:t>o</w:t>
      </w:r>
      <w:r w:rsidR="004B466A">
        <w:t>.</w:t>
      </w:r>
      <w:r>
        <w:t xml:space="preserve"> 4</w:t>
      </w:r>
    </w:p>
    <w:p w:rsidRPr="00FF1648" w:rsidR="00CD49A7" w:rsidRDefault="004B466A">
      <w:pPr>
        <w:pStyle w:val="JuPara"/>
      </w:pPr>
      <w:r>
        <w:fldChar w:fldCharType="begin"/>
      </w:r>
      <w:r>
        <w:instrText xml:space="preserve"> SEQ level0 \*arabic </w:instrText>
      </w:r>
      <w:r>
        <w:fldChar w:fldCharType="separate"/>
      </w:r>
      <w:r w:rsidR="000F1CF6">
        <w:rPr>
          <w:noProof/>
        </w:rPr>
        <w:t>36</w:t>
      </w:r>
      <w:r>
        <w:fldChar w:fldCharType="end"/>
      </w:r>
      <w:r>
        <w:t>.  </w:t>
      </w:r>
      <w:r w:rsidRPr="00FF1648">
        <w:t xml:space="preserve">The </w:t>
      </w:r>
      <w:r w:rsidRPr="00FF1648">
        <w:rPr>
          <w:noProof/>
        </w:rPr>
        <w:t>applicant complain</w:t>
      </w:r>
      <w:r w:rsidR="00BF7086">
        <w:rPr>
          <w:noProof/>
        </w:rPr>
        <w:t>ed</w:t>
      </w:r>
      <w:r w:rsidRPr="00FF1648">
        <w:t xml:space="preserve"> that he </w:t>
      </w:r>
      <w:r w:rsidR="000850EA">
        <w:t>had been</w:t>
      </w:r>
      <w:r w:rsidRPr="00FF1648">
        <w:t xml:space="preserve"> illegally kept under special </w:t>
      </w:r>
      <w:r w:rsidRPr="00FF1648" w:rsidR="00FF1648">
        <w:t xml:space="preserve">police </w:t>
      </w:r>
      <w:r w:rsidRPr="00FF1648">
        <w:t xml:space="preserve">supervision after the expiry of the order of </w:t>
      </w:r>
      <w:smartTag w:uri="urn:schemas-microsoft-com:office:smarttags" w:element="date">
        <w:smartTagPr>
          <w:attr w:name="Month" w:val="3"/>
          <w:attr w:name="Day" w:val="24"/>
          <w:attr w:name="Year" w:val="1994"/>
        </w:smartTagPr>
        <w:r w:rsidRPr="00FF1648">
          <w:t>24 March 1994</w:t>
        </w:r>
      </w:smartTag>
      <w:r w:rsidRPr="00FF1648">
        <w:t xml:space="preserve"> and that no compensation was available to him for the undue prolongation of the preventive measure.</w:t>
      </w:r>
    </w:p>
    <w:p w:rsidRPr="00FF1648" w:rsidR="004B466A" w:rsidRDefault="004B466A">
      <w:pPr>
        <w:pStyle w:val="JuPara"/>
      </w:pPr>
      <w:r w:rsidRPr="00FF1648">
        <w:fldChar w:fldCharType="begin"/>
      </w:r>
      <w:r w:rsidRPr="00FF1648">
        <w:instrText xml:space="preserve"> SEQ level0 \*arabic </w:instrText>
      </w:r>
      <w:r w:rsidRPr="00FF1648">
        <w:fldChar w:fldCharType="separate"/>
      </w:r>
      <w:r w:rsidR="000F1CF6">
        <w:rPr>
          <w:noProof/>
        </w:rPr>
        <w:t>37</w:t>
      </w:r>
      <w:r w:rsidRPr="00FF1648">
        <w:fldChar w:fldCharType="end"/>
      </w:r>
      <w:r w:rsidRPr="00FF1648">
        <w:t>.  In its decision on the admissibility of the application, the Court considered that this complaint should be examined under Article 2 of Protocol No. 4, which reads as follows:</w:t>
      </w:r>
    </w:p>
    <w:p w:rsidR="004B466A" w:rsidRDefault="004B466A">
      <w:pPr>
        <w:pStyle w:val="JuQuot"/>
      </w:pPr>
      <w:r>
        <w:t>“1.  Everyone lawfully within the territory of a State shall, within that territory, have the right to liberty of movement and freedom to choose his residence.</w:t>
      </w:r>
    </w:p>
    <w:p w:rsidR="004B466A" w:rsidRDefault="004B466A">
      <w:pPr>
        <w:pStyle w:val="JuQuot"/>
      </w:pPr>
      <w:r>
        <w:t>2.  Everyone shall be free to leave any country, including his own.</w:t>
      </w:r>
    </w:p>
    <w:p w:rsidR="004B466A" w:rsidRDefault="004B466A">
      <w:pPr>
        <w:pStyle w:val="JuQuot"/>
      </w:pPr>
      <w:r>
        <w:t xml:space="preserve">3.  No restrictions shall be placed on the exercise of these rights other than such as are in accordance with law and are necessary in a democratic society in the interests of national security or public safety, for the maintenance of </w:t>
      </w:r>
      <w:r w:rsidRPr="00244F51">
        <w:rPr>
          <w:i/>
        </w:rPr>
        <w:t>ordre public</w:t>
      </w:r>
      <w:r>
        <w:t>, for the prevention of crime, for the protection of health or morals, or for the protection of the rights and freedoms of others.</w:t>
      </w:r>
    </w:p>
    <w:p w:rsidR="004B466A" w:rsidRDefault="004B466A">
      <w:pPr>
        <w:pStyle w:val="JuQuot"/>
      </w:pPr>
      <w:r>
        <w:t>4.  The rights set forth in paragraph 1 may also be subject, in particular areas, to restrictions imposed in accordance with law and justified by the public interest in a democratic society.”</w:t>
      </w:r>
    </w:p>
    <w:p w:rsidRPr="00445083" w:rsidR="00CD49A7" w:rsidRDefault="001414CA">
      <w:pPr>
        <w:pStyle w:val="JuH1"/>
      </w:pPr>
      <w:r>
        <w:t>1</w:t>
      </w:r>
      <w:r w:rsidRPr="00445083" w:rsidR="00CD49A7">
        <w:t>.  </w:t>
      </w:r>
      <w:r>
        <w:t>The parties</w:t>
      </w:r>
      <w:r w:rsidR="00E4189F">
        <w:t>’</w:t>
      </w:r>
      <w:r>
        <w:t xml:space="preserve"> submissions</w:t>
      </w:r>
    </w:p>
    <w:p w:rsidR="00E4189F" w:rsidRDefault="00445083">
      <w:pPr>
        <w:pStyle w:val="JuPara"/>
      </w:pPr>
      <w:r w:rsidRPr="00187E40">
        <w:fldChar w:fldCharType="begin"/>
      </w:r>
      <w:r w:rsidRPr="00187E40">
        <w:instrText xml:space="preserve"> SEQ level0 \*arabic </w:instrText>
      </w:r>
      <w:r w:rsidRPr="00187E40">
        <w:fldChar w:fldCharType="separate"/>
      </w:r>
      <w:r w:rsidR="000F1CF6">
        <w:rPr>
          <w:noProof/>
        </w:rPr>
        <w:t>38</w:t>
      </w:r>
      <w:r w:rsidRPr="00187E40">
        <w:fldChar w:fldCharType="end"/>
      </w:r>
      <w:r w:rsidRPr="00187E40" w:rsidR="00CD49A7">
        <w:t>.  </w:t>
      </w:r>
      <w:r w:rsidRPr="00187E40" w:rsidR="001414CA">
        <w:t>The Government consider</w:t>
      </w:r>
      <w:r w:rsidRPr="00187E40" w:rsidR="00187E40">
        <w:t>ed</w:t>
      </w:r>
      <w:r w:rsidRPr="00187E40" w:rsidR="001414CA">
        <w:t xml:space="preserve"> that the restrictions imposed on the applicant were in accordance with </w:t>
      </w:r>
      <w:r w:rsidR="00673BD0">
        <w:t xml:space="preserve">the </w:t>
      </w:r>
      <w:r w:rsidRPr="00187E40" w:rsidR="001414CA">
        <w:t xml:space="preserve">law, the decision of the Lecce Court of Appeal being the result of an interpretation of the relevant domestic </w:t>
      </w:r>
      <w:r w:rsidRPr="00187E40" w:rsidR="00187E40">
        <w:t>provisions</w:t>
      </w:r>
      <w:r w:rsidRPr="00187E40" w:rsidR="001414CA">
        <w:t xml:space="preserve"> in conformity with the Court of Cassation</w:t>
      </w:r>
      <w:r w:rsidR="00E4189F">
        <w:t>’</w:t>
      </w:r>
      <w:r w:rsidRPr="00187E40" w:rsidR="00187E40">
        <w:t>s jurisprudence</w:t>
      </w:r>
      <w:r w:rsidRPr="00187E40" w:rsidR="001414CA">
        <w:t xml:space="preserve">. </w:t>
      </w:r>
      <w:r w:rsidRPr="00187E40" w:rsidR="006F0C75">
        <w:t>They refer</w:t>
      </w:r>
      <w:r w:rsidRPr="00187E40" w:rsidR="00187E40">
        <w:t>red</w:t>
      </w:r>
      <w:r w:rsidRPr="00187E40" w:rsidR="006F0C75">
        <w:t xml:space="preserve">, in particular, to a judgment given by the Court of Cassation on </w:t>
      </w:r>
      <w:smartTag w:uri="urn:schemas-microsoft-com:office:smarttags" w:element="date">
        <w:smartTagPr>
          <w:attr w:name="Month" w:val="3"/>
          <w:attr w:name="Day" w:val="19"/>
          <w:attr w:name="Year" w:val="1980"/>
        </w:smartTagPr>
        <w:r w:rsidR="006F0C75" w:rsidRPr="00187E40">
          <w:t>19</w:t>
        </w:r>
        <w:r w:rsidR="00673BD0">
          <w:t> </w:t>
        </w:r>
        <w:r w:rsidR="006F0C75" w:rsidRPr="00187E40">
          <w:t>March 1980</w:t>
        </w:r>
      </w:smartTag>
      <w:r w:rsidR="00153A7A">
        <w:t xml:space="preserve"> in </w:t>
      </w:r>
      <w:r w:rsidRPr="00153A7A" w:rsidR="006F0C75">
        <w:rPr>
          <w:i/>
        </w:rPr>
        <w:t>Catalano</w:t>
      </w:r>
      <w:r w:rsidRPr="00187E40" w:rsidR="006F0C75">
        <w:t>, confirmed by another judgm</w:t>
      </w:r>
      <w:r w:rsidR="00153A7A">
        <w:t>ent adopted by the First Division</w:t>
      </w:r>
      <w:r w:rsidRPr="00187E40" w:rsidR="006F0C75">
        <w:t xml:space="preserve"> on </w:t>
      </w:r>
      <w:smartTag w:uri="urn:schemas-microsoft-com:office:smarttags" w:element="date">
        <w:smartTagPr>
          <w:attr w:name="Month" w:val="5"/>
          <w:attr w:name="Day" w:val="25"/>
          <w:attr w:name="Year" w:val="2000"/>
        </w:smartTagPr>
        <w:r w:rsidR="006F0C75" w:rsidRPr="00187E40">
          <w:t>25 May 2000</w:t>
        </w:r>
      </w:smartTag>
      <w:r w:rsidRPr="00187E40" w:rsidR="006F0C75">
        <w:t xml:space="preserve"> (no. 3794). According t</w:t>
      </w:r>
      <w:r w:rsidR="00153A7A">
        <w:t>o these decisions, the starting-</w:t>
      </w:r>
      <w:r w:rsidRPr="00187E40" w:rsidR="006F0C75">
        <w:t xml:space="preserve">point for the calculation of the duration of a preventive measure should not be </w:t>
      </w:r>
      <w:r w:rsidR="000850EA">
        <w:t>the date on which notice of it was served</w:t>
      </w:r>
      <w:r w:rsidRPr="00187E40" w:rsidR="006F0C75">
        <w:t xml:space="preserve">, but the </w:t>
      </w:r>
      <w:r w:rsidR="000850EA">
        <w:t>time when</w:t>
      </w:r>
      <w:r w:rsidRPr="00187E40" w:rsidR="006F0C75">
        <w:t xml:space="preserve"> the measure actually started to be applied.</w:t>
      </w:r>
    </w:p>
    <w:p w:rsidRPr="00187E40" w:rsidR="00CD49A7" w:rsidRDefault="006F0C75">
      <w:pPr>
        <w:pStyle w:val="JuPara"/>
      </w:pPr>
      <w:r w:rsidRPr="00187E40">
        <w:fldChar w:fldCharType="begin"/>
      </w:r>
      <w:r w:rsidRPr="00187E40">
        <w:instrText xml:space="preserve"> SEQ level0 \*arabic </w:instrText>
      </w:r>
      <w:r w:rsidRPr="00187E40">
        <w:fldChar w:fldCharType="separate"/>
      </w:r>
      <w:r w:rsidR="000F1CF6">
        <w:rPr>
          <w:noProof/>
        </w:rPr>
        <w:t>39</w:t>
      </w:r>
      <w:r w:rsidRPr="00187E40">
        <w:fldChar w:fldCharType="end"/>
      </w:r>
      <w:r w:rsidRPr="00187E40">
        <w:t>.  </w:t>
      </w:r>
      <w:r w:rsidRPr="00187E40" w:rsidR="001414CA">
        <w:t>The Government submit</w:t>
      </w:r>
      <w:r w:rsidRPr="00187E40" w:rsidR="00187E40">
        <w:t>ted</w:t>
      </w:r>
      <w:r w:rsidR="000850EA">
        <w:t xml:space="preserve"> that it wa</w:t>
      </w:r>
      <w:r w:rsidRPr="00187E40" w:rsidR="001414CA">
        <w:t>s the domestic courts</w:t>
      </w:r>
      <w:r w:rsidR="00E4189F">
        <w:t>’</w:t>
      </w:r>
      <w:r w:rsidRPr="00187E40" w:rsidR="001414CA">
        <w:t xml:space="preserve"> role to solve problems of interpretation of </w:t>
      </w:r>
      <w:r w:rsidRPr="00187E40" w:rsidR="00187E40">
        <w:t>national</w:t>
      </w:r>
      <w:r w:rsidRPr="00187E40" w:rsidR="001414CA">
        <w:t xml:space="preserve"> legislation. In the present case</w:t>
      </w:r>
      <w:r w:rsidR="00153A7A">
        <w:t>,</w:t>
      </w:r>
      <w:r w:rsidRPr="00187E40" w:rsidR="001414CA">
        <w:t xml:space="preserve"> the error made by the competent authorities was of a formal nature and did not entail a violation of the</w:t>
      </w:r>
      <w:r w:rsidR="00673BD0">
        <w:t xml:space="preserve"> applicant</w:t>
      </w:r>
      <w:r w:rsidR="00E4189F">
        <w:t>’</w:t>
      </w:r>
      <w:r w:rsidR="00673BD0">
        <w:t>s</w:t>
      </w:r>
      <w:r w:rsidRPr="00187E40" w:rsidR="001414CA">
        <w:t xml:space="preserve"> rights. The latter could not </w:t>
      </w:r>
      <w:r w:rsidRPr="00187E40" w:rsidR="000850EA">
        <w:t xml:space="preserve">therefore </w:t>
      </w:r>
      <w:r w:rsidR="00244F51">
        <w:t>be considered</w:t>
      </w:r>
      <w:r w:rsidRPr="00187E40" w:rsidR="001414CA">
        <w:t xml:space="preserve"> a victim under the Convention.</w:t>
      </w:r>
    </w:p>
    <w:p w:rsidR="006F0C75" w:rsidRDefault="006F0C75">
      <w:pPr>
        <w:pStyle w:val="JuPara"/>
        <w:rPr>
          <w:b/>
        </w:rPr>
      </w:pPr>
      <w:r w:rsidRPr="00187E40">
        <w:fldChar w:fldCharType="begin"/>
      </w:r>
      <w:r w:rsidRPr="00187E40">
        <w:instrText xml:space="preserve"> SEQ level0 \*arabic </w:instrText>
      </w:r>
      <w:r w:rsidRPr="00187E40">
        <w:fldChar w:fldCharType="separate"/>
      </w:r>
      <w:r w:rsidR="000F1CF6">
        <w:rPr>
          <w:noProof/>
        </w:rPr>
        <w:t>40</w:t>
      </w:r>
      <w:r w:rsidRPr="00187E40">
        <w:fldChar w:fldCharType="end"/>
      </w:r>
      <w:r w:rsidRPr="00187E40">
        <w:t>.  The applicant observe</w:t>
      </w:r>
      <w:r w:rsidRPr="00187E40" w:rsidR="00187E40">
        <w:t>d</w:t>
      </w:r>
      <w:r w:rsidRPr="00187E40">
        <w:t xml:space="preserve"> that in the Italian legal system the judge </w:t>
      </w:r>
      <w:r w:rsidRPr="00187E40" w:rsidR="00187E40">
        <w:t>should</w:t>
      </w:r>
      <w:r w:rsidRPr="00187E40">
        <w:t xml:space="preserve"> apply the law and not create it, the principle of strict legality in </w:t>
      </w:r>
      <w:r w:rsidRPr="00187E40" w:rsidR="00187E40">
        <w:t xml:space="preserve">the </w:t>
      </w:r>
      <w:r w:rsidRPr="00187E40">
        <w:t xml:space="preserve">criminal </w:t>
      </w:r>
      <w:r w:rsidRPr="00187E40" w:rsidR="00187E40">
        <w:t>field</w:t>
      </w:r>
      <w:r w:rsidRPr="00187E40">
        <w:t xml:space="preserve"> preventing him from overstepping the bounds resulting from the wording of the </w:t>
      </w:r>
      <w:r w:rsidRPr="00187E40" w:rsidR="00187E40">
        <w:t xml:space="preserve">relevant </w:t>
      </w:r>
      <w:r w:rsidRPr="00187E40">
        <w:t>provisions.</w:t>
      </w:r>
      <w:r w:rsidRPr="001414CA">
        <w:rPr>
          <w:b/>
        </w:rPr>
        <w:t xml:space="preserve"> </w:t>
      </w:r>
      <w:r w:rsidR="00153A7A">
        <w:t>In any case, the starting-</w:t>
      </w:r>
      <w:r w:rsidRPr="00187E40">
        <w:t>point</w:t>
      </w:r>
      <w:r w:rsidRPr="00187E40">
        <w:rPr>
          <w:i/>
        </w:rPr>
        <w:t xml:space="preserve"> </w:t>
      </w:r>
      <w:r w:rsidRPr="00187E40">
        <w:t xml:space="preserve">of the special supervision </w:t>
      </w:r>
      <w:r w:rsidR="000850EA">
        <w:t>could not</w:t>
      </w:r>
      <w:r w:rsidRPr="00187E40">
        <w:t xml:space="preserve"> depend on the discretion of the </w:t>
      </w:r>
      <w:r w:rsidR="00153A7A">
        <w:t>p</w:t>
      </w:r>
      <w:r w:rsidRPr="00187E40">
        <w:t xml:space="preserve">refect or of the police, but should be fixed by the </w:t>
      </w:r>
      <w:r w:rsidR="000850EA">
        <w:t>reasoned</w:t>
      </w:r>
      <w:r w:rsidRPr="00187E40">
        <w:t xml:space="preserve"> decisions</w:t>
      </w:r>
      <w:r w:rsidR="00153A7A">
        <w:t xml:space="preserve"> of the competent judicial bodie</w:t>
      </w:r>
      <w:r w:rsidRPr="00187E40">
        <w:t>s.</w:t>
      </w:r>
    </w:p>
    <w:p w:rsidR="00187E40" w:rsidP="00847CF4" w:rsidRDefault="006F0C75">
      <w:pPr>
        <w:pStyle w:val="JuPara"/>
      </w:pPr>
      <w:r w:rsidRPr="00187E40">
        <w:fldChar w:fldCharType="begin"/>
      </w:r>
      <w:r w:rsidRPr="00187E40">
        <w:instrText xml:space="preserve"> SEQ level0 \*arabic </w:instrText>
      </w:r>
      <w:r w:rsidRPr="00187E40">
        <w:fldChar w:fldCharType="separate"/>
      </w:r>
      <w:r w:rsidR="000F1CF6">
        <w:rPr>
          <w:noProof/>
        </w:rPr>
        <w:t>41</w:t>
      </w:r>
      <w:r w:rsidRPr="00187E40">
        <w:fldChar w:fldCharType="end"/>
      </w:r>
      <w:r w:rsidRPr="00187E40">
        <w:t xml:space="preserve">.  The applicant </w:t>
      </w:r>
      <w:r w:rsidRPr="00187E40" w:rsidR="00187E40">
        <w:t>challenged</w:t>
      </w:r>
      <w:r w:rsidRPr="00187E40">
        <w:t xml:space="preserve"> the existence of the case-law supposedly followed by the Lecce Court of Appeal. </w:t>
      </w:r>
      <w:r w:rsidR="00153A7A">
        <w:t>In his view,</w:t>
      </w:r>
      <w:r w:rsidRPr="00187E40">
        <w:t xml:space="preserve"> the </w:t>
      </w:r>
      <w:r w:rsidR="00153A7A">
        <w:t xml:space="preserve">judgment of 1980 in </w:t>
      </w:r>
      <w:r w:rsidRPr="00153A7A">
        <w:rPr>
          <w:i/>
        </w:rPr>
        <w:t>Catalano</w:t>
      </w:r>
      <w:r w:rsidRPr="00187E40">
        <w:t xml:space="preserve"> constituted an isolated decision, concern</w:t>
      </w:r>
      <w:r w:rsidRPr="00187E40" w:rsidR="00187E40">
        <w:t>ing</w:t>
      </w:r>
      <w:r w:rsidRPr="00187E40">
        <w:t xml:space="preserve"> a </w:t>
      </w:r>
      <w:r w:rsidRPr="00187E40" w:rsidR="00187E40">
        <w:t xml:space="preserve">preventive </w:t>
      </w:r>
      <w:r w:rsidRPr="00187E40">
        <w:t xml:space="preserve">measure </w:t>
      </w:r>
      <w:r w:rsidR="00240235">
        <w:t xml:space="preserve">which </w:t>
      </w:r>
      <w:r w:rsidR="00153A7A">
        <w:t>had not been fully implement</w:t>
      </w:r>
      <w:r w:rsidRPr="00187E40">
        <w:t xml:space="preserve">ed because the </w:t>
      </w:r>
      <w:r w:rsidR="00153A7A">
        <w:t>individual in question</w:t>
      </w:r>
      <w:r w:rsidRPr="00187E40">
        <w:t xml:space="preserve"> had bee</w:t>
      </w:r>
      <w:r w:rsidR="000850EA">
        <w:t>n authoris</w:t>
      </w:r>
      <w:r w:rsidRPr="00187E40">
        <w:t>ed to move abroad</w:t>
      </w:r>
      <w:r w:rsidR="00673BD0">
        <w:t>.</w:t>
      </w:r>
      <w:r>
        <w:rPr>
          <w:b/>
        </w:rPr>
        <w:t xml:space="preserve"> </w:t>
      </w:r>
      <w:r w:rsidRPr="00673BD0" w:rsidR="00673BD0">
        <w:t>T</w:t>
      </w:r>
      <w:r w:rsidRPr="00187E40">
        <w:t xml:space="preserve">he judgment of </w:t>
      </w:r>
      <w:smartTag w:uri="urn:schemas-microsoft-com:office:smarttags" w:element="date">
        <w:smartTagPr>
          <w:attr w:name="Month" w:val="5"/>
          <w:attr w:name="Day" w:val="25"/>
          <w:attr w:name="Year" w:val="2000"/>
        </w:smartTagPr>
        <w:r w:rsidRPr="00187E40">
          <w:t>25 May 2000</w:t>
        </w:r>
      </w:smartTag>
      <w:r w:rsidRPr="00187E40" w:rsidR="00187E40">
        <w:t xml:space="preserve"> </w:t>
      </w:r>
      <w:r w:rsidR="000850EA">
        <w:t>dealt with</w:t>
      </w:r>
      <w:r w:rsidR="00153A7A">
        <w:t xml:space="preserve"> the suspension </w:t>
      </w:r>
      <w:r w:rsidRPr="00187E40">
        <w:t>of the preventive measure b</w:t>
      </w:r>
      <w:r w:rsidR="00153A7A">
        <w:t>y reason of the</w:t>
      </w:r>
      <w:r w:rsidRPr="00187E40">
        <w:t xml:space="preserve"> detention </w:t>
      </w:r>
      <w:r w:rsidR="00153A7A">
        <w:t xml:space="preserve">of the person concerned </w:t>
      </w:r>
      <w:r w:rsidRPr="00187E40">
        <w:t xml:space="preserve">in a </w:t>
      </w:r>
      <w:r w:rsidR="000850EA">
        <w:t>prison</w:t>
      </w:r>
      <w:r w:rsidRPr="00187E40">
        <w:t>.</w:t>
      </w:r>
      <w:r w:rsidR="00187E40">
        <w:t xml:space="preserve"> Th</w:t>
      </w:r>
      <w:r w:rsidRPr="00187E40">
        <w:t>e applicant consider</w:t>
      </w:r>
      <w:r w:rsidRPr="00187E40" w:rsidR="00187E40">
        <w:t>ed</w:t>
      </w:r>
      <w:r w:rsidRPr="00187E40">
        <w:t xml:space="preserve"> that the Court of Cassation</w:t>
      </w:r>
      <w:r w:rsidR="00E4189F">
        <w:t>’</w:t>
      </w:r>
      <w:r w:rsidR="000850EA">
        <w:t>s judg</w:t>
      </w:r>
      <w:r w:rsidRPr="00187E40">
        <w:t>ment of 16</w:t>
      </w:r>
      <w:r w:rsidR="00240235">
        <w:t xml:space="preserve"> </w:t>
      </w:r>
      <w:r w:rsidRPr="00187E40">
        <w:t xml:space="preserve">December 1996 quashing the decision of the Lecce Court of Appeal </w:t>
      </w:r>
      <w:r w:rsidRPr="00187E40" w:rsidR="00187E40">
        <w:t>was</w:t>
      </w:r>
      <w:r w:rsidRPr="00187E40">
        <w:t xml:space="preserve"> not the result of a change in the case-law, </w:t>
      </w:r>
      <w:r w:rsidR="000850EA">
        <w:t>but</w:t>
      </w:r>
      <w:r w:rsidRPr="00187E40">
        <w:t xml:space="preserve"> on the contrary a further statement of the </w:t>
      </w:r>
      <w:r w:rsidR="000850EA">
        <w:t>correct</w:t>
      </w:r>
      <w:r w:rsidRPr="00187E40">
        <w:t xml:space="preserve"> interpretation of </w:t>
      </w:r>
      <w:r w:rsidRPr="00187E40" w:rsidR="00187E40">
        <w:t>s</w:t>
      </w:r>
      <w:r w:rsidRPr="00187E40">
        <w:t>ection 11 of Law n</w:t>
      </w:r>
      <w:r w:rsidRPr="00187E40" w:rsidR="00187E40">
        <w:t>o. </w:t>
      </w:r>
      <w:r w:rsidRPr="00187E40">
        <w:t>1423/56.</w:t>
      </w:r>
    </w:p>
    <w:p w:rsidRPr="00445083" w:rsidR="00CD49A7" w:rsidP="000850EA" w:rsidRDefault="001414CA">
      <w:pPr>
        <w:pStyle w:val="JuH1"/>
        <w:keepNext/>
        <w:keepLines/>
      </w:pPr>
      <w:r>
        <w:t>2</w:t>
      </w:r>
      <w:r w:rsidRPr="00445083" w:rsidR="00CD49A7">
        <w:t>.  </w:t>
      </w:r>
      <w:r>
        <w:t>The Court</w:t>
      </w:r>
      <w:r w:rsidR="00E4189F">
        <w:t>’</w:t>
      </w:r>
      <w:r>
        <w:t>s assessment</w:t>
      </w:r>
    </w:p>
    <w:p w:rsidRPr="00445083" w:rsidR="00CD49A7" w:rsidP="000850EA" w:rsidRDefault="00445083">
      <w:pPr>
        <w:pStyle w:val="JuPara"/>
        <w:keepNext/>
        <w:keepLines/>
      </w:pPr>
      <w:r w:rsidRPr="00445083">
        <w:fldChar w:fldCharType="begin"/>
      </w:r>
      <w:r w:rsidRPr="00445083">
        <w:instrText xml:space="preserve"> SEQ level0 \*arabic </w:instrText>
      </w:r>
      <w:r w:rsidRPr="00445083">
        <w:fldChar w:fldCharType="separate"/>
      </w:r>
      <w:r w:rsidR="000F1CF6">
        <w:rPr>
          <w:noProof/>
        </w:rPr>
        <w:t>42</w:t>
      </w:r>
      <w:r w:rsidRPr="00445083">
        <w:fldChar w:fldCharType="end"/>
      </w:r>
      <w:r w:rsidRPr="00445083" w:rsidR="00CD49A7">
        <w:t>.  </w:t>
      </w:r>
      <w:r w:rsidR="00217C6E">
        <w:t xml:space="preserve">The Court first observes that the order imposing the special supervision by the police was served on the applicant on </w:t>
      </w:r>
      <w:smartTag w:uri="urn:schemas-microsoft-com:office:smarttags" w:element="date">
        <w:smartTagPr>
          <w:attr w:name="Month" w:val="5"/>
          <w:attr w:name="Day" w:val="3"/>
          <w:attr w:name="Year" w:val="1994"/>
        </w:smartTagPr>
        <w:r w:rsidR="00217C6E">
          <w:t>3 May 1994</w:t>
        </w:r>
      </w:smartTag>
      <w:r w:rsidR="00217C6E">
        <w:t xml:space="preserve"> (see </w:t>
      </w:r>
      <w:r w:rsidR="00F92E32">
        <w:t>paragraph</w:t>
      </w:r>
      <w:r w:rsidR="00217C6E">
        <w:t xml:space="preserve"> 12 above). However, it was only on </w:t>
      </w:r>
      <w:smartTag w:uri="urn:schemas-microsoft-com:office:smarttags" w:element="date">
        <w:smartTagPr>
          <w:attr w:name="Month" w:val="7"/>
          <w:attr w:name="Day" w:val="25"/>
          <w:attr w:name="Year" w:val="1995"/>
        </w:smartTagPr>
        <w:r w:rsidR="00217C6E">
          <w:t>25 July 1995</w:t>
        </w:r>
      </w:smartTag>
      <w:r w:rsidR="00217C6E">
        <w:t xml:space="preserve"> that the Ostuni police drafted a document setting out the obligations imposed on the applicant (see </w:t>
      </w:r>
      <w:r w:rsidR="00F92E32">
        <w:t xml:space="preserve">paragraphs </w:t>
      </w:r>
      <w:r w:rsidR="00217C6E">
        <w:t>14</w:t>
      </w:r>
      <w:r w:rsidR="00153A7A">
        <w:t>-</w:t>
      </w:r>
      <w:r w:rsidR="00F92E32">
        <w:t>15</w:t>
      </w:r>
      <w:r w:rsidR="00217C6E">
        <w:t xml:space="preserve"> above).</w:t>
      </w:r>
    </w:p>
    <w:p w:rsidR="00CD49A7" w:rsidP="00217C6E" w:rsidRDefault="001414CA">
      <w:pPr>
        <w:pStyle w:val="JuPara"/>
      </w:pPr>
      <w:r>
        <w:fldChar w:fldCharType="begin"/>
      </w:r>
      <w:r>
        <w:instrText xml:space="preserve"> SEQ level0 \*arabic </w:instrText>
      </w:r>
      <w:r>
        <w:fldChar w:fldCharType="separate"/>
      </w:r>
      <w:r w:rsidR="000F1CF6">
        <w:rPr>
          <w:noProof/>
        </w:rPr>
        <w:t>43</w:t>
      </w:r>
      <w:r>
        <w:fldChar w:fldCharType="end"/>
      </w:r>
      <w:r>
        <w:t>.  </w:t>
      </w:r>
      <w:r w:rsidR="00217C6E">
        <w:t xml:space="preserve">The Court finds it hard to understand why there should have been a delay of </w:t>
      </w:r>
      <w:r w:rsidR="00244F51">
        <w:t xml:space="preserve">over </w:t>
      </w:r>
      <w:r w:rsidR="00217C6E">
        <w:t>one year and two months in drafting the actual obligations arising from a decision which was immediately enforceable and concerned a fundamental right, namely the applicant</w:t>
      </w:r>
      <w:r w:rsidR="00E4189F">
        <w:t>’</w:t>
      </w:r>
      <w:r w:rsidR="00217C6E">
        <w:t xml:space="preserve">s freedom to come and go as he pleased (see, </w:t>
      </w:r>
      <w:r w:rsidR="00217C6E">
        <w:rPr>
          <w:i/>
        </w:rPr>
        <w:t>mutatis mutandis</w:t>
      </w:r>
      <w:r w:rsidR="00217C6E">
        <w:t xml:space="preserve">, </w:t>
      </w:r>
      <w:r w:rsidR="00000525">
        <w:rPr>
          <w:i/>
        </w:rPr>
        <w:t>Raimondo</w:t>
      </w:r>
      <w:r w:rsidR="00217C6E">
        <w:rPr>
          <w:i/>
        </w:rPr>
        <w:t xml:space="preserve"> v. Italy</w:t>
      </w:r>
      <w:r w:rsidR="00217C6E">
        <w:t xml:space="preserve">, judgment of </w:t>
      </w:r>
      <w:r w:rsidR="00000525">
        <w:t>22</w:t>
      </w:r>
      <w:r w:rsidR="00217C6E">
        <w:t> </w:t>
      </w:r>
      <w:r w:rsidR="00000525">
        <w:t>February</w:t>
      </w:r>
      <w:r w:rsidR="00217C6E">
        <w:t xml:space="preserve"> 19</w:t>
      </w:r>
      <w:r w:rsidR="00000525">
        <w:t>94</w:t>
      </w:r>
      <w:r w:rsidR="00217C6E">
        <w:t xml:space="preserve">, Series A no. 281-A, p. </w:t>
      </w:r>
      <w:r w:rsidR="00000525">
        <w:t>19</w:t>
      </w:r>
      <w:r w:rsidR="00217C6E">
        <w:t>, § 39).</w:t>
      </w:r>
    </w:p>
    <w:p w:rsidR="00000525" w:rsidP="00217C6E" w:rsidRDefault="00000525">
      <w:pPr>
        <w:pStyle w:val="JuPara"/>
      </w:pPr>
      <w:r>
        <w:fldChar w:fldCharType="begin"/>
      </w:r>
      <w:r>
        <w:instrText xml:space="preserve"> SEQ level0 \*arabic </w:instrText>
      </w:r>
      <w:r>
        <w:fldChar w:fldCharType="separate"/>
      </w:r>
      <w:r w:rsidR="000F1CF6">
        <w:rPr>
          <w:noProof/>
        </w:rPr>
        <w:t>44</w:t>
      </w:r>
      <w:r>
        <w:fldChar w:fldCharType="end"/>
      </w:r>
      <w:r>
        <w:t>.  Moreover, it is to be noted that</w:t>
      </w:r>
      <w:r w:rsidR="00DE6FCE">
        <w:t xml:space="preserve"> in its judgment of </w:t>
      </w:r>
      <w:smartTag w:uri="urn:schemas-microsoft-com:office:smarttags" w:element="date">
        <w:smartTagPr>
          <w:attr w:name="Month" w:val="12"/>
          <w:attr w:name="Day" w:val="16"/>
          <w:attr w:name="Year" w:val="1996"/>
        </w:smartTagPr>
        <w:r w:rsidR="00DE6FCE">
          <w:t>16 December </w:t>
        </w:r>
        <w:r>
          <w:t>1996</w:t>
        </w:r>
      </w:smartTag>
      <w:r>
        <w:t xml:space="preserve"> the Court of Cassation, making use of its uncontested right to interpret the relevant provision</w:t>
      </w:r>
      <w:r w:rsidR="005B1792">
        <w:t>s</w:t>
      </w:r>
      <w:r>
        <w:t xml:space="preserve"> of domestic law, declared that the special supervision imposed on the applica</w:t>
      </w:r>
      <w:r w:rsidR="00DE6FCE">
        <w:t xml:space="preserve">nt had ceased to apply on </w:t>
      </w:r>
      <w:smartTag w:uri="urn:schemas-microsoft-com:office:smarttags" w:element="date">
        <w:smartTagPr>
          <w:attr w:name="Month" w:val="5"/>
          <w:attr w:name="Day" w:val="2"/>
          <w:attr w:name="Year" w:val="1995"/>
        </w:smartTagPr>
        <w:r w:rsidR="00DE6FCE">
          <w:t>2 May </w:t>
        </w:r>
        <w:r>
          <w:t>1995</w:t>
        </w:r>
      </w:smartTag>
      <w:r>
        <w:t xml:space="preserve"> (see </w:t>
      </w:r>
      <w:r w:rsidR="005B1792">
        <w:t>paragraph</w:t>
      </w:r>
      <w:r>
        <w:t xml:space="preserve"> 21 above).</w:t>
      </w:r>
    </w:p>
    <w:p w:rsidR="00E4189F" w:rsidP="00217C6E" w:rsidRDefault="00000525">
      <w:pPr>
        <w:pStyle w:val="JuPara"/>
      </w:pPr>
      <w:r>
        <w:fldChar w:fldCharType="begin"/>
      </w:r>
      <w:r>
        <w:instrText xml:space="preserve"> SEQ level0 \*arabic </w:instrText>
      </w:r>
      <w:r>
        <w:fldChar w:fldCharType="separate"/>
      </w:r>
      <w:r w:rsidR="000F1CF6">
        <w:rPr>
          <w:noProof/>
        </w:rPr>
        <w:t>45</w:t>
      </w:r>
      <w:r>
        <w:fldChar w:fldCharType="end"/>
      </w:r>
      <w:r>
        <w:t xml:space="preserve">.  It is not the role of the Court to determine whether this interpretation was correct or whether it was foreseeable in view of the relevant domestic precedents (see, </w:t>
      </w:r>
      <w:r>
        <w:rPr>
          <w:i/>
        </w:rPr>
        <w:t>mutatis mutandis</w:t>
      </w:r>
      <w:r>
        <w:t xml:space="preserve">, </w:t>
      </w:r>
      <w:r>
        <w:rPr>
          <w:i/>
        </w:rPr>
        <w:t>Lukanov v. Bulgaria</w:t>
      </w:r>
      <w:r>
        <w:t xml:space="preserve">, judgment of 20 March 1997, </w:t>
      </w:r>
      <w:r>
        <w:rPr>
          <w:i/>
        </w:rPr>
        <w:t xml:space="preserve">Reports of Judgments and Decisions </w:t>
      </w:r>
      <w:r>
        <w:t>1997-II, p. 543, § 41). For the purposes o</w:t>
      </w:r>
      <w:r w:rsidR="00244F51">
        <w:t>f the present case, it is sufficient</w:t>
      </w:r>
      <w:r>
        <w:t xml:space="preserve"> to </w:t>
      </w:r>
      <w:r w:rsidR="00196F15">
        <w:t>observe</w:t>
      </w:r>
      <w:r>
        <w:t xml:space="preserve"> that the </w:t>
      </w:r>
      <w:r w:rsidR="000850EA">
        <w:t>Court of C</w:t>
      </w:r>
      <w:r w:rsidR="00673BD0">
        <w:t>assation</w:t>
      </w:r>
      <w:r>
        <w:t xml:space="preserve"> recognised that the applicant had been su</w:t>
      </w:r>
      <w:r w:rsidR="00196F15">
        <w:t>bject</w:t>
      </w:r>
      <w:r>
        <w:t xml:space="preserve">, </w:t>
      </w:r>
      <w:r w:rsidR="00196F15">
        <w:t>between</w:t>
      </w:r>
      <w:r>
        <w:t xml:space="preserve"> </w:t>
      </w:r>
      <w:smartTag w:uri="urn:schemas-microsoft-com:office:smarttags" w:element="date">
        <w:smartTagPr>
          <w:attr w:name="Month" w:val="5"/>
          <w:attr w:name="Day" w:val="2"/>
          <w:attr w:name="Year" w:val="1995"/>
        </w:smartTagPr>
        <w:r>
          <w:t>2</w:t>
        </w:r>
        <w:r w:rsidR="00196F15">
          <w:t> </w:t>
        </w:r>
        <w:r w:rsidR="00DE6FCE">
          <w:t>May </w:t>
        </w:r>
        <w:r>
          <w:t>1995</w:t>
        </w:r>
      </w:smartTag>
      <w:r>
        <w:t xml:space="preserve"> </w:t>
      </w:r>
      <w:r w:rsidR="00196F15">
        <w:t>and</w:t>
      </w:r>
      <w:r>
        <w:t xml:space="preserve"> </w:t>
      </w:r>
      <w:smartTag w:uri="urn:schemas-microsoft-com:office:smarttags" w:element="date">
        <w:smartTagPr>
          <w:attr w:name="Month" w:val="7"/>
          <w:attr w:name="Day" w:val="24"/>
          <w:attr w:name="Year" w:val="1996"/>
        </w:smartTagPr>
        <w:r>
          <w:t>24 July 1996</w:t>
        </w:r>
      </w:smartTag>
      <w:r>
        <w:t xml:space="preserve">, to a measure affecting his liberty of movement </w:t>
      </w:r>
      <w:r w:rsidR="00196F15">
        <w:t xml:space="preserve">which was </w:t>
      </w:r>
      <w:r w:rsidR="000850EA">
        <w:t>time</w:t>
      </w:r>
      <w:r w:rsidR="00196F15">
        <w:t>-barred</w:t>
      </w:r>
      <w:r>
        <w:t>. However, the Court of Cassation did not provide any redress for the damage suffered by the applicant as a consequence of th</w:t>
      </w:r>
      <w:r w:rsidR="00196F15">
        <w:t>e</w:t>
      </w:r>
      <w:r>
        <w:t xml:space="preserve"> unlawful prolongation of the special supervision</w:t>
      </w:r>
      <w:r w:rsidR="00196F15">
        <w:t>. Moreover,</w:t>
      </w:r>
      <w:r>
        <w:t xml:space="preserve"> it has not been suggested by the Government that the applicant </w:t>
      </w:r>
      <w:r w:rsidR="00F46F4B">
        <w:t>could</w:t>
      </w:r>
      <w:r>
        <w:t xml:space="preserve"> have </w:t>
      </w:r>
      <w:r w:rsidR="00196F15">
        <w:t>made</w:t>
      </w:r>
      <w:r>
        <w:t xml:space="preserve"> use o</w:t>
      </w:r>
      <w:r w:rsidR="00153A7A">
        <w:t>f any other domestic remedy</w:t>
      </w:r>
      <w:r>
        <w:t xml:space="preserve"> to obtain compensation.</w:t>
      </w:r>
    </w:p>
    <w:p w:rsidRPr="00217C6E" w:rsidR="00000525" w:rsidP="00000525" w:rsidRDefault="00000525">
      <w:pPr>
        <w:pStyle w:val="JuPara"/>
      </w:pPr>
      <w:r>
        <w:fldChar w:fldCharType="begin"/>
      </w:r>
      <w:r>
        <w:instrText xml:space="preserve"> SEQ level0 \*arabic </w:instrText>
      </w:r>
      <w:r>
        <w:fldChar w:fldCharType="separate"/>
      </w:r>
      <w:r w:rsidR="000F1CF6">
        <w:rPr>
          <w:noProof/>
        </w:rPr>
        <w:t>46</w:t>
      </w:r>
      <w:r>
        <w:fldChar w:fldCharType="end"/>
      </w:r>
      <w:r>
        <w:t>.  </w:t>
      </w:r>
      <w:r w:rsidR="00196F15">
        <w:t>In the light of the above, t</w:t>
      </w:r>
      <w:r>
        <w:t xml:space="preserve">he Court concludes that </w:t>
      </w:r>
      <w:r w:rsidR="00196F15">
        <w:t>between</w:t>
      </w:r>
      <w:r w:rsidR="00DE6FCE">
        <w:t xml:space="preserve"> 2 May </w:t>
      </w:r>
      <w:r>
        <w:t xml:space="preserve">1995 </w:t>
      </w:r>
      <w:r w:rsidR="00196F15">
        <w:t>and</w:t>
      </w:r>
      <w:r>
        <w:t xml:space="preserve"> 24 July 1996 the interference </w:t>
      </w:r>
      <w:r w:rsidR="00196F15">
        <w:t>with the applicant</w:t>
      </w:r>
      <w:r w:rsidR="00E4189F">
        <w:t>’</w:t>
      </w:r>
      <w:r w:rsidR="00196F15">
        <w:t>s liberty of movement</w:t>
      </w:r>
      <w:r>
        <w:t xml:space="preserve"> was neither </w:t>
      </w:r>
      <w:r w:rsidR="00196F15">
        <w:t>“in accordance with</w:t>
      </w:r>
      <w:r>
        <w:t xml:space="preserve"> law</w:t>
      </w:r>
      <w:r w:rsidR="00196F15">
        <w:t>”</w:t>
      </w:r>
      <w:r>
        <w:t xml:space="preserve"> nor necessary. There has accordingly been a violation of Article 2 of Protocol No. 4.</w:t>
      </w:r>
    </w:p>
    <w:p w:rsidR="00FF01F8" w:rsidP="00FF01F8" w:rsidRDefault="00FF01F8">
      <w:pPr>
        <w:pStyle w:val="JuHIRoman"/>
      </w:pPr>
      <w:r>
        <w:t>II</w:t>
      </w:r>
      <w:r w:rsidRPr="00445083">
        <w:t>. </w:t>
      </w:r>
      <w:r w:rsidR="00243754">
        <w:t> </w:t>
      </w:r>
      <w:r w:rsidRPr="00445083">
        <w:t xml:space="preserve">ALLEGED VIOLATION OF ARTICLE </w:t>
      </w:r>
      <w:r>
        <w:t>3</w:t>
      </w:r>
      <w:r w:rsidRPr="00445083">
        <w:t xml:space="preserve"> OF </w:t>
      </w:r>
      <w:r>
        <w:t>PROTOCOL N</w:t>
      </w:r>
      <w:r w:rsidR="00244F51">
        <w:t>o</w:t>
      </w:r>
      <w:r w:rsidR="00196F15">
        <w:t>.</w:t>
      </w:r>
      <w:r>
        <w:t xml:space="preserve"> 1</w:t>
      </w:r>
    </w:p>
    <w:p w:rsidR="00FF01F8" w:rsidP="00FF01F8" w:rsidRDefault="00196F15">
      <w:pPr>
        <w:pStyle w:val="JuPara"/>
      </w:pPr>
      <w:r>
        <w:fldChar w:fldCharType="begin"/>
      </w:r>
      <w:r>
        <w:instrText xml:space="preserve"> SEQ level0 \*arabic </w:instrText>
      </w:r>
      <w:r>
        <w:fldChar w:fldCharType="separate"/>
      </w:r>
      <w:r w:rsidR="000F1CF6">
        <w:rPr>
          <w:noProof/>
        </w:rPr>
        <w:t>47</w:t>
      </w:r>
      <w:r>
        <w:fldChar w:fldCharType="end"/>
      </w:r>
      <w:r>
        <w:t>.  </w:t>
      </w:r>
      <w:r w:rsidR="00FF01F8">
        <w:t>The applicant complained that he was disenfranchised for a longer period than was lawf</w:t>
      </w:r>
      <w:r w:rsidR="00153A7A">
        <w:t>ul and that, as a result, he had been</w:t>
      </w:r>
      <w:r w:rsidR="00FF01F8">
        <w:t xml:space="preserve"> prevented from voting in the regional council </w:t>
      </w:r>
      <w:r w:rsidR="00153A7A">
        <w:t xml:space="preserve">election </w:t>
      </w:r>
      <w:r w:rsidR="00B75A1B">
        <w:t xml:space="preserve">of </w:t>
      </w:r>
      <w:smartTag w:uri="urn:schemas-microsoft-com:office:smarttags" w:element="date">
        <w:smartTagPr>
          <w:attr w:name="Month" w:val="4"/>
          <w:attr w:name="Day" w:val="23"/>
          <w:attr w:name="Year" w:val="1995"/>
        </w:smartTagPr>
        <w:r w:rsidR="00B75A1B">
          <w:t>23 April 1995</w:t>
        </w:r>
      </w:smartTag>
      <w:r w:rsidR="00B75A1B">
        <w:t xml:space="preserve"> </w:t>
      </w:r>
      <w:r w:rsidR="00244F51">
        <w:t xml:space="preserve">and </w:t>
      </w:r>
      <w:r w:rsidR="00FF01F8">
        <w:t xml:space="preserve">the parliamentary election of </w:t>
      </w:r>
      <w:smartTag w:uri="urn:schemas-microsoft-com:office:smarttags" w:element="date">
        <w:smartTagPr>
          <w:attr w:name="Month" w:val="4"/>
          <w:attr w:name="Day" w:val="21"/>
          <w:attr w:name="Year" w:val="1996"/>
        </w:smartTagPr>
        <w:r w:rsidR="00FF01F8">
          <w:t>21 April 1996</w:t>
        </w:r>
      </w:smartTag>
      <w:r w:rsidR="00FF01F8">
        <w:t>. He relied on Article 3 of Protocol No. 1</w:t>
      </w:r>
      <w:r w:rsidR="00153A7A">
        <w:t>,</w:t>
      </w:r>
      <w:r w:rsidR="00FF01F8">
        <w:t xml:space="preserve"> which reads as follows:</w:t>
      </w:r>
    </w:p>
    <w:p w:rsidR="00E4189F" w:rsidP="00B75A1B" w:rsidRDefault="00FF01F8">
      <w:pPr>
        <w:pStyle w:val="JuQuot"/>
      </w:pPr>
      <w:r>
        <w:t>“The High Contracting Parties undertake to hold free elections at reasonable intervals by secret ballot, under conditions which will ensure the free expression of the opinion of the people in the choice of the legislature.”</w:t>
      </w:r>
    </w:p>
    <w:p w:rsidRPr="00445083" w:rsidR="00B75A1B" w:rsidP="00B75A1B" w:rsidRDefault="00B75A1B">
      <w:pPr>
        <w:pStyle w:val="JuH1"/>
      </w:pPr>
      <w:r>
        <w:t>1</w:t>
      </w:r>
      <w:r w:rsidRPr="00445083">
        <w:t>.  </w:t>
      </w:r>
      <w:r>
        <w:t>The parties</w:t>
      </w:r>
      <w:r w:rsidR="00E4189F">
        <w:t>’</w:t>
      </w:r>
      <w:r>
        <w:t xml:space="preserve"> submissions</w:t>
      </w:r>
    </w:p>
    <w:p w:rsidR="00FF01F8" w:rsidP="00FF01F8" w:rsidRDefault="00FF01F8">
      <w:pPr>
        <w:pStyle w:val="JuPara"/>
      </w:pPr>
      <w:r>
        <w:fldChar w:fldCharType="begin"/>
      </w:r>
      <w:r>
        <w:instrText xml:space="preserve"> SEQ level0 \*arabic </w:instrText>
      </w:r>
      <w:r>
        <w:fldChar w:fldCharType="separate"/>
      </w:r>
      <w:r w:rsidR="000F1CF6">
        <w:rPr>
          <w:noProof/>
        </w:rPr>
        <w:t>48</w:t>
      </w:r>
      <w:r>
        <w:fldChar w:fldCharType="end"/>
      </w:r>
      <w:r>
        <w:t>.  The applicant submitted that his</w:t>
      </w:r>
      <w:r w:rsidR="00DE6FCE">
        <w:t xml:space="preserve"> disenfranchisement after </w:t>
      </w:r>
      <w:smartTag w:uri="urn:schemas-microsoft-com:office:smarttags" w:element="date">
        <w:smartTagPr>
          <w:attr w:name="Month" w:val="5"/>
          <w:attr w:name="Day" w:val="2"/>
          <w:attr w:name="Year" w:val="1995"/>
        </w:smartTagPr>
        <w:r w:rsidR="00DE6FCE">
          <w:t>2 May </w:t>
        </w:r>
        <w:r>
          <w:t>1995</w:t>
        </w:r>
      </w:smartTag>
      <w:r>
        <w:t xml:space="preserve"> was unlawful, as it was ordered on the basis of</w:t>
      </w:r>
      <w:r w:rsidR="00673BD0">
        <w:t xml:space="preserve"> a </w:t>
      </w:r>
      <w:r>
        <w:t>special police supervision</w:t>
      </w:r>
      <w:r w:rsidR="00F46F4B">
        <w:t xml:space="preserve"> measure</w:t>
      </w:r>
      <w:r w:rsidR="00673BD0">
        <w:t xml:space="preserve"> which had already expired</w:t>
      </w:r>
      <w:r>
        <w:t>.</w:t>
      </w:r>
    </w:p>
    <w:p w:rsidRPr="00445083" w:rsidR="00B75A1B" w:rsidP="00B75A1B" w:rsidRDefault="00FF01F8">
      <w:pPr>
        <w:pStyle w:val="JuPara"/>
      </w:pPr>
      <w:r>
        <w:fldChar w:fldCharType="begin"/>
      </w:r>
      <w:r>
        <w:instrText xml:space="preserve"> SEQ level0 \*arabic </w:instrText>
      </w:r>
      <w:r>
        <w:fldChar w:fldCharType="separate"/>
      </w:r>
      <w:r w:rsidR="000F1CF6">
        <w:rPr>
          <w:noProof/>
        </w:rPr>
        <w:t>49</w:t>
      </w:r>
      <w:r>
        <w:fldChar w:fldCharType="end"/>
      </w:r>
      <w:r>
        <w:t>.  In the Government</w:t>
      </w:r>
      <w:r w:rsidR="00E4189F">
        <w:t>’</w:t>
      </w:r>
      <w:r>
        <w:t xml:space="preserve">s opinion, the disenfranchisement was lawful in so far as it had to be </w:t>
      </w:r>
      <w:r w:rsidR="00153A7A">
        <w:t>regard</w:t>
      </w:r>
      <w:r w:rsidR="00F46F4B">
        <w:t>ed</w:t>
      </w:r>
      <w:r>
        <w:t xml:space="preserve"> </w:t>
      </w:r>
      <w:r w:rsidR="000850EA">
        <w:t xml:space="preserve">as </w:t>
      </w:r>
      <w:r>
        <w:t>the consequence of a lawfully imposed special supervision measure</w:t>
      </w:r>
      <w:r w:rsidR="00B75A1B">
        <w:t>.</w:t>
      </w:r>
    </w:p>
    <w:p w:rsidRPr="00445083" w:rsidR="00B75A1B" w:rsidP="00B75A1B" w:rsidRDefault="00B75A1B">
      <w:pPr>
        <w:pStyle w:val="JuH1"/>
      </w:pPr>
      <w:r>
        <w:t>2</w:t>
      </w:r>
      <w:r w:rsidRPr="00445083">
        <w:t>.  </w:t>
      </w:r>
      <w:r>
        <w:t>The Court</w:t>
      </w:r>
      <w:r w:rsidR="00E4189F">
        <w:t>’</w:t>
      </w:r>
      <w:r>
        <w:t>s assessment</w:t>
      </w:r>
    </w:p>
    <w:p w:rsidR="00FF01F8" w:rsidP="00B75A1B" w:rsidRDefault="00244F51">
      <w:pPr>
        <w:pStyle w:val="JuHa0"/>
      </w:pPr>
      <w:r>
        <w:t>(a)  A</w:t>
      </w:r>
      <w:r w:rsidR="00B75A1B">
        <w:t>pplicability of Article 3 of Protocol No. 1</w:t>
      </w:r>
    </w:p>
    <w:p w:rsidR="000E0EED" w:rsidP="00B75A1B" w:rsidRDefault="00B75A1B">
      <w:pPr>
        <w:pStyle w:val="JuPara"/>
      </w:pPr>
      <w:r>
        <w:fldChar w:fldCharType="begin"/>
      </w:r>
      <w:r>
        <w:instrText xml:space="preserve"> SEQ level0 \*arabic </w:instrText>
      </w:r>
      <w:r>
        <w:fldChar w:fldCharType="separate"/>
      </w:r>
      <w:r w:rsidR="000F1CF6">
        <w:rPr>
          <w:noProof/>
        </w:rPr>
        <w:t>50</w:t>
      </w:r>
      <w:r>
        <w:fldChar w:fldCharType="end"/>
      </w:r>
      <w:r>
        <w:t>.  The Court should first ascertain whether Article 3 of Protocol No. 1 applies to the elections complained of.</w:t>
      </w:r>
      <w:r w:rsidR="00590458">
        <w:t xml:space="preserve"> In this respect, it observes that Article 3 of Protocol No. 1 guarantees the “choice of the legislature” and that the word “legislature” does not necessarily mean the national </w:t>
      </w:r>
      <w:r w:rsidR="00153A7A">
        <w:t>p</w:t>
      </w:r>
      <w:r w:rsidR="00590458">
        <w:t xml:space="preserve">arliament: it has to be interpreted in the light of the constitutional structure of the State in question (see </w:t>
      </w:r>
      <w:r w:rsidR="00590458">
        <w:rPr>
          <w:i/>
        </w:rPr>
        <w:t>Cherepkov v. Russia</w:t>
      </w:r>
      <w:r w:rsidR="00590458">
        <w:t xml:space="preserve"> (dec.), no. 51501/</w:t>
      </w:r>
      <w:r w:rsidR="00244F51">
        <w:t xml:space="preserve">99, ECHR 2000-I). In </w:t>
      </w:r>
      <w:r w:rsidRPr="000850EA" w:rsidR="00590458">
        <w:rPr>
          <w:i/>
        </w:rPr>
        <w:t>Mathieu-Mohin and Clerfayt v.</w:t>
      </w:r>
      <w:r w:rsidR="00A7032F">
        <w:rPr>
          <w:i/>
        </w:rPr>
        <w:t xml:space="preserve"> </w:t>
      </w:r>
      <w:r w:rsidRPr="000850EA" w:rsidR="00590458">
        <w:rPr>
          <w:i/>
        </w:rPr>
        <w:t>Belgium</w:t>
      </w:r>
      <w:r w:rsidR="00244F51">
        <w:t>,</w:t>
      </w:r>
      <w:r w:rsidR="00590458">
        <w:t xml:space="preserve"> the 1980 constitutional reform had vested in the Flemish Council sufficient competence and powers to make it, alongside the French Community Council and the Walloon Regional Council, a constituent part of the Belgian “legislature”, in addition to the House of Representatives and the Senate</w:t>
      </w:r>
      <w:r w:rsidR="00153A7A">
        <w:t xml:space="preserve"> (see </w:t>
      </w:r>
      <w:r w:rsidRPr="000850EA" w:rsidR="00153A7A">
        <w:rPr>
          <w:i/>
        </w:rPr>
        <w:t>Mathieu-Mohin and Clerfayt v.</w:t>
      </w:r>
      <w:r w:rsidR="00153A7A">
        <w:rPr>
          <w:i/>
        </w:rPr>
        <w:t xml:space="preserve"> </w:t>
      </w:r>
      <w:r w:rsidRPr="000850EA" w:rsidR="00153A7A">
        <w:rPr>
          <w:i/>
        </w:rPr>
        <w:t>Belgium</w:t>
      </w:r>
      <w:r w:rsidR="00153A7A">
        <w:t xml:space="preserve">, judgment of 2 March 1987, Series A no. 113, p. 23, §53; </w:t>
      </w:r>
      <w:r w:rsidR="000850EA">
        <w:t xml:space="preserve">see </w:t>
      </w:r>
      <w:r w:rsidR="00590458">
        <w:t xml:space="preserve">also </w:t>
      </w:r>
      <w:r w:rsidRPr="00590458" w:rsidR="00590458">
        <w:rPr>
          <w:i/>
        </w:rPr>
        <w:t>Matthews v. the United Kingdom</w:t>
      </w:r>
      <w:r w:rsidR="00590458">
        <w:t xml:space="preserve"> [GC], no. 24833/94, §§ 40-54, ECHR 1999-I, on the application of Article 3 of Protocol No. 1 to the European Parliament</w:t>
      </w:r>
      <w:r w:rsidR="00153A7A">
        <w:t>;</w:t>
      </w:r>
      <w:r w:rsidR="000E0EED">
        <w:t xml:space="preserve"> and</w:t>
      </w:r>
      <w:r w:rsidR="00590458">
        <w:t xml:space="preserve"> </w:t>
      </w:r>
      <w:r w:rsidR="00590458">
        <w:rPr>
          <w:i/>
        </w:rPr>
        <w:t>X v. Austria</w:t>
      </w:r>
      <w:r w:rsidR="00590458">
        <w:t>, no. 7008/75, Commission decision of 12 July 1976, Decisions and Reports (DR) 6, pp.</w:t>
      </w:r>
      <w:r w:rsidR="00A7032F">
        <w:t xml:space="preserve"> </w:t>
      </w:r>
      <w:r w:rsidR="000850EA">
        <w:t>120-</w:t>
      </w:r>
      <w:r w:rsidR="00590458">
        <w:t>21, on the application of Article 3 of Protocol</w:t>
      </w:r>
      <w:r w:rsidR="007B5A8C">
        <w:t xml:space="preserve"> No. 1 to regional parliaments</w:t>
      </w:r>
      <w:r w:rsidR="00590458">
        <w:t xml:space="preserve"> </w:t>
      </w:r>
      <w:r w:rsidR="007B5A8C">
        <w:t>(</w:t>
      </w:r>
      <w:r w:rsidRPr="00590458" w:rsidR="00590458">
        <w:rPr>
          <w:i/>
        </w:rPr>
        <w:t>Landtag</w:t>
      </w:r>
      <w:r w:rsidR="00153A7A">
        <w:rPr>
          <w:i/>
        </w:rPr>
        <w:t>e</w:t>
      </w:r>
      <w:r w:rsidR="007B5A8C">
        <w:t>)</w:t>
      </w:r>
      <w:r w:rsidR="00590458">
        <w:t xml:space="preserve"> in Austria</w:t>
      </w:r>
      <w:r w:rsidR="000E0EED">
        <w:t>).</w:t>
      </w:r>
    </w:p>
    <w:p w:rsidR="00E4189F" w:rsidP="00B75A1B" w:rsidRDefault="00590458">
      <w:pPr>
        <w:pStyle w:val="JuPara"/>
      </w:pPr>
      <w:r>
        <w:fldChar w:fldCharType="begin"/>
      </w:r>
      <w:r>
        <w:instrText xml:space="preserve"> SEQ level0 \*arabic </w:instrText>
      </w:r>
      <w:r>
        <w:fldChar w:fldCharType="separate"/>
      </w:r>
      <w:r w:rsidR="000F1CF6">
        <w:rPr>
          <w:noProof/>
        </w:rPr>
        <w:t>51</w:t>
      </w:r>
      <w:r>
        <w:fldChar w:fldCharType="end"/>
      </w:r>
      <w:r>
        <w:t>.  In the present case</w:t>
      </w:r>
      <w:r w:rsidR="00153A7A">
        <w:t>,</w:t>
      </w:r>
      <w:r>
        <w:t xml:space="preserve"> there is no doubt </w:t>
      </w:r>
      <w:r w:rsidR="000850EA">
        <w:t xml:space="preserve">that </w:t>
      </w:r>
      <w:r w:rsidR="00153A7A">
        <w:t>the national p</w:t>
      </w:r>
      <w:r>
        <w:t xml:space="preserve">arliament </w:t>
      </w:r>
      <w:r w:rsidR="005A3C7F">
        <w:t xml:space="preserve">is a legislative body within the meaning of Article 3 of Protocol No. 1. As regards the regional </w:t>
      </w:r>
      <w:r w:rsidRPr="006F0ACA" w:rsidR="005A3C7F">
        <w:t>council</w:t>
      </w:r>
      <w:r w:rsidR="000E0EED">
        <w:t>s</w:t>
      </w:r>
      <w:r w:rsidRPr="006F0ACA" w:rsidR="006F0ACA">
        <w:t>,</w:t>
      </w:r>
      <w:r w:rsidR="000E0EED">
        <w:t xml:space="preserve"> the Commission left open the question whether these organs might be deemed to be part of the legislature in </w:t>
      </w:r>
      <w:smartTag w:uri="urn:schemas-microsoft-com:office:smarttags" w:element="country-region">
        <w:smartTag w:uri="urn:schemas-microsoft-com:office:smarttags" w:element="place">
          <w:r w:rsidR="000E0EED">
            <w:t>Italy</w:t>
          </w:r>
        </w:smartTag>
      </w:smartTag>
      <w:r w:rsidR="000E0EED">
        <w:t xml:space="preserve"> (see </w:t>
      </w:r>
      <w:r w:rsidR="000E0EED">
        <w:rPr>
          <w:i/>
        </w:rPr>
        <w:t>Luksch v. Italy</w:t>
      </w:r>
      <w:r w:rsidR="00244F51">
        <w:t>, no. 27</w:t>
      </w:r>
      <w:r w:rsidR="000E0EED">
        <w:t xml:space="preserve">614/95, Commission decision of </w:t>
      </w:r>
      <w:smartTag w:uri="urn:schemas-microsoft-com:office:smarttags" w:element="date">
        <w:smartTagPr>
          <w:attr w:name="Month" w:val="5"/>
          <w:attr w:name="Day" w:val="21"/>
          <w:attr w:name="Year" w:val="1997"/>
        </w:smartTagPr>
        <w:r w:rsidR="000E0EED">
          <w:t>21 May 1997</w:t>
        </w:r>
      </w:smartTag>
      <w:r w:rsidR="000E0EED">
        <w:t>, DR 89</w:t>
      </w:r>
      <w:r w:rsidR="00F46F4B">
        <w:t>-B</w:t>
      </w:r>
      <w:r w:rsidR="000E0EED">
        <w:t>, pp. 76-78).</w:t>
      </w:r>
    </w:p>
    <w:p w:rsidR="004B67E4" w:rsidP="00B75A1B" w:rsidRDefault="00673BD0">
      <w:pPr>
        <w:pStyle w:val="JuPara"/>
      </w:pPr>
      <w:r>
        <w:fldChar w:fldCharType="begin"/>
      </w:r>
      <w:r>
        <w:instrText xml:space="preserve"> SEQ level0 \*arabic </w:instrText>
      </w:r>
      <w:r>
        <w:fldChar w:fldCharType="separate"/>
      </w:r>
      <w:r w:rsidR="000F1CF6">
        <w:rPr>
          <w:noProof/>
        </w:rPr>
        <w:t>52</w:t>
      </w:r>
      <w:r>
        <w:fldChar w:fldCharType="end"/>
      </w:r>
      <w:r>
        <w:t>.  T</w:t>
      </w:r>
      <w:r w:rsidRPr="006F0ACA" w:rsidR="006F0ACA">
        <w:t>he Court notes that</w:t>
      </w:r>
      <w:r w:rsidR="000850EA">
        <w:t>,</w:t>
      </w:r>
      <w:r w:rsidRPr="006F0ACA" w:rsidR="006F0ACA">
        <w:t xml:space="preserve"> </w:t>
      </w:r>
      <w:r w:rsidR="000850EA">
        <w:t>under</w:t>
      </w:r>
      <w:r w:rsidRPr="006F0ACA" w:rsidR="006F0ACA">
        <w:t xml:space="preserve"> Article</w:t>
      </w:r>
      <w:r w:rsidR="000E0EED">
        <w:t>s</w:t>
      </w:r>
      <w:r w:rsidRPr="006F0ACA" w:rsidR="006F0ACA">
        <w:t xml:space="preserve"> 117</w:t>
      </w:r>
      <w:r w:rsidR="000E0EED">
        <w:t xml:space="preserve"> and 121 § 2</w:t>
      </w:r>
      <w:r w:rsidRPr="006F0ACA" w:rsidR="006F0ACA">
        <w:t xml:space="preserve"> of the Constitution, the region</w:t>
      </w:r>
      <w:r w:rsidR="000E0EED">
        <w:t>al councils</w:t>
      </w:r>
      <w:r w:rsidRPr="006F0ACA" w:rsidR="006F0ACA">
        <w:t xml:space="preserve"> are competent to enact</w:t>
      </w:r>
      <w:r w:rsidR="004B67E4">
        <w:t>, within the territory</w:t>
      </w:r>
      <w:r w:rsidR="000850EA">
        <w:t xml:space="preserve"> of the r</w:t>
      </w:r>
      <w:r w:rsidR="000E0EED">
        <w:t>egion to which they belong</w:t>
      </w:r>
      <w:r w:rsidR="004B67E4">
        <w:t>,</w:t>
      </w:r>
      <w:r w:rsidRPr="006F0ACA" w:rsidR="006F0ACA">
        <w:t xml:space="preserve"> laws in a number of pivotal </w:t>
      </w:r>
      <w:r w:rsidR="00F46F4B">
        <w:t>areas</w:t>
      </w:r>
      <w:r w:rsidR="004B67E4">
        <w:t xml:space="preserve"> in a democratic society</w:t>
      </w:r>
      <w:r w:rsidRPr="006F0ACA" w:rsidR="006F0ACA">
        <w:t>, such as administrative</w:t>
      </w:r>
      <w:r w:rsidR="00244F51">
        <w:t xml:space="preserve"> planning, local policy, public health</w:t>
      </w:r>
      <w:r w:rsidRPr="006F0ACA" w:rsidR="006F0ACA">
        <w:t>, education, town planning and agriculture</w:t>
      </w:r>
      <w:r w:rsidR="006F0ACA">
        <w:t xml:space="preserve"> (see </w:t>
      </w:r>
      <w:r w:rsidR="000E0EED">
        <w:t>paragraph</w:t>
      </w:r>
      <w:r w:rsidR="006F0ACA">
        <w:t xml:space="preserve"> 35 above)</w:t>
      </w:r>
      <w:r w:rsidRPr="006F0ACA" w:rsidR="006F0ACA">
        <w:t xml:space="preserve">. </w:t>
      </w:r>
      <w:r w:rsidR="004B67E4">
        <w:t xml:space="preserve">The Court therefore considers that the Constitution vested </w:t>
      </w:r>
      <w:r w:rsidR="00F46F4B">
        <w:t xml:space="preserve">competence and powers in </w:t>
      </w:r>
      <w:r w:rsidR="004B67E4">
        <w:t xml:space="preserve">the </w:t>
      </w:r>
      <w:r>
        <w:t>r</w:t>
      </w:r>
      <w:r w:rsidR="004B67E4">
        <w:t>egion</w:t>
      </w:r>
      <w:r>
        <w:t>al councils</w:t>
      </w:r>
      <w:r w:rsidR="004B67E4">
        <w:t xml:space="preserve"> </w:t>
      </w:r>
      <w:r w:rsidR="00F46F4B">
        <w:t xml:space="preserve">that are </w:t>
      </w:r>
      <w:r w:rsidR="004B67E4">
        <w:t xml:space="preserve">wide enough to make them a constituent part of the legislature in addition to the </w:t>
      </w:r>
      <w:r w:rsidR="000850EA">
        <w:t>p</w:t>
      </w:r>
      <w:r w:rsidR="004B67E4">
        <w:t>arliament. This has not been contested by the Government.</w:t>
      </w:r>
    </w:p>
    <w:p w:rsidRPr="006F0ACA" w:rsidR="00B75A1B" w:rsidP="00B75A1B" w:rsidRDefault="004B67E4">
      <w:pPr>
        <w:pStyle w:val="JuPara"/>
      </w:pPr>
      <w:r>
        <w:fldChar w:fldCharType="begin"/>
      </w:r>
      <w:r>
        <w:instrText xml:space="preserve"> SEQ level0 \*arabic </w:instrText>
      </w:r>
      <w:r>
        <w:fldChar w:fldCharType="separate"/>
      </w:r>
      <w:r w:rsidR="000F1CF6">
        <w:rPr>
          <w:noProof/>
        </w:rPr>
        <w:t>53</w:t>
      </w:r>
      <w:r>
        <w:fldChar w:fldCharType="end"/>
      </w:r>
      <w:r>
        <w:t>.  It follows that Article 3 of Protocol No. 1 is applicable bot</w:t>
      </w:r>
      <w:r w:rsidR="00153A7A">
        <w:t>h to the parliamentary election</w:t>
      </w:r>
      <w:r>
        <w:t xml:space="preserve"> of </w:t>
      </w:r>
      <w:smartTag w:uri="urn:schemas-microsoft-com:office:smarttags" w:element="date">
        <w:smartTagPr>
          <w:attr w:name="Month" w:val="4"/>
          <w:attr w:name="Day" w:val="21"/>
          <w:attr w:name="Year" w:val="1996"/>
        </w:smartTagPr>
        <w:r>
          <w:t>21 April 1996</w:t>
        </w:r>
      </w:smartTag>
      <w:r w:rsidR="00244F51">
        <w:t xml:space="preserve"> and </w:t>
      </w:r>
      <w:r w:rsidR="00153A7A">
        <w:t>the regional election</w:t>
      </w:r>
      <w:r>
        <w:t xml:space="preserve"> of </w:t>
      </w:r>
      <w:smartTag w:uri="urn:schemas-microsoft-com:office:smarttags" w:element="date">
        <w:smartTagPr>
          <w:attr w:name="Month" w:val="4"/>
          <w:attr w:name="Day" w:val="23"/>
          <w:attr w:name="Year" w:val="1995"/>
        </w:smartTagPr>
        <w:r>
          <w:t>23</w:t>
        </w:r>
        <w:r w:rsidR="00673BD0">
          <w:t> </w:t>
        </w:r>
        <w:r>
          <w:t>April 1995</w:t>
        </w:r>
      </w:smartTag>
      <w:r w:rsidR="00847CF4">
        <w:t>.</w:t>
      </w:r>
    </w:p>
    <w:p w:rsidR="00B75A1B" w:rsidP="000850EA" w:rsidRDefault="000850EA">
      <w:pPr>
        <w:pStyle w:val="JuHa0"/>
        <w:tabs>
          <w:tab w:val="clear" w:pos="975"/>
        </w:tabs>
        <w:ind w:left="635" w:firstLine="0"/>
      </w:pPr>
      <w:r>
        <w:t>(b)  </w:t>
      </w:r>
      <w:r w:rsidR="00244F51">
        <w:t>M</w:t>
      </w:r>
      <w:r w:rsidR="00B75A1B">
        <w:t>erits of the applicant</w:t>
      </w:r>
      <w:r w:rsidR="00E4189F">
        <w:t>’</w:t>
      </w:r>
      <w:r w:rsidR="0002684D">
        <w:t>s</w:t>
      </w:r>
      <w:r w:rsidR="00153A7A">
        <w:t xml:space="preserve"> complaint</w:t>
      </w:r>
    </w:p>
    <w:p w:rsidR="00B75A1B" w:rsidP="00B75A1B" w:rsidRDefault="00B75A1B">
      <w:pPr>
        <w:pStyle w:val="JuPara"/>
      </w:pPr>
      <w:r>
        <w:fldChar w:fldCharType="begin"/>
      </w:r>
      <w:r>
        <w:instrText xml:space="preserve"> SEQ level0 \*arabic </w:instrText>
      </w:r>
      <w:r>
        <w:fldChar w:fldCharType="separate"/>
      </w:r>
      <w:r w:rsidR="000F1CF6">
        <w:rPr>
          <w:noProof/>
        </w:rPr>
        <w:t>54</w:t>
      </w:r>
      <w:r>
        <w:fldChar w:fldCharType="end"/>
      </w:r>
      <w:r>
        <w:t>.  The Court points out that implicit in Article 3 of Protocol No. 1 are the subjective rights to vote and to stand for election. Although those rights are important, they are not absolute. Since Article 3 recognises them without setting them forth in express terms, let alone defining them, there is room for implied limitations. In their internal legal orders</w:t>
      </w:r>
      <w:r w:rsidR="007B5A8C">
        <w:t>,</w:t>
      </w:r>
      <w:r>
        <w:t xml:space="preserve"> the Contracting States make the rights to vote and to stand for election subject to conditions which are not in principle precluded under Article 3. They have a wide margin of appreciation in this sphere, but it is for the Court to determine in the last resort whether the requirements </w:t>
      </w:r>
      <w:r w:rsidR="00D71533">
        <w:t xml:space="preserve">of this provision </w:t>
      </w:r>
      <w:r>
        <w:t xml:space="preserve">of Protocol No. 1 have been complied with; it has to satisfy itself that the conditions do not curtail the rights in question to such an extent as to impair their very essence and deprive them of their effectiveness; that they are imposed in pursuit of a legitimate aim; and that the means employed are not disproportionate (see the following judgments: </w:t>
      </w:r>
      <w:r>
        <w:rPr>
          <w:i/>
          <w:iCs/>
        </w:rPr>
        <w:t>Mathieu-Mohin and Clerfayt</w:t>
      </w:r>
      <w:r>
        <w:t xml:space="preserve">, </w:t>
      </w:r>
      <w:r w:rsidR="000850EA">
        <w:t>cited</w:t>
      </w:r>
      <w:r w:rsidR="00590458">
        <w:t xml:space="preserve"> above</w:t>
      </w:r>
      <w:r>
        <w:t>, p. 23,</w:t>
      </w:r>
      <w:r w:rsidR="00E4189F">
        <w:t xml:space="preserve"> </w:t>
      </w:r>
      <w:r>
        <w:t xml:space="preserve">§ 52; </w:t>
      </w:r>
      <w:r>
        <w:rPr>
          <w:i/>
          <w:iCs/>
        </w:rPr>
        <w:t>Gitonas and Others v. Greece</w:t>
      </w:r>
      <w:r>
        <w:t xml:space="preserve">, 1 July 1997, </w:t>
      </w:r>
      <w:r>
        <w:rPr>
          <w:i/>
          <w:iCs/>
        </w:rPr>
        <w:t xml:space="preserve">Reports </w:t>
      </w:r>
      <w:r>
        <w:t xml:space="preserve">1997-IV, p. </w:t>
      </w:r>
      <w:r w:rsidR="00244F51">
        <w:t>1</w:t>
      </w:r>
      <w:r>
        <w:t xml:space="preserve">233, § 39; </w:t>
      </w:r>
      <w:r>
        <w:rPr>
          <w:i/>
          <w:iCs/>
        </w:rPr>
        <w:t>Ahmed and Others v. the United Kingdom</w:t>
      </w:r>
      <w:r>
        <w:t>, 2</w:t>
      </w:r>
      <w:r w:rsidR="00590458">
        <w:t> </w:t>
      </w:r>
      <w:r>
        <w:t xml:space="preserve">September 1998, </w:t>
      </w:r>
      <w:r>
        <w:rPr>
          <w:i/>
          <w:iCs/>
        </w:rPr>
        <w:t xml:space="preserve">Reports </w:t>
      </w:r>
      <w:r>
        <w:t xml:space="preserve">1998-VI, </w:t>
      </w:r>
      <w:r w:rsidR="00673BD0">
        <w:t xml:space="preserve">p. 2384, </w:t>
      </w:r>
      <w:r>
        <w:t xml:space="preserve">§ 75; </w:t>
      </w:r>
      <w:r>
        <w:rPr>
          <w:i/>
          <w:iCs/>
        </w:rPr>
        <w:t xml:space="preserve">Labita v. Italy </w:t>
      </w:r>
      <w:r>
        <w:t>[GC], no.</w:t>
      </w:r>
      <w:r w:rsidR="00590458">
        <w:t> </w:t>
      </w:r>
      <w:r>
        <w:t xml:space="preserve">26772/95, § 201, ECHR 2000-IV; </w:t>
      </w:r>
      <w:r w:rsidR="00B70893">
        <w:t>and</w:t>
      </w:r>
      <w:r w:rsidR="00244F51">
        <w:t xml:space="preserve"> </w:t>
      </w:r>
      <w:r>
        <w:rPr>
          <w:i/>
        </w:rPr>
        <w:t>Sadak and Others v. Turkey</w:t>
      </w:r>
      <w:r w:rsidR="00244F51">
        <w:rPr>
          <w:i/>
        </w:rPr>
        <w:t xml:space="preserve"> (no. 2)</w:t>
      </w:r>
      <w:r>
        <w:t xml:space="preserve">, nos. </w:t>
      </w:r>
      <w:r w:rsidRPr="00B75A1B">
        <w:rPr>
          <w:szCs w:val="24"/>
        </w:rPr>
        <w:t>25144/94, 26149/95 to 26154/95, 27100/95 and 27101/95</w:t>
      </w:r>
      <w:r>
        <w:rPr>
          <w:szCs w:val="24"/>
        </w:rPr>
        <w:t xml:space="preserve">, § </w:t>
      </w:r>
      <w:r>
        <w:t>31, ECHR</w:t>
      </w:r>
      <w:r w:rsidR="0002684D">
        <w:t> </w:t>
      </w:r>
      <w:r>
        <w:t>2002-IV).</w:t>
      </w:r>
    </w:p>
    <w:p w:rsidRPr="00B75A1B" w:rsidR="00B75A1B" w:rsidP="00B75A1B" w:rsidRDefault="00B75A1B">
      <w:pPr>
        <w:pStyle w:val="JuPara"/>
        <w:rPr>
          <w:i/>
        </w:rPr>
      </w:pPr>
      <w:r>
        <w:fldChar w:fldCharType="begin"/>
      </w:r>
      <w:r>
        <w:instrText xml:space="preserve"> SEQ level0 \*arabic </w:instrText>
      </w:r>
      <w:r>
        <w:fldChar w:fldCharType="separate"/>
      </w:r>
      <w:r w:rsidR="000F1CF6">
        <w:rPr>
          <w:noProof/>
        </w:rPr>
        <w:t>55</w:t>
      </w:r>
      <w:r>
        <w:fldChar w:fldCharType="end"/>
      </w:r>
      <w:r>
        <w:t xml:space="preserve">.  The Court observes that persons who are subject to special police supervision are automatically struck off the electoral register (see </w:t>
      </w:r>
      <w:r w:rsidR="0002684D">
        <w:t>paragraph</w:t>
      </w:r>
      <w:r w:rsidR="002A25AE">
        <w:t> </w:t>
      </w:r>
      <w:r>
        <w:t>3</w:t>
      </w:r>
      <w:r w:rsidR="0002684D">
        <w:t>3</w:t>
      </w:r>
      <w:r>
        <w:t xml:space="preserve"> above). </w:t>
      </w:r>
      <w:r w:rsidR="00B70893">
        <w:t>T</w:t>
      </w:r>
      <w:r w:rsidRPr="0074124C" w:rsidR="0074124C">
        <w:t xml:space="preserve">he </w:t>
      </w:r>
      <w:r w:rsidR="00B70893">
        <w:t>p</w:t>
      </w:r>
      <w:r w:rsidRPr="0074124C" w:rsidR="0074124C">
        <w:t xml:space="preserve">refect </w:t>
      </w:r>
      <w:r w:rsidR="000850EA">
        <w:t>notifies</w:t>
      </w:r>
      <w:r w:rsidRPr="0074124C" w:rsidR="0074124C">
        <w:t xml:space="preserve"> the municipality</w:t>
      </w:r>
      <w:r w:rsidR="00B70893">
        <w:t xml:space="preserve"> accordingly</w:t>
      </w:r>
      <w:r w:rsidRPr="0074124C" w:rsidR="0074124C">
        <w:t xml:space="preserve"> and the</w:t>
      </w:r>
      <w:r w:rsidR="002A25AE">
        <w:t xml:space="preserve"> </w:t>
      </w:r>
      <w:r w:rsidRPr="0074124C" w:rsidR="0074124C">
        <w:t>Municipal Electoral Committee remove</w:t>
      </w:r>
      <w:r w:rsidR="000850EA">
        <w:t>s</w:t>
      </w:r>
      <w:r w:rsidRPr="0074124C" w:rsidR="0074124C">
        <w:t xml:space="preserve"> the name of the person concerned from the electoral register (see paragraph 34 above).</w:t>
      </w:r>
    </w:p>
    <w:p w:rsidR="00E4189F" w:rsidP="00B75A1B" w:rsidRDefault="00B75A1B">
      <w:pPr>
        <w:pStyle w:val="JuPara"/>
      </w:pPr>
      <w:r>
        <w:fldChar w:fldCharType="begin"/>
      </w:r>
      <w:r>
        <w:instrText xml:space="preserve"> SEQ level0 \*arabic </w:instrText>
      </w:r>
      <w:r>
        <w:fldChar w:fldCharType="separate"/>
      </w:r>
      <w:r w:rsidR="000F1CF6">
        <w:rPr>
          <w:noProof/>
        </w:rPr>
        <w:t>56</w:t>
      </w:r>
      <w:r>
        <w:fldChar w:fldCharType="end"/>
      </w:r>
      <w:r>
        <w:t>.  </w:t>
      </w:r>
      <w:r w:rsidR="0074124C">
        <w:t>In the present case</w:t>
      </w:r>
      <w:r w:rsidR="00153A7A">
        <w:t>,</w:t>
      </w:r>
      <w:r w:rsidR="0074124C">
        <w:t xml:space="preserve"> the order imposing the preventive measure was forwarded f</w:t>
      </w:r>
      <w:r w:rsidR="00153A7A">
        <w:t xml:space="preserve">or enforcement to the </w:t>
      </w:r>
      <w:smartTag w:uri="urn:schemas-microsoft-com:office:smarttags" w:element="City">
        <w:smartTag w:uri="urn:schemas-microsoft-com:office:smarttags" w:element="place">
          <w:r w:rsidR="00153A7A">
            <w:t>Brindisi</w:t>
          </w:r>
        </w:smartTag>
      </w:smartTag>
      <w:r w:rsidR="00153A7A">
        <w:t xml:space="preserve"> p</w:t>
      </w:r>
      <w:r w:rsidR="0074124C">
        <w:t xml:space="preserve">refect on </w:t>
      </w:r>
      <w:smartTag w:uri="urn:schemas-microsoft-com:office:smarttags" w:element="date">
        <w:smartTagPr>
          <w:attr w:name="Month" w:val="4"/>
          <w:attr w:name="Day" w:val="7"/>
          <w:attr w:name="Year" w:val="1994"/>
        </w:smartTagPr>
        <w:r w:rsidR="0074124C">
          <w:t>7 April 1994</w:t>
        </w:r>
      </w:smartTag>
      <w:r w:rsidR="0074124C">
        <w:t xml:space="preserve"> (see paragraph 12 above). However, it was only on </w:t>
      </w:r>
      <w:smartTag w:uri="urn:schemas-microsoft-com:office:smarttags" w:element="date">
        <w:smartTagPr>
          <w:attr w:name="Month" w:val="1"/>
          <w:attr w:name="Day" w:val="10"/>
          <w:attr w:name="Year" w:val="1995"/>
        </w:smartTagPr>
        <w:r w:rsidR="0074124C">
          <w:t>10 January 1995</w:t>
        </w:r>
      </w:smartTag>
      <w:r w:rsidR="0074124C">
        <w:t xml:space="preserve"> that the Ostuni Municipal Electoral Committee decided to strike the applicant off the electoral register (see paragraph 23 above).</w:t>
      </w:r>
    </w:p>
    <w:p w:rsidR="002E04DB" w:rsidP="002E04DB" w:rsidRDefault="002E04DB">
      <w:pPr>
        <w:pStyle w:val="JuPara"/>
        <w:rPr>
          <w:lang w:val="en-US"/>
        </w:rPr>
      </w:pPr>
      <w:r>
        <w:fldChar w:fldCharType="begin"/>
      </w:r>
      <w:r>
        <w:instrText xml:space="preserve"> SEQ level0 \*arabic </w:instrText>
      </w:r>
      <w:r>
        <w:fldChar w:fldCharType="separate"/>
      </w:r>
      <w:r w:rsidR="000F1CF6">
        <w:rPr>
          <w:noProof/>
        </w:rPr>
        <w:t>57</w:t>
      </w:r>
      <w:r>
        <w:fldChar w:fldCharType="end"/>
      </w:r>
      <w:r>
        <w:t>.  </w:t>
      </w:r>
      <w:r w:rsidRPr="002E04DB">
        <w:rPr>
          <w:lang w:val="en-US"/>
        </w:rPr>
        <w:t>The Court accept</w:t>
      </w:r>
      <w:r w:rsidR="002A25AE">
        <w:rPr>
          <w:lang w:val="en-US"/>
        </w:rPr>
        <w:t>s</w:t>
      </w:r>
      <w:r w:rsidRPr="002E04DB">
        <w:rPr>
          <w:lang w:val="en-US"/>
        </w:rPr>
        <w:t xml:space="preserve"> that some delay in accomplishing the administrative tasks relating to the enforcement of a domestic court</w:t>
      </w:r>
      <w:r w:rsidR="00E4189F">
        <w:rPr>
          <w:lang w:val="en-US"/>
        </w:rPr>
        <w:t>’</w:t>
      </w:r>
      <w:r w:rsidRPr="002E04DB">
        <w:rPr>
          <w:lang w:val="en-US"/>
        </w:rPr>
        <w:t>s</w:t>
      </w:r>
      <w:r w:rsidR="002A25AE">
        <w:rPr>
          <w:lang w:val="en-US"/>
        </w:rPr>
        <w:t xml:space="preserve"> </w:t>
      </w:r>
      <w:r w:rsidRPr="002E04DB">
        <w:rPr>
          <w:lang w:val="en-US"/>
        </w:rPr>
        <w:t>decision is often inevitable; however, it must be kept to a minimum</w:t>
      </w:r>
      <w:r>
        <w:rPr>
          <w:lang w:val="en-US"/>
        </w:rPr>
        <w:t xml:space="preserve"> (see, </w:t>
      </w:r>
      <w:r>
        <w:rPr>
          <w:i/>
          <w:lang w:val="en-US"/>
        </w:rPr>
        <w:t>mutatis mutandis</w:t>
      </w:r>
      <w:r>
        <w:rPr>
          <w:lang w:val="en-US"/>
        </w:rPr>
        <w:t xml:space="preserve">, </w:t>
      </w:r>
      <w:r>
        <w:rPr>
          <w:i/>
          <w:lang w:val="en-US"/>
        </w:rPr>
        <w:t>Giulia Manzoni v. Italy</w:t>
      </w:r>
      <w:r>
        <w:rPr>
          <w:lang w:val="en-US"/>
        </w:rPr>
        <w:t xml:space="preserve">, judgment of 1 July 1997, </w:t>
      </w:r>
      <w:r>
        <w:rPr>
          <w:i/>
          <w:lang w:val="en-US"/>
        </w:rPr>
        <w:t>Reports</w:t>
      </w:r>
      <w:r w:rsidR="002A25AE">
        <w:rPr>
          <w:i/>
          <w:lang w:val="en-US"/>
        </w:rPr>
        <w:t> </w:t>
      </w:r>
      <w:r>
        <w:rPr>
          <w:lang w:val="en-US"/>
        </w:rPr>
        <w:t xml:space="preserve">1997-IV, p. </w:t>
      </w:r>
      <w:r w:rsidR="002A25AE">
        <w:rPr>
          <w:lang w:val="en-US"/>
        </w:rPr>
        <w:t>1191</w:t>
      </w:r>
      <w:r>
        <w:rPr>
          <w:lang w:val="en-US"/>
        </w:rPr>
        <w:t>, § 25).</w:t>
      </w:r>
    </w:p>
    <w:p w:rsidR="002E04DB" w:rsidP="002E04DB" w:rsidRDefault="002E04DB">
      <w:pPr>
        <w:pStyle w:val="JuPara"/>
      </w:pPr>
      <w:r>
        <w:rPr>
          <w:lang w:val="en-US"/>
        </w:rPr>
        <w:fldChar w:fldCharType="begin"/>
      </w:r>
      <w:r>
        <w:rPr>
          <w:lang w:val="en-US"/>
        </w:rPr>
        <w:instrText xml:space="preserve"> SEQ level0 \*arabic </w:instrText>
      </w:r>
      <w:r>
        <w:rPr>
          <w:lang w:val="en-US"/>
        </w:rPr>
        <w:fldChar w:fldCharType="separate"/>
      </w:r>
      <w:r w:rsidR="000F1CF6">
        <w:rPr>
          <w:noProof/>
          <w:lang w:val="en-US"/>
        </w:rPr>
        <w:t>58</w:t>
      </w:r>
      <w:r>
        <w:rPr>
          <w:lang w:val="en-US"/>
        </w:rPr>
        <w:fldChar w:fldCharType="end"/>
      </w:r>
      <w:r>
        <w:rPr>
          <w:lang w:val="en-US"/>
        </w:rPr>
        <w:t>.  In the present case</w:t>
      </w:r>
      <w:r w:rsidR="00153A7A">
        <w:rPr>
          <w:lang w:val="en-US"/>
        </w:rPr>
        <w:t>,</w:t>
      </w:r>
      <w:r>
        <w:rPr>
          <w:lang w:val="en-US"/>
        </w:rPr>
        <w:t xml:space="preserve"> more than nine months elapsed between the date on which the </w:t>
      </w:r>
      <w:r>
        <w:t xml:space="preserve">order imposing the preventive measure </w:t>
      </w:r>
      <w:r w:rsidR="00153A7A">
        <w:t>was forwarded to the p</w:t>
      </w:r>
      <w:r w:rsidR="002A25AE">
        <w:t xml:space="preserve">refect </w:t>
      </w:r>
      <w:r>
        <w:t>and the date on which the applicant was disenfranchised. In the Court</w:t>
      </w:r>
      <w:r w:rsidR="00E4189F">
        <w:t>’</w:t>
      </w:r>
      <w:r>
        <w:t xml:space="preserve">s view, such </w:t>
      </w:r>
      <w:r w:rsidR="00244F51">
        <w:t xml:space="preserve">a </w:t>
      </w:r>
      <w:r>
        <w:t>delay is excessive</w:t>
      </w:r>
      <w:r w:rsidR="002A25AE">
        <w:t>.</w:t>
      </w:r>
      <w:r>
        <w:t xml:space="preserve"> </w:t>
      </w:r>
      <w:r w:rsidR="002A25AE">
        <w:t>N</w:t>
      </w:r>
      <w:r>
        <w:t>o explanation for it has been provided by the Government.</w:t>
      </w:r>
    </w:p>
    <w:p w:rsidR="00E4189F" w:rsidP="002E04DB" w:rsidRDefault="002E04DB">
      <w:pPr>
        <w:pStyle w:val="JuPara"/>
      </w:pPr>
      <w:r>
        <w:fldChar w:fldCharType="begin"/>
      </w:r>
      <w:r>
        <w:instrText xml:space="preserve"> SEQ level0 \*arabic </w:instrText>
      </w:r>
      <w:r>
        <w:fldChar w:fldCharType="separate"/>
      </w:r>
      <w:r w:rsidR="000F1CF6">
        <w:rPr>
          <w:noProof/>
        </w:rPr>
        <w:t>59</w:t>
      </w:r>
      <w:r>
        <w:fldChar w:fldCharType="end"/>
      </w:r>
      <w:r w:rsidR="00244F51">
        <w:t>.  Moreover, the delay in</w:t>
      </w:r>
      <w:r>
        <w:t xml:space="preserve"> issue adversely affected the </w:t>
      </w:r>
      <w:r w:rsidR="000850EA">
        <w:t>applicant</w:t>
      </w:r>
      <w:r w:rsidR="00E4189F">
        <w:t>’</w:t>
      </w:r>
      <w:r w:rsidR="000850EA">
        <w:t>s ability</w:t>
      </w:r>
      <w:r>
        <w:t xml:space="preserve"> to vote both in the </w:t>
      </w:r>
      <w:r w:rsidR="002A25AE">
        <w:t>p</w:t>
      </w:r>
      <w:r w:rsidR="00244F51">
        <w:t xml:space="preserve">arliamentary and </w:t>
      </w:r>
      <w:r>
        <w:t>regional elections. In fact, had the disenfranchisement been applied in due time and for the statutory period of one year, this measure would have ceased before 23</w:t>
      </w:r>
      <w:r w:rsidR="002A25AE">
        <w:t> </w:t>
      </w:r>
      <w:r>
        <w:t xml:space="preserve">April 1995, </w:t>
      </w:r>
      <w:r w:rsidR="000850EA">
        <w:t xml:space="preserve">the </w:t>
      </w:r>
      <w:r w:rsidR="00153A7A">
        <w:t>date of the regional election</w:t>
      </w:r>
      <w:r>
        <w:t xml:space="preserve"> and </w:t>
      </w:r>
      <w:r w:rsidR="000850EA">
        <w:t xml:space="preserve">long before 21 April </w:t>
      </w:r>
      <w:r>
        <w:t xml:space="preserve">1996, </w:t>
      </w:r>
      <w:r w:rsidR="000850EA">
        <w:t xml:space="preserve">the </w:t>
      </w:r>
      <w:r>
        <w:t>date of the parliamentary elections. In any case, a</w:t>
      </w:r>
      <w:r w:rsidR="00153A7A">
        <w:t>s far as the latter election is con</w:t>
      </w:r>
      <w:r>
        <w:t xml:space="preserve">cerned, the Court </w:t>
      </w:r>
      <w:r w:rsidR="000850EA">
        <w:t>reiterates</w:t>
      </w:r>
      <w:r>
        <w:t xml:space="preserve"> its finding that the prolongation of the special police supervision after </w:t>
      </w:r>
      <w:smartTag w:uri="urn:schemas-microsoft-com:office:smarttags" w:element="date">
        <w:smartTagPr>
          <w:attr w:name="Month" w:val="5"/>
          <w:attr w:name="Day" w:val="2"/>
          <w:attr w:name="Year" w:val="1995"/>
        </w:smartTagPr>
        <w:r>
          <w:t>2 May 1995</w:t>
        </w:r>
      </w:smartTag>
      <w:r>
        <w:t xml:space="preserve"> was neither in accordance with law nor necessary (see paragraph 46 above). The same applies to a measure </w:t>
      </w:r>
      <w:r w:rsidR="000850EA">
        <w:t>which, like</w:t>
      </w:r>
      <w:r w:rsidR="00B70893">
        <w:t xml:space="preserve"> the disenfranchisement, was</w:t>
      </w:r>
      <w:r>
        <w:t xml:space="preserve"> mere</w:t>
      </w:r>
      <w:r w:rsidR="00B70893">
        <w:t>ly an</w:t>
      </w:r>
      <w:r>
        <w:t xml:space="preserve"> ancillary and automatic consequence of the police supervision.</w:t>
      </w:r>
    </w:p>
    <w:p w:rsidR="009158D3" w:rsidP="00B75A1B" w:rsidRDefault="00130D99">
      <w:pPr>
        <w:pStyle w:val="JuPara"/>
      </w:pPr>
      <w:r>
        <w:fldChar w:fldCharType="begin"/>
      </w:r>
      <w:r>
        <w:instrText xml:space="preserve"> SEQ level0 \*arabic </w:instrText>
      </w:r>
      <w:r>
        <w:fldChar w:fldCharType="separate"/>
      </w:r>
      <w:r w:rsidR="000F1CF6">
        <w:rPr>
          <w:noProof/>
        </w:rPr>
        <w:t>60</w:t>
      </w:r>
      <w:r>
        <w:fldChar w:fldCharType="end"/>
      </w:r>
      <w:r>
        <w:t>.  </w:t>
      </w:r>
      <w:r w:rsidR="009158D3">
        <w:t xml:space="preserve">There has therefore been a violation of Article 3 of Protocol </w:t>
      </w:r>
      <w:r w:rsidR="002A25AE">
        <w:t>N</w:t>
      </w:r>
      <w:r w:rsidR="009158D3">
        <w:t>o. 1.</w:t>
      </w:r>
    </w:p>
    <w:p w:rsidRPr="00445083" w:rsidR="00CD49A7" w:rsidRDefault="00847CF4">
      <w:pPr>
        <w:pStyle w:val="JuHIRoman"/>
      </w:pPr>
      <w:r>
        <w:t>I</w:t>
      </w:r>
      <w:r w:rsidR="00FF01F8">
        <w:t>II</w:t>
      </w:r>
      <w:r w:rsidRPr="00445083" w:rsidR="00CD49A7">
        <w:t>. </w:t>
      </w:r>
      <w:r w:rsidR="00243754">
        <w:t> </w:t>
      </w:r>
      <w:r w:rsidRPr="00445083" w:rsidR="00CD49A7">
        <w:t>APPLICATION OF ARTICLE 41 OF THE CONVENTION</w:t>
      </w:r>
    </w:p>
    <w:p w:rsidRPr="00445083" w:rsidR="00CD49A7" w:rsidRDefault="00445083">
      <w:pPr>
        <w:pStyle w:val="JuPara"/>
        <w:keepNext/>
        <w:keepLines/>
      </w:pPr>
      <w:r w:rsidRPr="00445083">
        <w:fldChar w:fldCharType="begin"/>
      </w:r>
      <w:r w:rsidRPr="00445083">
        <w:instrText xml:space="preserve"> SEQ level0 \*arabic </w:instrText>
      </w:r>
      <w:r w:rsidRPr="00445083">
        <w:fldChar w:fldCharType="separate"/>
      </w:r>
      <w:r w:rsidR="000F1CF6">
        <w:rPr>
          <w:noProof/>
        </w:rPr>
        <w:t>61</w:t>
      </w:r>
      <w:r w:rsidRPr="00445083">
        <w:fldChar w:fldCharType="end"/>
      </w:r>
      <w:r w:rsidRPr="00445083" w:rsidR="00CD49A7">
        <w:t>.  Article 41 of the Convention provides:</w:t>
      </w:r>
    </w:p>
    <w:p w:rsidRPr="00445083" w:rsidR="00CD49A7" w:rsidRDefault="00CD49A7">
      <w:pPr>
        <w:pStyle w:val="JuQuot"/>
        <w:keepNext/>
        <w:keepLines/>
      </w:pPr>
      <w:r w:rsidRPr="00445083">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445083" w:rsidR="00CD49A7" w:rsidRDefault="00CD49A7">
      <w:pPr>
        <w:pStyle w:val="JuHA"/>
      </w:pPr>
      <w:r w:rsidRPr="00445083">
        <w:t>A.  Damage</w:t>
      </w:r>
    </w:p>
    <w:p w:rsidR="00E4189F" w:rsidRDefault="006F0C75">
      <w:pPr>
        <w:pStyle w:val="JuPara"/>
      </w:pPr>
      <w:r w:rsidRPr="00196F15">
        <w:fldChar w:fldCharType="begin"/>
      </w:r>
      <w:r w:rsidRPr="00196F15">
        <w:instrText xml:space="preserve"> SEQ level0 \*arabic </w:instrText>
      </w:r>
      <w:r w:rsidRPr="00196F15">
        <w:fldChar w:fldCharType="separate"/>
      </w:r>
      <w:r w:rsidR="000F1CF6">
        <w:rPr>
          <w:noProof/>
        </w:rPr>
        <w:t>62</w:t>
      </w:r>
      <w:r w:rsidRPr="00196F15">
        <w:fldChar w:fldCharType="end"/>
      </w:r>
      <w:r w:rsidRPr="00196F15">
        <w:t>.  The applicant allege</w:t>
      </w:r>
      <w:r w:rsidRPr="00196F15" w:rsidR="00196F15">
        <w:t>d</w:t>
      </w:r>
      <w:r w:rsidRPr="00196F15">
        <w:t xml:space="preserve"> that the way in which his liberty of movement ha</w:t>
      </w:r>
      <w:r w:rsidRPr="00196F15" w:rsidR="00196F15">
        <w:t>d</w:t>
      </w:r>
      <w:r w:rsidRPr="00196F15">
        <w:t xml:space="preserve"> been </w:t>
      </w:r>
      <w:r w:rsidRPr="00196F15" w:rsidR="00196F15">
        <w:t>violated</w:t>
      </w:r>
      <w:r w:rsidRPr="00196F15">
        <w:t xml:space="preserve"> caused him great distress, reducing his social contacts and his ability to work. As a result, the company he had owned and directed</w:t>
      </w:r>
      <w:r w:rsidR="00153A7A">
        <w:t xml:space="preserve"> since 1985 was unable to mak</w:t>
      </w:r>
      <w:r w:rsidRPr="00196F15">
        <w:t xml:space="preserve">e any profit after 1995. </w:t>
      </w:r>
      <w:r w:rsidRPr="00196F15" w:rsidR="00196F15">
        <w:t>H</w:t>
      </w:r>
      <w:r w:rsidRPr="00196F15">
        <w:t xml:space="preserve">e </w:t>
      </w:r>
      <w:r w:rsidR="000850EA">
        <w:t>had</w:t>
      </w:r>
      <w:r w:rsidRPr="00196F15" w:rsidR="00196F15">
        <w:t xml:space="preserve"> also</w:t>
      </w:r>
      <w:r w:rsidRPr="00196F15">
        <w:t xml:space="preserve"> </w:t>
      </w:r>
      <w:r w:rsidR="000850EA">
        <w:t xml:space="preserve">been </w:t>
      </w:r>
      <w:r w:rsidRPr="00196F15">
        <w:t>prevented from exercising his normal civi</w:t>
      </w:r>
      <w:r w:rsidR="00153A7A">
        <w:t>c</w:t>
      </w:r>
      <w:r w:rsidRPr="00196F15">
        <w:t xml:space="preserve"> </w:t>
      </w:r>
      <w:r w:rsidRPr="00196F15" w:rsidR="00196F15">
        <w:t xml:space="preserve">rights </w:t>
      </w:r>
      <w:r w:rsidRPr="00196F15">
        <w:t xml:space="preserve">and </w:t>
      </w:r>
      <w:r w:rsidR="000850EA">
        <w:t>had not been</w:t>
      </w:r>
      <w:r w:rsidRPr="00196F15">
        <w:t xml:space="preserve"> eligible for the assignment of public works. </w:t>
      </w:r>
      <w:r w:rsidRPr="00196F15" w:rsidR="00196F15">
        <w:t>In view of the above, the applicant</w:t>
      </w:r>
      <w:r w:rsidRPr="00196F15">
        <w:t xml:space="preserve"> claim</w:t>
      </w:r>
      <w:r w:rsidR="00335BF5">
        <w:t>ed</w:t>
      </w:r>
      <w:r w:rsidRPr="00196F15">
        <w:t xml:space="preserve"> </w:t>
      </w:r>
      <w:r w:rsidR="000850EA">
        <w:t xml:space="preserve">a lump </w:t>
      </w:r>
      <w:r w:rsidRPr="00196F15">
        <w:t xml:space="preserve">sum of 50,000 </w:t>
      </w:r>
      <w:r w:rsidR="004C0449">
        <w:t>e</w:t>
      </w:r>
      <w:r w:rsidRPr="00196F15">
        <w:t xml:space="preserve">uros (EUR) for </w:t>
      </w:r>
      <w:r w:rsidRPr="00196F15" w:rsidR="00196F15">
        <w:t xml:space="preserve">both </w:t>
      </w:r>
      <w:r w:rsidR="00B70893">
        <w:t>non-pecuniary</w:t>
      </w:r>
      <w:r w:rsidRPr="00196F15" w:rsidR="00196F15">
        <w:t xml:space="preserve"> and </w:t>
      </w:r>
      <w:r w:rsidR="00B70893">
        <w:t>pecuniary</w:t>
      </w:r>
      <w:r w:rsidRPr="00196F15" w:rsidR="00196F15">
        <w:t xml:space="preserve"> </w:t>
      </w:r>
      <w:r w:rsidR="000850EA">
        <w:t>damage.</w:t>
      </w:r>
    </w:p>
    <w:p w:rsidRPr="004E67DE" w:rsidR="0050173A" w:rsidRDefault="0050173A">
      <w:pPr>
        <w:pStyle w:val="JuPara"/>
      </w:pPr>
      <w:r w:rsidRPr="00FF405F">
        <w:fldChar w:fldCharType="begin"/>
      </w:r>
      <w:r w:rsidRPr="00FF405F">
        <w:instrText xml:space="preserve"> SEQ level0 \*arabic </w:instrText>
      </w:r>
      <w:r w:rsidRPr="00FF405F">
        <w:fldChar w:fldCharType="separate"/>
      </w:r>
      <w:r w:rsidR="000F1CF6">
        <w:rPr>
          <w:noProof/>
        </w:rPr>
        <w:t>63</w:t>
      </w:r>
      <w:r w:rsidRPr="00FF405F">
        <w:fldChar w:fldCharType="end"/>
      </w:r>
      <w:r w:rsidRPr="00FF405F">
        <w:t>.  The Government observe</w:t>
      </w:r>
      <w:r w:rsidRPr="00FF405F" w:rsidR="00CF30A6">
        <w:t>d</w:t>
      </w:r>
      <w:r w:rsidRPr="00FF405F">
        <w:t xml:space="preserve"> that the interference complained of </w:t>
      </w:r>
      <w:r w:rsidR="000850EA">
        <w:t xml:space="preserve">had </w:t>
      </w:r>
      <w:r w:rsidRPr="00FF405F">
        <w:t xml:space="preserve">lasted from </w:t>
      </w:r>
      <w:smartTag w:uri="urn:schemas-microsoft-com:office:smarttags" w:element="date">
        <w:smartTagPr>
          <w:attr w:name="Month" w:val="5"/>
          <w:attr w:name="Day" w:val="2"/>
          <w:attr w:name="Year" w:val="1995"/>
        </w:smartTagPr>
        <w:r w:rsidRPr="00FF405F">
          <w:t>2 May 1995</w:t>
        </w:r>
      </w:smartTag>
      <w:r w:rsidRPr="00FF405F">
        <w:t xml:space="preserve"> until </w:t>
      </w:r>
      <w:smartTag w:uri="urn:schemas-microsoft-com:office:smarttags" w:element="date">
        <w:smartTagPr>
          <w:attr w:name="Month" w:val="7"/>
          <w:attr w:name="Day" w:val="24"/>
          <w:attr w:name="Year" w:val="1996"/>
        </w:smartTagPr>
        <w:r w:rsidRPr="00FF405F">
          <w:t>24 July 1996</w:t>
        </w:r>
      </w:smartTag>
      <w:r w:rsidRPr="00FF405F">
        <w:t xml:space="preserve"> and that in 1995 the</w:t>
      </w:r>
      <w:r w:rsidR="002A25AE">
        <w:t xml:space="preserve"> activity of the</w:t>
      </w:r>
      <w:r w:rsidRPr="00FF405F">
        <w:t xml:space="preserve"> applicant</w:t>
      </w:r>
      <w:r w:rsidR="00E4189F">
        <w:t>’</w:t>
      </w:r>
      <w:r w:rsidRPr="00FF405F">
        <w:t xml:space="preserve">s company </w:t>
      </w:r>
      <w:r w:rsidR="000850EA">
        <w:t>had</w:t>
      </w:r>
      <w:r w:rsidRPr="00FF405F">
        <w:t xml:space="preserve"> not </w:t>
      </w:r>
      <w:r w:rsidR="000850EA">
        <w:t xml:space="preserve">been </w:t>
      </w:r>
      <w:r w:rsidRPr="00FF405F">
        <w:t>substantially affected.</w:t>
      </w:r>
      <w:r>
        <w:rPr>
          <w:b/>
        </w:rPr>
        <w:t xml:space="preserve"> </w:t>
      </w:r>
      <w:r w:rsidRPr="00FF405F">
        <w:t xml:space="preserve">As far as 1996 </w:t>
      </w:r>
      <w:r w:rsidR="000850EA">
        <w:t>was</w:t>
      </w:r>
      <w:r w:rsidRPr="00FF405F">
        <w:t xml:space="preserve"> concerned, the applicant </w:t>
      </w:r>
      <w:r w:rsidR="000850EA">
        <w:t xml:space="preserve">had </w:t>
      </w:r>
      <w:r w:rsidRPr="00FF405F">
        <w:t xml:space="preserve">failed to produce any </w:t>
      </w:r>
      <w:r w:rsidR="00153A7A">
        <w:t xml:space="preserve">evidence </w:t>
      </w:r>
      <w:r w:rsidR="00B70893">
        <w:t>t</w:t>
      </w:r>
      <w:r w:rsidRPr="00FF405F">
        <w:t xml:space="preserve">hat the </w:t>
      </w:r>
      <w:r w:rsidR="002A25AE">
        <w:t xml:space="preserve">alleged </w:t>
      </w:r>
      <w:r w:rsidRPr="00FF405F">
        <w:t xml:space="preserve">loss of </w:t>
      </w:r>
      <w:r w:rsidR="000850EA">
        <w:t>profit</w:t>
      </w:r>
      <w:r w:rsidRPr="00FF405F">
        <w:t xml:space="preserve"> was a consequence of the preventive measure imposed on him, which </w:t>
      </w:r>
      <w:r w:rsidR="000850EA">
        <w:t>had</w:t>
      </w:r>
      <w:r w:rsidRPr="00FF405F">
        <w:t xml:space="preserve"> not, as such, prevent</w:t>
      </w:r>
      <w:r w:rsidR="000850EA">
        <w:t>ed</w:t>
      </w:r>
      <w:r w:rsidRPr="00FF405F">
        <w:t xml:space="preserve"> him from </w:t>
      </w:r>
      <w:r w:rsidR="002A25AE">
        <w:t>working</w:t>
      </w:r>
      <w:r w:rsidRPr="00FF405F">
        <w:t>.</w:t>
      </w:r>
      <w:r>
        <w:rPr>
          <w:b/>
        </w:rPr>
        <w:t xml:space="preserve"> </w:t>
      </w:r>
      <w:r w:rsidRPr="004E67DE">
        <w:t xml:space="preserve">Moreover, the applicant </w:t>
      </w:r>
      <w:r w:rsidR="000850EA">
        <w:t>had</w:t>
      </w:r>
      <w:r w:rsidRPr="004E67DE">
        <w:t xml:space="preserve"> not show</w:t>
      </w:r>
      <w:r w:rsidR="000850EA">
        <w:t>n</w:t>
      </w:r>
      <w:r w:rsidRPr="004E67DE">
        <w:t xml:space="preserve"> that he might have had the possibility of obtaining </w:t>
      </w:r>
      <w:r w:rsidR="00244F51">
        <w:t xml:space="preserve">a public </w:t>
      </w:r>
      <w:r w:rsidRPr="004E67DE">
        <w:t>works</w:t>
      </w:r>
      <w:r w:rsidR="000850EA">
        <w:t xml:space="preserve"> contract</w:t>
      </w:r>
      <w:r w:rsidRPr="004E67DE">
        <w:t xml:space="preserve">. As to the </w:t>
      </w:r>
      <w:r w:rsidR="004E67DE">
        <w:t>non-pecuniary</w:t>
      </w:r>
      <w:r w:rsidRPr="004E67DE">
        <w:t xml:space="preserve"> damage, the Government consider</w:t>
      </w:r>
      <w:r w:rsidR="004E67DE">
        <w:t>ed</w:t>
      </w:r>
      <w:r w:rsidRPr="004E67DE">
        <w:t xml:space="preserve"> that </w:t>
      </w:r>
      <w:r w:rsidR="004E67DE">
        <w:t>the</w:t>
      </w:r>
      <w:r w:rsidRPr="004E67DE">
        <w:t xml:space="preserve"> finding of a violation constitute</w:t>
      </w:r>
      <w:r w:rsidR="000850EA">
        <w:t>d</w:t>
      </w:r>
      <w:r w:rsidR="004E67DE">
        <w:t xml:space="preserve"> in itself</w:t>
      </w:r>
      <w:r w:rsidRPr="004E67DE">
        <w:t xml:space="preserve"> sufficient just satisfaction.</w:t>
      </w:r>
    </w:p>
    <w:p w:rsidR="0050173A" w:rsidRDefault="0050173A">
      <w:pPr>
        <w:pStyle w:val="JuPara"/>
      </w:pPr>
      <w:r w:rsidRPr="006E5403">
        <w:fldChar w:fldCharType="begin"/>
      </w:r>
      <w:r w:rsidRPr="006E5403">
        <w:instrText xml:space="preserve"> SEQ level0 \*arabic </w:instrText>
      </w:r>
      <w:r w:rsidRPr="006E5403">
        <w:fldChar w:fldCharType="separate"/>
      </w:r>
      <w:r w:rsidR="000F1CF6">
        <w:rPr>
          <w:noProof/>
        </w:rPr>
        <w:t>64</w:t>
      </w:r>
      <w:r w:rsidRPr="006E5403">
        <w:fldChar w:fldCharType="end"/>
      </w:r>
      <w:r w:rsidRPr="006E5403">
        <w:t>.  The Court</w:t>
      </w:r>
      <w:r w:rsidRPr="006E5403" w:rsidR="00F747E7">
        <w:t xml:space="preserve"> observes that the </w:t>
      </w:r>
      <w:r w:rsidR="002A25AE">
        <w:t>obligations</w:t>
      </w:r>
      <w:r w:rsidRPr="006E5403" w:rsidR="00F747E7">
        <w:t xml:space="preserve"> imposed on the applicant by the special supervision </w:t>
      </w:r>
      <w:r w:rsidR="00B70893">
        <w:t xml:space="preserve">measure </w:t>
      </w:r>
      <w:r w:rsidR="002A25AE">
        <w:t xml:space="preserve">(see paragraph 15 above) </w:t>
      </w:r>
      <w:r w:rsidRPr="006E5403" w:rsidR="00F747E7">
        <w:t xml:space="preserve">did not prevent him from </w:t>
      </w:r>
      <w:r w:rsidR="00244F51">
        <w:t>pursuing</w:t>
      </w:r>
      <w:r w:rsidRPr="006E5403" w:rsidR="00F747E7">
        <w:t xml:space="preserve"> a professional activity. Moreover, the applicant has </w:t>
      </w:r>
      <w:r w:rsidRPr="006E5403" w:rsidR="006E5403">
        <w:t>failed to</w:t>
      </w:r>
      <w:r w:rsidRPr="006E5403" w:rsidR="00F747E7">
        <w:t xml:space="preserve"> show that he had </w:t>
      </w:r>
      <w:r w:rsidR="000850EA">
        <w:t xml:space="preserve">had </w:t>
      </w:r>
      <w:r w:rsidRPr="006E5403" w:rsidR="00F747E7">
        <w:t xml:space="preserve">the possibility of obtaining </w:t>
      </w:r>
      <w:r w:rsidR="000850EA">
        <w:t>a</w:t>
      </w:r>
      <w:r w:rsidRPr="006E5403" w:rsidR="00F747E7">
        <w:t xml:space="preserve"> public</w:t>
      </w:r>
      <w:r w:rsidR="00244F51">
        <w:t xml:space="preserve"> </w:t>
      </w:r>
      <w:r w:rsidRPr="006E5403" w:rsidR="00F747E7">
        <w:t>works</w:t>
      </w:r>
      <w:r w:rsidR="000850EA">
        <w:t xml:space="preserve"> contract</w:t>
      </w:r>
      <w:r w:rsidRPr="006E5403" w:rsidR="00F747E7">
        <w:t xml:space="preserve">. </w:t>
      </w:r>
      <w:r w:rsidRPr="006E5403" w:rsidR="006E5403">
        <w:t xml:space="preserve">The Court therefore concludes that there is no causal link between the violations of the Convention and the alleged </w:t>
      </w:r>
      <w:r w:rsidR="00153A7A">
        <w:t>pecuniary</w:t>
      </w:r>
      <w:r w:rsidRPr="006E5403" w:rsidR="006E5403">
        <w:t xml:space="preserve"> damage, and rejects the applicant</w:t>
      </w:r>
      <w:r w:rsidR="00E4189F">
        <w:t>’</w:t>
      </w:r>
      <w:r w:rsidR="00153A7A">
        <w:t>s claim</w:t>
      </w:r>
      <w:r w:rsidRPr="006E5403" w:rsidR="006E5403">
        <w:t xml:space="preserve">s </w:t>
      </w:r>
      <w:r w:rsidR="002A25AE">
        <w:t>in this respect</w:t>
      </w:r>
      <w:r w:rsidRPr="006E5403" w:rsidR="00335BF5">
        <w:t>.</w:t>
      </w:r>
    </w:p>
    <w:p w:rsidRPr="006E5403" w:rsidR="0074124C" w:rsidRDefault="0074124C">
      <w:pPr>
        <w:pStyle w:val="JuPara"/>
      </w:pPr>
      <w:r>
        <w:fldChar w:fldCharType="begin"/>
      </w:r>
      <w:r>
        <w:instrText xml:space="preserve"> SEQ level0 \*arabic </w:instrText>
      </w:r>
      <w:r>
        <w:fldChar w:fldCharType="separate"/>
      </w:r>
      <w:r w:rsidR="000F1CF6">
        <w:rPr>
          <w:noProof/>
        </w:rPr>
        <w:t>65</w:t>
      </w:r>
      <w:r>
        <w:fldChar w:fldCharType="end"/>
      </w:r>
      <w:r>
        <w:t>.  </w:t>
      </w:r>
      <w:r w:rsidR="00930DEC">
        <w:t xml:space="preserve">However, the Court finds that the applicant suffered damage of a non-pecuniary nature. Having regard to the circumstances of the case and ruling on an equitable basis as required by Article 41 of the Convention, it decides to award him </w:t>
      </w:r>
      <w:r w:rsidR="000850EA">
        <w:t xml:space="preserve">EUR </w:t>
      </w:r>
      <w:r w:rsidR="00930DEC">
        <w:t>2,000.</w:t>
      </w:r>
    </w:p>
    <w:p w:rsidRPr="00445083" w:rsidR="00CD49A7" w:rsidRDefault="00CD49A7">
      <w:pPr>
        <w:pStyle w:val="JuHA"/>
      </w:pPr>
      <w:r w:rsidRPr="00445083">
        <w:t>B.  Costs and expenses</w:t>
      </w:r>
    </w:p>
    <w:p w:rsidR="00E4189F" w:rsidRDefault="0074124C">
      <w:pPr>
        <w:pStyle w:val="JuPara"/>
      </w:pPr>
      <w:r>
        <w:fldChar w:fldCharType="begin"/>
      </w:r>
      <w:r>
        <w:instrText xml:space="preserve"> SEQ level0 \*arabic </w:instrText>
      </w:r>
      <w:r>
        <w:fldChar w:fldCharType="separate"/>
      </w:r>
      <w:r w:rsidR="000F1CF6">
        <w:rPr>
          <w:noProof/>
        </w:rPr>
        <w:t>66</w:t>
      </w:r>
      <w:r>
        <w:fldChar w:fldCharType="end"/>
      </w:r>
      <w:r>
        <w:t>.  </w:t>
      </w:r>
      <w:r w:rsidRPr="004E67DE" w:rsidR="006F0C75">
        <w:t>The applicant claim</w:t>
      </w:r>
      <w:r w:rsidR="004E67DE">
        <w:t>ed</w:t>
      </w:r>
      <w:r w:rsidRPr="004E67DE" w:rsidR="006F0C75">
        <w:t xml:space="preserve"> </w:t>
      </w:r>
      <w:r w:rsidR="000850EA">
        <w:t>EUR</w:t>
      </w:r>
      <w:r w:rsidRPr="004E67DE" w:rsidR="000850EA">
        <w:t xml:space="preserve"> </w:t>
      </w:r>
      <w:r w:rsidRPr="004E67DE" w:rsidR="006F0C75">
        <w:t>9,433.71</w:t>
      </w:r>
      <w:r w:rsidR="004C0449">
        <w:t xml:space="preserve"> </w:t>
      </w:r>
      <w:r w:rsidRPr="004E67DE" w:rsidR="006F0C75">
        <w:t xml:space="preserve">for the costs he had incurred at the domestic level and </w:t>
      </w:r>
      <w:r w:rsidRPr="004E67DE" w:rsidR="000850EA">
        <w:t xml:space="preserve">EUR </w:t>
      </w:r>
      <w:r w:rsidRPr="004E67DE" w:rsidR="006F0C75">
        <w:t xml:space="preserve">5,507.06 for the costs and expenses </w:t>
      </w:r>
      <w:r w:rsidR="004E67DE">
        <w:t>pertaining to</w:t>
      </w:r>
      <w:r w:rsidRPr="004E67DE" w:rsidR="006F0C75">
        <w:t xml:space="preserve"> the proceedings before the Convention </w:t>
      </w:r>
      <w:r w:rsidR="000850EA">
        <w:t>institutions</w:t>
      </w:r>
      <w:r w:rsidRPr="004E67DE" w:rsidR="006F0C75">
        <w:t>.</w:t>
      </w:r>
    </w:p>
    <w:p w:rsidRPr="004E67DE" w:rsidR="0050173A" w:rsidRDefault="0050173A">
      <w:pPr>
        <w:pStyle w:val="JuPara"/>
      </w:pPr>
      <w:r w:rsidRPr="004E67DE">
        <w:fldChar w:fldCharType="begin"/>
      </w:r>
      <w:r w:rsidRPr="004E67DE">
        <w:instrText xml:space="preserve"> SEQ level0 \*arabic </w:instrText>
      </w:r>
      <w:r w:rsidRPr="004E67DE">
        <w:fldChar w:fldCharType="separate"/>
      </w:r>
      <w:r w:rsidR="000F1CF6">
        <w:rPr>
          <w:noProof/>
        </w:rPr>
        <w:t>67</w:t>
      </w:r>
      <w:r w:rsidRPr="004E67DE">
        <w:fldChar w:fldCharType="end"/>
      </w:r>
      <w:r w:rsidRPr="004E67DE">
        <w:t>.  The Government le</w:t>
      </w:r>
      <w:r w:rsidR="004E67DE">
        <w:t>ft</w:t>
      </w:r>
      <w:r w:rsidRPr="004E67DE">
        <w:t xml:space="preserve"> the matter to the Court</w:t>
      </w:r>
      <w:r w:rsidR="00E4189F">
        <w:t>’</w:t>
      </w:r>
      <w:r w:rsidR="00153A7A">
        <w:t>s discretion</w:t>
      </w:r>
      <w:r w:rsidRPr="004E67DE">
        <w:t>.</w:t>
      </w:r>
    </w:p>
    <w:p w:rsidR="00E4189F" w:rsidP="0074124C" w:rsidRDefault="0050173A">
      <w:pPr>
        <w:pStyle w:val="JuPara"/>
      </w:pPr>
      <w:r w:rsidRPr="0074124C">
        <w:fldChar w:fldCharType="begin"/>
      </w:r>
      <w:r w:rsidRPr="0074124C">
        <w:instrText xml:space="preserve"> SEQ level0 \*arabic </w:instrText>
      </w:r>
      <w:r w:rsidRPr="0074124C">
        <w:fldChar w:fldCharType="separate"/>
      </w:r>
      <w:r w:rsidR="000F1CF6">
        <w:rPr>
          <w:noProof/>
        </w:rPr>
        <w:t>68</w:t>
      </w:r>
      <w:r w:rsidRPr="0074124C">
        <w:fldChar w:fldCharType="end"/>
      </w:r>
      <w:r w:rsidRPr="0074124C">
        <w:t xml:space="preserve">.  The Court </w:t>
      </w:r>
      <w:r w:rsidRPr="0074124C" w:rsidR="0074124C">
        <w:t>observes that</w:t>
      </w:r>
      <w:r w:rsidR="00153A7A">
        <w:t>,</w:t>
      </w:r>
      <w:r w:rsidRPr="0074124C" w:rsidR="0074124C">
        <w:t xml:space="preserve"> before </w:t>
      </w:r>
      <w:r w:rsidR="000850EA">
        <w:t>lodging</w:t>
      </w:r>
      <w:r w:rsidRPr="0074124C" w:rsidR="0074124C">
        <w:t xml:space="preserve"> his application in </w:t>
      </w:r>
      <w:smartTag w:uri="urn:schemas-microsoft-com:office:smarttags" w:element="City">
        <w:smartTag w:uri="urn:schemas-microsoft-com:office:smarttags" w:element="place">
          <w:r w:rsidR="0074124C" w:rsidRPr="0074124C">
            <w:t>Strasbourg</w:t>
          </w:r>
        </w:smartTag>
      </w:smartTag>
      <w:r w:rsidR="000850EA">
        <w:t>, the applicant had</w:t>
      </w:r>
      <w:r w:rsidRPr="0074124C" w:rsidR="0074124C">
        <w:t xml:space="preserve"> exhausted the available domestic remedies</w:t>
      </w:r>
      <w:r w:rsidR="00B70893">
        <w:t xml:space="preserve"> regarding</w:t>
      </w:r>
      <w:r w:rsidRPr="0074124C" w:rsidR="0074124C">
        <w:t xml:space="preserve"> the question of the violation of his </w:t>
      </w:r>
      <w:r w:rsidR="00153A7A">
        <w:t>freedom</w:t>
      </w:r>
      <w:r w:rsidR="00244F51">
        <w:t xml:space="preserve"> of movement and </w:t>
      </w:r>
      <w:r w:rsidRPr="0074124C" w:rsidR="0074124C">
        <w:t>his right to vote in the elections. The Court therefore accepts that the applicant incurred some expenses in order to obtain redress both in</w:t>
      </w:r>
      <w:r w:rsidR="002A25AE">
        <w:t xml:space="preserve"> the</w:t>
      </w:r>
      <w:r w:rsidRPr="0074124C" w:rsidR="0074124C">
        <w:t xml:space="preserve"> domestic legal order and at the European level (see, </w:t>
      </w:r>
      <w:r w:rsidRPr="0074124C" w:rsidR="0074124C">
        <w:rPr>
          <w:i/>
        </w:rPr>
        <w:t>mutatis mutandis</w:t>
      </w:r>
      <w:r w:rsidRPr="0074124C" w:rsidR="0074124C">
        <w:t xml:space="preserve">, </w:t>
      </w:r>
      <w:r w:rsidRPr="0074124C" w:rsidR="0074124C">
        <w:rPr>
          <w:i/>
        </w:rPr>
        <w:t>Rojas Morales v.</w:t>
      </w:r>
      <w:r w:rsidR="0074124C">
        <w:rPr>
          <w:i/>
        </w:rPr>
        <w:t> </w:t>
      </w:r>
      <w:r w:rsidRPr="0074124C" w:rsidR="0074124C">
        <w:rPr>
          <w:i/>
        </w:rPr>
        <w:t>Italy</w:t>
      </w:r>
      <w:r w:rsidRPr="0074124C" w:rsidR="0074124C">
        <w:t>, n</w:t>
      </w:r>
      <w:r w:rsidR="00B70893">
        <w:t>o. </w:t>
      </w:r>
      <w:r w:rsidRPr="0074124C" w:rsidR="0074124C">
        <w:t xml:space="preserve">39676/98, § 42, </w:t>
      </w:r>
      <w:smartTag w:uri="urn:schemas-microsoft-com:office:smarttags" w:element="date">
        <w:smartTagPr>
          <w:attr w:name="Month" w:val="11"/>
          <w:attr w:name="Day" w:val="16"/>
          <w:attr w:name="Year" w:val="2000"/>
        </w:smartTagPr>
        <w:r w:rsidR="0074124C" w:rsidRPr="0074124C">
          <w:t>16 November 2000</w:t>
        </w:r>
      </w:smartTag>
      <w:r w:rsidRPr="0074124C" w:rsidR="0074124C">
        <w:t xml:space="preserve">). </w:t>
      </w:r>
      <w:r w:rsidR="00244F51">
        <w:t>However, i</w:t>
      </w:r>
      <w:r w:rsidRPr="0074124C" w:rsidR="0074124C">
        <w:t>t considers the amounts claimed to be excessive</w:t>
      </w:r>
      <w:r w:rsidR="00244F51">
        <w:t>. In this connection</w:t>
      </w:r>
      <w:r w:rsidRPr="0074124C" w:rsidR="0074124C">
        <w:t xml:space="preserve">, the Court observes that at the admissibility stage </w:t>
      </w:r>
      <w:r w:rsidR="002A25AE">
        <w:t>one</w:t>
      </w:r>
      <w:r w:rsidRPr="0074124C" w:rsidR="0074124C">
        <w:t xml:space="preserve"> of the applicant</w:t>
      </w:r>
      <w:r w:rsidR="00E4189F">
        <w:t>’</w:t>
      </w:r>
      <w:r w:rsidRPr="0074124C" w:rsidR="0074124C">
        <w:t>s complaints w</w:t>
      </w:r>
      <w:r w:rsidR="002A25AE">
        <w:t>as</w:t>
      </w:r>
      <w:r w:rsidRPr="0074124C" w:rsidR="0074124C">
        <w:t xml:space="preserve"> declared inadmissible. It is therefore appropriate</w:t>
      </w:r>
      <w:r w:rsidR="002A25AE">
        <w:t xml:space="preserve"> to</w:t>
      </w:r>
      <w:r w:rsidRPr="0074124C" w:rsidR="0074124C">
        <w:t xml:space="preserve"> reimburse only </w:t>
      </w:r>
      <w:r w:rsidR="002A25AE">
        <w:t xml:space="preserve">in </w:t>
      </w:r>
      <w:r w:rsidRPr="0074124C" w:rsidR="0074124C">
        <w:t xml:space="preserve">part the costs and expenses alleged by the applicant (see, </w:t>
      </w:r>
      <w:r w:rsidRPr="0074124C" w:rsidR="0074124C">
        <w:rPr>
          <w:i/>
        </w:rPr>
        <w:t>mutatis mutandis</w:t>
      </w:r>
      <w:r w:rsidRPr="0074124C" w:rsidR="0074124C">
        <w:t xml:space="preserve">, </w:t>
      </w:r>
      <w:r w:rsidRPr="0074124C" w:rsidR="0074124C">
        <w:rPr>
          <w:i/>
        </w:rPr>
        <w:t>Sakkopoulos v.</w:t>
      </w:r>
      <w:r w:rsidR="0074124C">
        <w:rPr>
          <w:i/>
        </w:rPr>
        <w:t> </w:t>
      </w:r>
      <w:r w:rsidRPr="0074124C" w:rsidR="0074124C">
        <w:rPr>
          <w:i/>
        </w:rPr>
        <w:t>Greece</w:t>
      </w:r>
      <w:r w:rsidR="00B70893">
        <w:t>, no. </w:t>
      </w:r>
      <w:r w:rsidRPr="0074124C" w:rsidR="0074124C">
        <w:t xml:space="preserve">61828/00, § 59, </w:t>
      </w:r>
      <w:smartTag w:uri="urn:schemas-microsoft-com:office:smarttags" w:element="date">
        <w:smartTagPr>
          <w:attr w:name="Month" w:val="1"/>
          <w:attr w:name="Day" w:val="15"/>
          <w:attr w:name="Year" w:val="2004"/>
        </w:smartTagPr>
        <w:r w:rsidR="0074124C" w:rsidRPr="0074124C">
          <w:t>15 January 2004</w:t>
        </w:r>
      </w:smartTag>
      <w:r w:rsidRPr="0074124C" w:rsidR="0074124C">
        <w:t xml:space="preserve">). Having regard to the elements at its disposal </w:t>
      </w:r>
      <w:r w:rsidR="0074124C">
        <w:t>and on the basis of an equitable assessment</w:t>
      </w:r>
      <w:r w:rsidRPr="0074124C" w:rsidR="0074124C">
        <w:t xml:space="preserve">, the Court </w:t>
      </w:r>
      <w:r w:rsidR="0074124C">
        <w:t>awards</w:t>
      </w:r>
      <w:r w:rsidRPr="0074124C" w:rsidR="0074124C">
        <w:t xml:space="preserve"> the applicant </w:t>
      </w:r>
      <w:r w:rsidRPr="0074124C" w:rsidR="000850EA">
        <w:t xml:space="preserve">EUR </w:t>
      </w:r>
      <w:r w:rsidRPr="0074124C" w:rsidR="0074124C">
        <w:t xml:space="preserve">3,000 for the costs incurred before the Italian authorities and </w:t>
      </w:r>
      <w:r w:rsidRPr="0074124C" w:rsidR="000850EA">
        <w:t xml:space="preserve">EUR </w:t>
      </w:r>
      <w:r w:rsidR="00153A7A">
        <w:t>2,500 for the costs relating</w:t>
      </w:r>
      <w:r w:rsidRPr="0074124C" w:rsidR="0074124C">
        <w:t xml:space="preserve"> to the European proceedings, and therefore the global sum of </w:t>
      </w:r>
      <w:r w:rsidRPr="0074124C" w:rsidR="000850EA">
        <w:t xml:space="preserve">EUR </w:t>
      </w:r>
      <w:r w:rsidRPr="0074124C" w:rsidR="0074124C">
        <w:t>5,500</w:t>
      </w:r>
      <w:r w:rsidR="000850EA">
        <w:t>.</w:t>
      </w:r>
    </w:p>
    <w:p w:rsidRPr="00445083" w:rsidR="00CD49A7" w:rsidRDefault="00CD49A7">
      <w:pPr>
        <w:pStyle w:val="JuHA"/>
      </w:pPr>
      <w:r w:rsidRPr="00445083">
        <w:t>C.  Default interest</w:t>
      </w:r>
    </w:p>
    <w:p w:rsidRPr="00445083" w:rsidR="00CD49A7" w:rsidRDefault="00445083">
      <w:pPr>
        <w:pStyle w:val="JuPara"/>
      </w:pPr>
      <w:r w:rsidRPr="00445083">
        <w:fldChar w:fldCharType="begin"/>
      </w:r>
      <w:r w:rsidRPr="00445083">
        <w:instrText xml:space="preserve"> SEQ level0 \*arabic </w:instrText>
      </w:r>
      <w:r w:rsidRPr="00445083">
        <w:fldChar w:fldCharType="separate"/>
      </w:r>
      <w:r w:rsidR="000F1CF6">
        <w:rPr>
          <w:noProof/>
        </w:rPr>
        <w:t>69</w:t>
      </w:r>
      <w:r w:rsidRPr="00445083">
        <w:fldChar w:fldCharType="end"/>
      </w:r>
      <w:r w:rsidRPr="00445083" w:rsidR="00CD49A7">
        <w:t>.  The Court considers it appropriate that the default interest should be based on the marginal lending rate of the European Central Bank, to which should be added three percentage points.</w:t>
      </w:r>
    </w:p>
    <w:p w:rsidRPr="00445083" w:rsidR="00CD49A7" w:rsidRDefault="00CD49A7">
      <w:pPr>
        <w:pStyle w:val="JuHHead"/>
      </w:pPr>
      <w:r w:rsidRPr="00445083">
        <w:t>FOR THESE REASONS, THE COURT UNANIMOUSLY</w:t>
      </w:r>
    </w:p>
    <w:p w:rsidRPr="00445083" w:rsidR="00CD49A7" w:rsidRDefault="004C0449">
      <w:pPr>
        <w:pStyle w:val="JuList"/>
      </w:pPr>
      <w:r>
        <w:t>1</w:t>
      </w:r>
      <w:r w:rsidRPr="00445083" w:rsidR="00CD49A7">
        <w:t>.  </w:t>
      </w:r>
      <w:r w:rsidRPr="00445083" w:rsidR="00CD49A7">
        <w:rPr>
          <w:i/>
        </w:rPr>
        <w:t>Holds</w:t>
      </w:r>
      <w:r w:rsidRPr="00445083" w:rsidR="00CD49A7">
        <w:t xml:space="preserve"> that there </w:t>
      </w:r>
      <w:r w:rsidR="00A7032F">
        <w:t xml:space="preserve">has been a violation of Article </w:t>
      </w:r>
      <w:r w:rsidR="00B9678A">
        <w:t>2 of Protocol No. 4</w:t>
      </w:r>
      <w:r w:rsidRPr="00445083" w:rsidR="00CD49A7">
        <w:t>;</w:t>
      </w:r>
    </w:p>
    <w:p w:rsidR="00CD49A7" w:rsidRDefault="00CD49A7">
      <w:pPr>
        <w:pStyle w:val="JuList"/>
      </w:pPr>
    </w:p>
    <w:p w:rsidRPr="00445083" w:rsidR="00B9678A" w:rsidP="00B9678A" w:rsidRDefault="00AE2A86">
      <w:pPr>
        <w:pStyle w:val="JuList"/>
      </w:pPr>
      <w:r>
        <w:t>2</w:t>
      </w:r>
      <w:r w:rsidRPr="00445083" w:rsidR="00B9678A">
        <w:t>.  </w:t>
      </w:r>
      <w:r w:rsidRPr="00445083" w:rsidR="00B9678A">
        <w:rPr>
          <w:i/>
        </w:rPr>
        <w:t>Holds</w:t>
      </w:r>
      <w:r w:rsidRPr="00445083" w:rsidR="00B9678A">
        <w:t xml:space="preserve"> that there has been a violation of Article </w:t>
      </w:r>
      <w:r w:rsidR="00B9678A">
        <w:t>3 of Protocol No. 1</w:t>
      </w:r>
      <w:r w:rsidRPr="00445083" w:rsidR="00B9678A">
        <w:t xml:space="preserve"> </w:t>
      </w:r>
      <w:r w:rsidR="009158D3">
        <w:t>by reason of the applicant</w:t>
      </w:r>
      <w:r w:rsidR="00E4189F">
        <w:t>’</w:t>
      </w:r>
      <w:r w:rsidR="000850EA">
        <w:t>s inability</w:t>
      </w:r>
      <w:r w:rsidR="009158D3">
        <w:t xml:space="preserve"> to vote in the parliamentary e</w:t>
      </w:r>
      <w:r w:rsidR="00153A7A">
        <w:t>lection</w:t>
      </w:r>
      <w:r w:rsidR="009158D3">
        <w:t xml:space="preserve"> of </w:t>
      </w:r>
      <w:smartTag w:uri="urn:schemas-microsoft-com:office:smarttags" w:element="date">
        <w:smartTagPr>
          <w:attr w:name="Month" w:val="4"/>
          <w:attr w:name="Day" w:val="21"/>
          <w:attr w:name="Year" w:val="1996"/>
        </w:smartTagPr>
        <w:r w:rsidR="009158D3">
          <w:t>21 April 1996</w:t>
        </w:r>
      </w:smartTag>
      <w:r w:rsidR="00153A7A">
        <w:t xml:space="preserve"> and in </w:t>
      </w:r>
      <w:r w:rsidR="002E04DB">
        <w:t xml:space="preserve">the regional council </w:t>
      </w:r>
      <w:r w:rsidR="00153A7A">
        <w:t xml:space="preserve">election </w:t>
      </w:r>
      <w:r w:rsidR="002E04DB">
        <w:t xml:space="preserve">of </w:t>
      </w:r>
      <w:smartTag w:uri="urn:schemas-microsoft-com:office:smarttags" w:element="date">
        <w:smartTagPr>
          <w:attr w:name="Month" w:val="4"/>
          <w:attr w:name="Day" w:val="23"/>
          <w:attr w:name="Year" w:val="1995"/>
        </w:smartTagPr>
        <w:r w:rsidR="002E04DB">
          <w:t>23 April 1995</w:t>
        </w:r>
      </w:smartTag>
      <w:r w:rsidRPr="00445083" w:rsidR="00B9678A">
        <w:t>;</w:t>
      </w:r>
    </w:p>
    <w:p w:rsidR="00D71533" w:rsidRDefault="00D71533">
      <w:pPr>
        <w:pStyle w:val="JuList"/>
      </w:pPr>
    </w:p>
    <w:p w:rsidR="00E4189F" w:rsidRDefault="00D71533">
      <w:pPr>
        <w:pStyle w:val="JuList"/>
      </w:pPr>
      <w:r>
        <w:t>3</w:t>
      </w:r>
      <w:r w:rsidRPr="00445083" w:rsidR="00CD49A7">
        <w:t>.  </w:t>
      </w:r>
      <w:r w:rsidRPr="00445083" w:rsidR="00CD49A7">
        <w:rPr>
          <w:i/>
        </w:rPr>
        <w:t>Holds</w:t>
      </w:r>
    </w:p>
    <w:p w:rsidRPr="004A1FA7" w:rsidR="00D71533" w:rsidP="00D71533" w:rsidRDefault="00CD49A7">
      <w:pPr>
        <w:pStyle w:val="JuLista"/>
      </w:pPr>
      <w:r w:rsidRPr="00445083">
        <w:t>(a) </w:t>
      </w:r>
      <w:r w:rsidRPr="00445083" w:rsidR="00AE2A86">
        <w:t xml:space="preserve"> </w:t>
      </w:r>
      <w:r w:rsidRPr="004A1FA7" w:rsidR="00D71533">
        <w:t>that the respondent State is to pay the applicant, within three months from the date on which the judgment becomes final according to Article 44 § 2 of the Convention, the following amounts:</w:t>
      </w:r>
    </w:p>
    <w:p w:rsidRPr="004A1FA7" w:rsidR="00D71533" w:rsidP="00D71533" w:rsidRDefault="00D71533">
      <w:pPr>
        <w:pStyle w:val="JuListi"/>
      </w:pPr>
      <w:r w:rsidRPr="004A1FA7">
        <w:t xml:space="preserve">(i)  EUR </w:t>
      </w:r>
      <w:r>
        <w:t>2,000</w:t>
      </w:r>
      <w:r w:rsidRPr="004A1FA7">
        <w:t xml:space="preserve"> (</w:t>
      </w:r>
      <w:r w:rsidR="00525BB1">
        <w:t>two thousand</w:t>
      </w:r>
      <w:r>
        <w:t xml:space="preserve"> euros</w:t>
      </w:r>
      <w:r w:rsidRPr="004A1FA7">
        <w:t>) in respect of non-pecuniary damage;</w:t>
      </w:r>
    </w:p>
    <w:p w:rsidRPr="004A1FA7" w:rsidR="00D71533" w:rsidP="00D71533" w:rsidRDefault="00D71533">
      <w:pPr>
        <w:pStyle w:val="JuListi"/>
      </w:pPr>
      <w:r w:rsidRPr="004A1FA7">
        <w:t xml:space="preserve">(ii)  EUR </w:t>
      </w:r>
      <w:r>
        <w:t>5,500</w:t>
      </w:r>
      <w:r w:rsidRPr="004A1FA7">
        <w:t xml:space="preserve"> (</w:t>
      </w:r>
      <w:r w:rsidR="00525BB1">
        <w:t>five thousand five hundred</w:t>
      </w:r>
      <w:r>
        <w:t xml:space="preserve"> euros</w:t>
      </w:r>
      <w:r w:rsidRPr="004A1FA7">
        <w:t>) in respect of costs and expenses;</w:t>
      </w:r>
    </w:p>
    <w:p w:rsidRPr="004A1FA7" w:rsidR="00D71533" w:rsidP="00D71533" w:rsidRDefault="00D71533">
      <w:pPr>
        <w:pStyle w:val="JuListi"/>
      </w:pPr>
      <w:r w:rsidRPr="004A1FA7">
        <w:t>(i</w:t>
      </w:r>
      <w:r>
        <w:t>ii</w:t>
      </w:r>
      <w:r w:rsidRPr="004A1FA7">
        <w:t>)  any tax that may be chargeable on the above amounts;</w:t>
      </w:r>
    </w:p>
    <w:p w:rsidRPr="00445083" w:rsidR="00CD49A7" w:rsidRDefault="00CD49A7">
      <w:pPr>
        <w:pStyle w:val="JuLista"/>
      </w:pPr>
      <w:r w:rsidRPr="00445083">
        <w:t>(b)  that from the expiry of the above-mentioned three months until settlement simple interest shall be payable on the above amount</w:t>
      </w:r>
      <w:r w:rsidR="00153A7A">
        <w:t>s</w:t>
      </w:r>
      <w:r w:rsidRPr="00445083">
        <w:t xml:space="preserve"> at a rate equal to the marginal lending rate of the European Central Bank during the default period plus three percentage points;</w:t>
      </w:r>
    </w:p>
    <w:p w:rsidRPr="00445083" w:rsidR="00CD49A7" w:rsidRDefault="00CD49A7">
      <w:pPr>
        <w:pStyle w:val="JuList"/>
      </w:pPr>
    </w:p>
    <w:p w:rsidRPr="00445083" w:rsidR="00CD49A7" w:rsidRDefault="00D71533">
      <w:pPr>
        <w:pStyle w:val="JuList"/>
      </w:pPr>
      <w:r>
        <w:t>4</w:t>
      </w:r>
      <w:r w:rsidRPr="00445083" w:rsidR="00CD49A7">
        <w:t>.  </w:t>
      </w:r>
      <w:r w:rsidRPr="00445083" w:rsidR="00CD49A7">
        <w:rPr>
          <w:i/>
        </w:rPr>
        <w:t>Dismisses</w:t>
      </w:r>
      <w:r w:rsidRPr="00445083" w:rsidR="00CD49A7">
        <w:t xml:space="preserve"> the remainder of the </w:t>
      </w:r>
      <w:r w:rsidRPr="00445083" w:rsidR="00445083">
        <w:rPr>
          <w:noProof/>
        </w:rPr>
        <w:t>applicant</w:t>
      </w:r>
      <w:r w:rsidR="00E4189F">
        <w:rPr>
          <w:noProof/>
        </w:rPr>
        <w:t>’</w:t>
      </w:r>
      <w:r w:rsidRPr="00445083" w:rsidR="00445083">
        <w:rPr>
          <w:noProof/>
        </w:rPr>
        <w:t>s</w:t>
      </w:r>
      <w:r w:rsidRPr="00445083" w:rsidR="00CD49A7">
        <w:t xml:space="preserve"> claim for just satisfaction.</w:t>
      </w:r>
    </w:p>
    <w:p w:rsidRPr="00445083" w:rsidR="00CD49A7" w:rsidRDefault="00CD49A7">
      <w:pPr>
        <w:pStyle w:val="JuParaLast"/>
      </w:pPr>
      <w:r w:rsidRPr="00445083">
        <w:t xml:space="preserve">Done in English, and notified in writing on </w:t>
      </w:r>
      <w:smartTag w:uri="urn:schemas-microsoft-com:office:smarttags" w:element="date">
        <w:smartTagPr>
          <w:attr w:name="Month" w:val="7"/>
          <w:attr w:name="Day" w:val="1"/>
          <w:attr w:name="Year" w:val="2004"/>
        </w:smartTagPr>
        <w:r w:rsidR="00D71533">
          <w:t>1 July 2004</w:t>
        </w:r>
      </w:smartTag>
      <w:r w:rsidRPr="00445083">
        <w:t>, pursuant to Rule</w:t>
      </w:r>
      <w:r w:rsidR="00D71533">
        <w:t> </w:t>
      </w:r>
      <w:r w:rsidRPr="00445083">
        <w:t>77 §§ 2 and 3 of the Rules of Court.</w:t>
      </w:r>
    </w:p>
    <w:p w:rsidRPr="00445083" w:rsidR="00CD49A7" w:rsidRDefault="00CD49A7">
      <w:pPr>
        <w:pStyle w:val="JuSigned"/>
        <w:keepNext/>
        <w:keepLines/>
      </w:pPr>
      <w:r w:rsidRPr="00445083">
        <w:tab/>
      </w:r>
      <w:r w:rsidRPr="00445083" w:rsidR="00445083">
        <w:rPr>
          <w:noProof/>
        </w:rPr>
        <w:t xml:space="preserve">Vincent </w:t>
      </w:r>
      <w:r w:rsidRPr="00445083" w:rsidR="00445083">
        <w:rPr>
          <w:rStyle w:val="JuNames"/>
          <w:noProof/>
        </w:rPr>
        <w:t>Berger</w:t>
      </w:r>
      <w:r w:rsidRPr="00445083" w:rsidR="00445083">
        <w:rPr>
          <w:noProof/>
        </w:rPr>
        <w:tab/>
        <w:t xml:space="preserve">Georg </w:t>
      </w:r>
      <w:r w:rsidRPr="00445083" w:rsidR="00445083">
        <w:rPr>
          <w:rStyle w:val="JuNames"/>
          <w:noProof/>
        </w:rPr>
        <w:t>Ress</w:t>
      </w:r>
      <w:r w:rsidRPr="00445083" w:rsidR="00445083">
        <w:rPr>
          <w:noProof/>
        </w:rPr>
        <w:br/>
      </w:r>
      <w:r w:rsidRPr="00445083" w:rsidR="00445083">
        <w:rPr>
          <w:noProof/>
        </w:rPr>
        <w:tab/>
        <w:t>Registrar</w:t>
      </w:r>
      <w:r w:rsidRPr="00445083" w:rsidR="00445083">
        <w:rPr>
          <w:noProof/>
        </w:rPr>
        <w:tab/>
        <w:t>President</w:t>
      </w:r>
    </w:p>
    <w:sectPr w:rsidRPr="00445083" w:rsidR="00CD49A7" w:rsidSect="00DE6FCE">
      <w:headerReference w:type="even" r:id="rId9"/>
      <w:headerReference w:type="default" r:id="rId10"/>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E52F3">
      <w:r>
        <w:separator/>
      </w:r>
    </w:p>
  </w:endnote>
  <w:endnote w:type="continuationSeparator" w:id="0">
    <w:p w:rsidR="00000000" w:rsidRDefault="003E5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W1)">
    <w:altName w:val="Times New Roman"/>
    <w:charset w:val="00"/>
    <w:family w:val="roman"/>
    <w:pitch w:val="variable"/>
    <w:sig w:usb0="20007A87" w:usb1="80000000" w:usb2="00000008"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F4B" w:rsidRDefault="00F46F4B">
      <w:r>
        <w:separator/>
      </w:r>
    </w:p>
  </w:footnote>
  <w:footnote w:type="continuationSeparator" w:id="0">
    <w:p w:rsidR="00000000" w:rsidRDefault="003E52F3">
      <w:r>
        <w:continuationSeparator/>
      </w:r>
    </w:p>
  </w:footnote>
  <w:footnote w:id="1">
    <w:p w:rsidR="00153A7A" w:rsidRDefault="00153A7A">
      <w:pPr>
        <w:pStyle w:val="FootnoteText"/>
      </w:pPr>
      <w:r w:rsidRPr="00153A7A">
        <w:rPr>
          <w:rStyle w:val="FootnoteReference"/>
          <w:rFonts w:ascii="Times New (W1)" w:hAnsi="Times New (W1)"/>
          <w:vertAlign w:val="baseline"/>
        </w:rPr>
        <w:footnoteRef/>
      </w:r>
      <w:r>
        <w:t xml:space="preserve"> . </w:t>
      </w:r>
      <w:r w:rsidRPr="00153A7A">
        <w:rPr>
          <w:i/>
        </w:rPr>
        <w:t>Note by the Registry</w:t>
      </w:r>
      <w:r>
        <w:t>. Extracts of the decision are reported in ECHR 2003-I.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F4B" w:rsidRPr="00DE6FCE" w:rsidRDefault="00F46F4B" w:rsidP="00DE6F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F4B" w:rsidRDefault="00F46F4B">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F46F4B" w:rsidRPr="00DE6FCE" w:rsidRDefault="00F46F4B" w:rsidP="00DE6FCE">
    <w:pPr>
      <w:pStyle w:val="Header"/>
      <w:jc w:val="center"/>
      <w:rPr>
        <w:rStyle w:val="PageNumbe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F4B" w:rsidRDefault="00F46F4B">
    <w:pPr>
      <w:pStyle w:val="JuHeader"/>
    </w:pPr>
    <w:r>
      <w:rPr>
        <w:rStyle w:val="PageNumber"/>
      </w:rPr>
      <w:fldChar w:fldCharType="begin"/>
    </w:r>
    <w:r>
      <w:rPr>
        <w:rStyle w:val="PageNumber"/>
      </w:rPr>
      <w:instrText xml:space="preserve"> PAGE </w:instrText>
    </w:r>
    <w:r>
      <w:rPr>
        <w:rStyle w:val="PageNumber"/>
      </w:rPr>
      <w:fldChar w:fldCharType="separate"/>
    </w:r>
    <w:r w:rsidR="00E4189F">
      <w:rPr>
        <w:rStyle w:val="PageNumber"/>
        <w:noProof/>
      </w:rPr>
      <w:t>12</w:t>
    </w:r>
    <w:r>
      <w:rPr>
        <w:rStyle w:val="PageNumber"/>
      </w:rPr>
      <w:fldChar w:fldCharType="end"/>
    </w:r>
    <w:r>
      <w:tab/>
      <w:t xml:space="preserve">VITO SANTE SANTORO v. </w:t>
    </w:r>
    <w:smartTag w:uri="urn:schemas-microsoft-com:office:smarttags" w:element="country-region">
      <w:smartTag w:uri="urn:schemas-microsoft-com:office:smarttags" w:element="place">
        <w:r>
          <w:t>ITALY</w:t>
        </w:r>
      </w:smartTag>
    </w:smartTag>
    <w: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F4B" w:rsidRDefault="00F46F4B">
    <w:pPr>
      <w:pStyle w:val="JuHeader"/>
      <w:rPr>
        <w:rStyle w:val="PageNumber"/>
      </w:rPr>
    </w:pPr>
    <w:r>
      <w:tab/>
      <w:t xml:space="preserve">VITO SANTE SANTORO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E4189F">
      <w:rPr>
        <w:rStyle w:val="PageNumber"/>
        <w:noProof/>
      </w:rPr>
      <w:t>13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42904863"/>
    <w:multiLevelType w:val="hybridMultilevel"/>
    <w:tmpl w:val="51664D2C"/>
    <w:lvl w:ilvl="0" w:tplc="E36E759C">
      <w:start w:val="2"/>
      <w:numFmt w:val="lowerLetter"/>
      <w:lvlText w:val="(%1)"/>
      <w:lvlJc w:val="left"/>
      <w:pPr>
        <w:tabs>
          <w:tab w:val="num" w:pos="995"/>
        </w:tabs>
        <w:ind w:left="995" w:hanging="360"/>
      </w:pPr>
      <w:rPr>
        <w:rFonts w:hint="default"/>
      </w:rPr>
    </w:lvl>
    <w:lvl w:ilvl="1" w:tplc="040C0019" w:tentative="1">
      <w:start w:val="1"/>
      <w:numFmt w:val="lowerLetter"/>
      <w:lvlText w:val="%2."/>
      <w:lvlJc w:val="left"/>
      <w:pPr>
        <w:tabs>
          <w:tab w:val="num" w:pos="1715"/>
        </w:tabs>
        <w:ind w:left="1715" w:hanging="360"/>
      </w:pPr>
    </w:lvl>
    <w:lvl w:ilvl="2" w:tplc="040C001B" w:tentative="1">
      <w:start w:val="1"/>
      <w:numFmt w:val="lowerRoman"/>
      <w:lvlText w:val="%3."/>
      <w:lvlJc w:val="right"/>
      <w:pPr>
        <w:tabs>
          <w:tab w:val="num" w:pos="2435"/>
        </w:tabs>
        <w:ind w:left="2435" w:hanging="180"/>
      </w:pPr>
    </w:lvl>
    <w:lvl w:ilvl="3" w:tplc="040C000F" w:tentative="1">
      <w:start w:val="1"/>
      <w:numFmt w:val="decimal"/>
      <w:lvlText w:val="%4."/>
      <w:lvlJc w:val="left"/>
      <w:pPr>
        <w:tabs>
          <w:tab w:val="num" w:pos="3155"/>
        </w:tabs>
        <w:ind w:left="3155" w:hanging="360"/>
      </w:pPr>
    </w:lvl>
    <w:lvl w:ilvl="4" w:tplc="040C0019" w:tentative="1">
      <w:start w:val="1"/>
      <w:numFmt w:val="lowerLetter"/>
      <w:lvlText w:val="%5."/>
      <w:lvlJc w:val="left"/>
      <w:pPr>
        <w:tabs>
          <w:tab w:val="num" w:pos="3875"/>
        </w:tabs>
        <w:ind w:left="3875" w:hanging="360"/>
      </w:pPr>
    </w:lvl>
    <w:lvl w:ilvl="5" w:tplc="040C001B" w:tentative="1">
      <w:start w:val="1"/>
      <w:numFmt w:val="lowerRoman"/>
      <w:lvlText w:val="%6."/>
      <w:lvlJc w:val="right"/>
      <w:pPr>
        <w:tabs>
          <w:tab w:val="num" w:pos="4595"/>
        </w:tabs>
        <w:ind w:left="4595" w:hanging="180"/>
      </w:pPr>
    </w:lvl>
    <w:lvl w:ilvl="6" w:tplc="040C000F" w:tentative="1">
      <w:start w:val="1"/>
      <w:numFmt w:val="decimal"/>
      <w:lvlText w:val="%7."/>
      <w:lvlJc w:val="left"/>
      <w:pPr>
        <w:tabs>
          <w:tab w:val="num" w:pos="5315"/>
        </w:tabs>
        <w:ind w:left="5315" w:hanging="360"/>
      </w:pPr>
    </w:lvl>
    <w:lvl w:ilvl="7" w:tplc="040C0019" w:tentative="1">
      <w:start w:val="1"/>
      <w:numFmt w:val="lowerLetter"/>
      <w:lvlText w:val="%8."/>
      <w:lvlJc w:val="left"/>
      <w:pPr>
        <w:tabs>
          <w:tab w:val="num" w:pos="6035"/>
        </w:tabs>
        <w:ind w:left="6035" w:hanging="360"/>
      </w:pPr>
    </w:lvl>
    <w:lvl w:ilvl="8" w:tplc="040C001B" w:tentative="1">
      <w:start w:val="1"/>
      <w:numFmt w:val="lowerRoman"/>
      <w:lvlText w:val="%9."/>
      <w:lvlJc w:val="right"/>
      <w:pPr>
        <w:tabs>
          <w:tab w:val="num" w:pos="6755"/>
        </w:tabs>
        <w:ind w:left="6755" w:hanging="180"/>
      </w:pPr>
    </w:lvl>
  </w:abstractNum>
  <w:abstractNum w:abstractNumId="19">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5"/>
  </w:num>
  <w:num w:numId="3">
    <w:abstractNumId w:val="12"/>
  </w:num>
  <w:num w:numId="4">
    <w:abstractNumId w:val="23"/>
  </w:num>
  <w:num w:numId="5">
    <w:abstractNumId w:val="31"/>
  </w:num>
  <w:num w:numId="6">
    <w:abstractNumId w:val="5"/>
  </w:num>
  <w:num w:numId="7">
    <w:abstractNumId w:val="28"/>
  </w:num>
  <w:num w:numId="8">
    <w:abstractNumId w:val="4"/>
  </w:num>
  <w:num w:numId="9">
    <w:abstractNumId w:val="2"/>
  </w:num>
  <w:num w:numId="10">
    <w:abstractNumId w:val="1"/>
  </w:num>
  <w:num w:numId="11">
    <w:abstractNumId w:val="0"/>
  </w:num>
  <w:num w:numId="12">
    <w:abstractNumId w:val="3"/>
  </w:num>
  <w:num w:numId="13">
    <w:abstractNumId w:val="10"/>
  </w:num>
  <w:num w:numId="14">
    <w:abstractNumId w:val="21"/>
  </w:num>
  <w:num w:numId="15">
    <w:abstractNumId w:val="26"/>
  </w:num>
  <w:num w:numId="16">
    <w:abstractNumId w:val="13"/>
  </w:num>
  <w:num w:numId="17">
    <w:abstractNumId w:val="22"/>
  </w:num>
  <w:num w:numId="18">
    <w:abstractNumId w:val="29"/>
  </w:num>
  <w:num w:numId="19">
    <w:abstractNumId w:val="27"/>
  </w:num>
  <w:num w:numId="20">
    <w:abstractNumId w:val="11"/>
  </w:num>
  <w:num w:numId="21">
    <w:abstractNumId w:val="24"/>
  </w:num>
  <w:num w:numId="22">
    <w:abstractNumId w:val="16"/>
  </w:num>
  <w:num w:numId="23">
    <w:abstractNumId w:val="19"/>
  </w:num>
  <w:num w:numId="24">
    <w:abstractNumId w:val="6"/>
  </w:num>
  <w:num w:numId="25">
    <w:abstractNumId w:val="8"/>
  </w:num>
  <w:num w:numId="26">
    <w:abstractNumId w:val="30"/>
  </w:num>
  <w:num w:numId="27">
    <w:abstractNumId w:val="15"/>
  </w:num>
  <w:num w:numId="28">
    <w:abstractNumId w:val="20"/>
  </w:num>
  <w:num w:numId="29">
    <w:abstractNumId w:val="17"/>
  </w:num>
  <w:num w:numId="30">
    <w:abstractNumId w:val="14"/>
  </w:num>
  <w:num w:numId="31">
    <w:abstractNumId w:val="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3F8B"/>
    <w:rsid w:val="00000525"/>
    <w:rsid w:val="00000710"/>
    <w:rsid w:val="0002684D"/>
    <w:rsid w:val="000850EA"/>
    <w:rsid w:val="000E0EED"/>
    <w:rsid w:val="000E635D"/>
    <w:rsid w:val="000F1CF6"/>
    <w:rsid w:val="0012674E"/>
    <w:rsid w:val="00130D99"/>
    <w:rsid w:val="001414CA"/>
    <w:rsid w:val="00153A7A"/>
    <w:rsid w:val="00187E40"/>
    <w:rsid w:val="00196F15"/>
    <w:rsid w:val="00217C6E"/>
    <w:rsid w:val="00233636"/>
    <w:rsid w:val="00240235"/>
    <w:rsid w:val="00243754"/>
    <w:rsid w:val="00244F51"/>
    <w:rsid w:val="002805BA"/>
    <w:rsid w:val="00283F8B"/>
    <w:rsid w:val="002A25AE"/>
    <w:rsid w:val="002E04DB"/>
    <w:rsid w:val="00335BF5"/>
    <w:rsid w:val="003742A4"/>
    <w:rsid w:val="003E52F3"/>
    <w:rsid w:val="00445083"/>
    <w:rsid w:val="004B466A"/>
    <w:rsid w:val="004B67E4"/>
    <w:rsid w:val="004C0449"/>
    <w:rsid w:val="004E67DE"/>
    <w:rsid w:val="0050173A"/>
    <w:rsid w:val="00524DD7"/>
    <w:rsid w:val="00525BB1"/>
    <w:rsid w:val="00590458"/>
    <w:rsid w:val="005A3C7F"/>
    <w:rsid w:val="005B1792"/>
    <w:rsid w:val="006335B1"/>
    <w:rsid w:val="00644633"/>
    <w:rsid w:val="006703F1"/>
    <w:rsid w:val="00673BD0"/>
    <w:rsid w:val="006E5403"/>
    <w:rsid w:val="006F0ACA"/>
    <w:rsid w:val="006F0C75"/>
    <w:rsid w:val="0073759F"/>
    <w:rsid w:val="0074124C"/>
    <w:rsid w:val="007B5A8C"/>
    <w:rsid w:val="00847670"/>
    <w:rsid w:val="00847CF4"/>
    <w:rsid w:val="0086154B"/>
    <w:rsid w:val="008B4C98"/>
    <w:rsid w:val="008C4013"/>
    <w:rsid w:val="008E5AF4"/>
    <w:rsid w:val="009158D3"/>
    <w:rsid w:val="00930DEC"/>
    <w:rsid w:val="00975BE7"/>
    <w:rsid w:val="00A7032F"/>
    <w:rsid w:val="00AA72DB"/>
    <w:rsid w:val="00AE2A86"/>
    <w:rsid w:val="00B7020B"/>
    <w:rsid w:val="00B70893"/>
    <w:rsid w:val="00B75A1B"/>
    <w:rsid w:val="00B9678A"/>
    <w:rsid w:val="00BF7086"/>
    <w:rsid w:val="00C356E1"/>
    <w:rsid w:val="00C45962"/>
    <w:rsid w:val="00C949A5"/>
    <w:rsid w:val="00CD49A7"/>
    <w:rsid w:val="00CF30A6"/>
    <w:rsid w:val="00D71533"/>
    <w:rsid w:val="00D90F30"/>
    <w:rsid w:val="00D96FC6"/>
    <w:rsid w:val="00DE6FCE"/>
    <w:rsid w:val="00E4189F"/>
    <w:rsid w:val="00E4721C"/>
    <w:rsid w:val="00E801A2"/>
    <w:rsid w:val="00F14743"/>
    <w:rsid w:val="00F244EB"/>
    <w:rsid w:val="00F34A23"/>
    <w:rsid w:val="00F46F4B"/>
    <w:rsid w:val="00F747E7"/>
    <w:rsid w:val="00F847F2"/>
    <w:rsid w:val="00F92E32"/>
    <w:rsid w:val="00FF01F8"/>
    <w:rsid w:val="00FF1648"/>
    <w:rsid w:val="00FF40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date"/>
  <w:smartTagType w:namespaceuri="urn:schemas-microsoft-com:office:smarttags" w:name="time"/>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JuHHead">
    <w:name w:val="Ju_H_Head"/>
    <w:basedOn w:val="Normal"/>
    <w:next w:val="JuPara"/>
    <w:pPr>
      <w:spacing w:before="720" w:after="240"/>
    </w:pPr>
    <w:rPr>
      <w:sz w:val="28"/>
    </w:rPr>
  </w:style>
  <w:style w:type="paragraph" w:styleId="Footer">
    <w:name w:val="footer"/>
    <w:basedOn w:val="Normal"/>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tabs>
        <w:tab w:val="left" w:pos="584"/>
      </w:tabs>
      <w:ind w:left="584" w:hanging="352"/>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H">
    <w:name w:val="Ju_H_–"/>
    <w:basedOn w:val="JuHalpha"/>
    <w:next w:val="JuPara"/>
    <w:pPr>
      <w:ind w:left="1236" w:firstLine="0"/>
    </w:pPr>
    <w:rPr>
      <w:i/>
    </w:rPr>
  </w:style>
  <w:style w:type="paragraph" w:customStyle="1" w:styleId="JuHalpha">
    <w:name w:val="Ju_H_alpha"/>
    <w:basedOn w:val="JuHi"/>
    <w:next w:val="JuPara"/>
    <w:pPr>
      <w:tabs>
        <w:tab w:val="left" w:pos="1372"/>
      </w:tabs>
      <w:ind w:left="1373" w:hanging="335"/>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pPr>
      <w:spacing w:before="0"/>
      <w:jc w:val="center"/>
    </w:p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 w:type="paragraph" w:styleId="BalloonText">
    <w:name w:val="Balloon Text"/>
    <w:basedOn w:val="Normal"/>
    <w:semiHidden/>
    <w:rsid w:val="00283F8B"/>
    <w:rPr>
      <w:rFonts w:ascii="Tahoma" w:hAnsi="Tahoma" w:cs="Tahoma"/>
      <w:sz w:val="16"/>
      <w:szCs w:val="16"/>
    </w:rPr>
  </w:style>
  <w:style w:type="paragraph" w:styleId="HTMLPreformatted">
    <w:name w:val="HTML Preformatted"/>
    <w:basedOn w:val="Normal"/>
    <w:rsid w:val="00217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 w:val="20"/>
      <w:lang w:val="fr-FR"/>
    </w:rPr>
  </w:style>
  <w:style w:type="paragraph" w:styleId="CommentSubject">
    <w:name w:val="annotation subject"/>
    <w:basedOn w:val="CommentText"/>
    <w:next w:val="CommentText"/>
    <w:semiHidden/>
    <w:rsid w:val="00B75A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5102">
      <w:bodyDiv w:val="1"/>
      <w:marLeft w:val="0"/>
      <w:marRight w:val="0"/>
      <w:marTop w:val="0"/>
      <w:marBottom w:val="0"/>
      <w:divBdr>
        <w:top w:val="none" w:sz="0" w:space="0" w:color="auto"/>
        <w:left w:val="none" w:sz="0" w:space="0" w:color="auto"/>
        <w:bottom w:val="none" w:sz="0" w:space="0" w:color="auto"/>
        <w:right w:val="none" w:sz="0" w:space="0" w:color="auto"/>
      </w:divBdr>
    </w:div>
    <w:div w:id="755203708">
      <w:bodyDiv w:val="1"/>
      <w:marLeft w:val="0"/>
      <w:marRight w:val="0"/>
      <w:marTop w:val="0"/>
      <w:marBottom w:val="0"/>
      <w:divBdr>
        <w:top w:val="none" w:sz="0" w:space="0" w:color="auto"/>
        <w:left w:val="none" w:sz="0" w:space="0" w:color="auto"/>
        <w:bottom w:val="none" w:sz="0" w:space="0" w:color="auto"/>
        <w:right w:val="none" w:sz="0" w:space="0" w:color="auto"/>
      </w:divBdr>
    </w:div>
    <w:div w:id="1222864853">
      <w:bodyDiv w:val="1"/>
      <w:marLeft w:val="0"/>
      <w:marRight w:val="0"/>
      <w:marTop w:val="0"/>
      <w:marBottom w:val="0"/>
      <w:divBdr>
        <w:top w:val="none" w:sz="0" w:space="0" w:color="auto"/>
        <w:left w:val="none" w:sz="0" w:space="0" w:color="auto"/>
        <w:bottom w:val="none" w:sz="0" w:space="0" w:color="auto"/>
        <w:right w:val="none" w:sz="0" w:space="0" w:color="auto"/>
      </w:divBdr>
    </w:div>
    <w:div w:id="146801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2CCE8C-A479-4032-A708-A7D5A93BECDD}"/>
</file>

<file path=customXml/itemProps2.xml><?xml version="1.0" encoding="utf-8"?>
<ds:datastoreItem xmlns:ds="http://schemas.openxmlformats.org/officeDocument/2006/customXml" ds:itemID="{55D1A036-6DCB-47EC-9E36-195E5EC26963}"/>
</file>

<file path=customXml/itemProps3.xml><?xml version="1.0" encoding="utf-8"?>
<ds:datastoreItem xmlns:ds="http://schemas.openxmlformats.org/officeDocument/2006/customXml" ds:itemID="{593CF242-B97D-4048-9C72-B781F7C0A570}"/>
</file>

<file path=docProps/app.xml><?xml version="1.0" encoding="utf-8"?>
<Properties xmlns="http://schemas.openxmlformats.org/officeDocument/2006/extended-properties" xmlns:vt="http://schemas.openxmlformats.org/officeDocument/2006/docPropsVTypes">
  <Template>Normal.dotm</Template>
  <TotalTime>886</TotalTime>
  <Pages>1</Pages>
  <Words>4961</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33179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Santoro</dc:creator>
  <cp:keywords/>
  <dc:description/>
  <cp:lastModifiedBy/>
  <cp:revision>22</cp:revision>
  <cp:lastPrinted>2004-06-10T14:48:00Z</cp:lastPrinted>
  <dcterms:created xsi:type="dcterms:W3CDTF">2018-08-09T10:24:00Z</dcterms:created>
  <dcterms:modified xsi:type="dcterms:W3CDTF">2018-08-09T10:24:00Z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