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Jack Robert Coopey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Product Owner und Responsible AI Strategist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United Kingdom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Doctor of Philosophy (PhD), Philosophie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Senior Product Owner und Responsible-AI-Stratege mit über acht Jahren Erfahrung in digitalen Transformations-, Innovations- und AI-Governance-Projekten in Konzern-, Beratungs- und Startup-Umfeldern. Verbindet analytische Tiefe aus der akademischen Forschung mit pragmatischer Umsetzung in agilen Enterprise-Umgebungen. Fokus auf verantwortungsvolle Innovation, Governance, Business Value und Skalierbarkeit an der Schnittstelle von Business, IT und Regulierung.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Durham University</w:t>
              <w:br/>
            </w:r>
            <w:r>
              <w:rPr>
                <w:rFonts w:ascii="Aptos" w:hAnsi="Aptos"/>
                <w:color w:val="000000"/>
                <w:sz w:val="22"/>
              </w:rPr>
              <w:t>Doctor of Philosophy (PhD), Philosophie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St. Gallen (HSG)</w:t>
              <w:br/>
            </w:r>
            <w:r>
              <w:rPr>
                <w:rFonts w:ascii="Aptos" w:hAnsi="Aptos"/>
                <w:color w:val="000000"/>
                <w:sz w:val="22"/>
              </w:rPr>
              <w:t>Master of Business Administration (MBA)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St Andrews</w:t>
              <w:br/>
            </w:r>
            <w:r>
              <w:rPr>
                <w:rFonts w:ascii="Aptos" w:hAnsi="Aptos"/>
                <w:color w:val="000000"/>
                <w:sz w:val="22"/>
              </w:rPr>
              <w:t>Master of Letters (MLitt), Intellectual History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Leicester</w:t>
              <w:br/>
            </w:r>
            <w:r>
              <w:rPr>
                <w:rFonts w:ascii="Aptos" w:hAnsi="Aptos"/>
                <w:color w:val="000000"/>
                <w:sz w:val="22"/>
              </w:rPr>
              <w:t>Bachelor of Arts, English Literature and History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PMI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Professional (PMP)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PMI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PMI Agile Certified Practitioner (PMI-ACP)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PMI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 in Business Analysis (PMI-PBA)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Scaled Agile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Certified SAFe® 6 Agilist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Azure Fundamentals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rPr>
          <w:trHeight w:val="360" w:hRule="exact"/>
        </w:trP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br w:type="page"/>
      </w:r>
    </w:p>
    <w:p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adesso Schweiz AG (Pharma &amp; Diagnostics Konzern)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08/2024 - 08/2026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Senior Consultant / Product Owner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Product Ownership für Meta-Suite und agile Transformation (SAFe)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Stakeholder-Management auf Director- und Management-Ebene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Umsetzung von AI- und Governance-Anforderungen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ServiceNow, Meta Suite, AI/Analytics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SAFe, Agile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Swiss Re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07/2022 - 12/2022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Innovation Lab Specialist Consultant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Digitale Workplace-Innovationen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Einsatz von Emerging Technologies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Strategie- und Innovationsprojekte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AI, Digital Workplace, AR/VR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Agile, Innovation Frameworks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UBS Think Tank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08/2021 - 07/2022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Societal Researcher / Foresight Consultant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Gesellschaftliche Trendanalysen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Foresight-Workshops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Strategische Ableitungen für Innovation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Research Tools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Foresight Design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BlackLight.AI (Microsoft for Startups)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02/2021 - 01/2022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CEO &amp; Co-Founder / Chief Ethics Officer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Aufbau eines AI-Ethics-Startups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Strategie- und Produktverantwortung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Partnerschaften mit Industrie und Forschung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AI, SaaS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Lean Startup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European Commission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10/2017 - 01/2021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Postdoctoral Research Partner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Beratung zu Blockchain und Urban Sustainability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Forschungs- und Innovationsprojekte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Zusammenarbeit mit Industrie und Akademia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Blockchain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Research, Advisory</w:t>
            </w:r>
          </w:p>
        </w:tc>
      </w:tr>
    </w:tbl>
    <w:p>
      <w:pPr>
        <w:spacing w:after="480"/>
      </w:pP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