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FF7900"/>
          <w:sz w:val="32"/>
        </w:rPr>
        <w:t>Jack Coopey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Hauptrolle: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Senior Product Owner und Senior Consultant mit Schwerpunkt auf digitaler Transformation, Responsible AI und AI Governance. Erfahren in der Übersetzung komplexer Business-, Technologie- und Regulierungsanforderungen in skalierbare, wertorientierte Lösungen in agilen Enterprise-Umfeldern (Scrum / SAFe).</w:t>
            </w:r>
          </w:p>
        </w:tc>
        <w:tc>
          <w:tcPr>
            <w:tcW w:type="dxa" w:w="3162"/>
            <w:shd w:fill="FFFFFF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BILD EINFÜGEN</w:t>
            </w:r>
          </w:p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Nationalität: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United Kingdom</w:t>
            </w:r>
          </w:p>
        </w:tc>
        <w:tc>
          <w:tcPr>
            <w:tcW w:type="dxa" w:w="316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Hauptausbildung: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Doctor of Philosophy (PhD) in Philosophy</w:t>
            </w:r>
          </w:p>
        </w:tc>
        <w:tc>
          <w:tcPr>
            <w:tcW w:type="dxa" w:w="316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</w:tbl>
    <w:p>
      <w:r>
        <w:rPr>
          <w:rFonts w:ascii="Aptos" w:hAnsi="Aptos"/>
          <w:b/>
          <w:color w:val="FF7900"/>
          <w:sz w:val="32"/>
        </w:rPr>
        <w:t>Kurzprofil</w:t>
      </w:r>
    </w:p>
    <w:p>
      <w:r>
        <w:rPr>
          <w:rFonts w:ascii="Aptos" w:hAnsi="Aptos"/>
          <w:color w:val="000000"/>
          <w:sz w:val="22"/>
        </w:rPr>
        <w:t>Senior Product Owner und Responsible-AI-Stratege mit über acht Jahren Erfahrung in digitaler Transformation, Innovation und AI-Governance in Consulting-, Enterprise- und Startup-Umfeldern. Verbindet analytische Tiefe aus dem akademischen Umfeld mit starker Umsetzungskompetenz in komplexen, regulierten Organisationen. Fokus auf menschenzentrierte, ethische und skalierbare Technologieinitiativen.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Fachwissen &amp; Schwerpunkte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Aus- und Weiterbildung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University of St. Gallen (HSG)</w:t>
              <w:br/>
            </w:r>
            <w:r>
              <w:rPr>
                <w:rFonts w:ascii="Aptos" w:hAnsi="Aptos"/>
                <w:color w:val="000000"/>
                <w:sz w:val="22"/>
              </w:rPr>
              <w:t>Master of Business Administration (MBA) – laufend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Durham University</w:t>
              <w:br/>
            </w:r>
            <w:r>
              <w:rPr>
                <w:rFonts w:ascii="Aptos" w:hAnsi="Aptos"/>
                <w:color w:val="000000"/>
                <w:sz w:val="22"/>
              </w:rPr>
              <w:t>Doctor of Philosophy (PhD) in Philosophy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University of St Andrews</w:t>
              <w:br/>
            </w:r>
            <w:r>
              <w:rPr>
                <w:rFonts w:ascii="Aptos" w:hAnsi="Aptos"/>
                <w:color w:val="000000"/>
                <w:sz w:val="22"/>
              </w:rPr>
              <w:t>Master of Letters (MLitt) in Intellectual History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University of Leicester</w:t>
              <w:br/>
            </w:r>
            <w:r>
              <w:rPr>
                <w:rFonts w:ascii="Aptos" w:hAnsi="Aptos"/>
                <w:color w:val="000000"/>
                <w:sz w:val="22"/>
              </w:rPr>
              <w:t>Bachelor of Arts (B.A.) in English Literature and History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Trainings &amp; Zertifizierungen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PMI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PMP®, PMI-PBA®, PMI-ACP®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Scrum.org / SAFe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PSM II, PSPO II, PAL I / PAL-EBM, SAFe® 6 Agilist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 / AWS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Microsoft Azure Fundamentals, AWS Cloud Essentials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ITIL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ITIL 4 Foundation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Sprachen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rHeight w:val="360" w:hRule="exact"/>
        </w:trPr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Englisch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Deutsch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rPr>
          <w:trHeight w:val="360" w:hRule="exact"/>
        </w:trPr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</w:tbl>
    <w:p>
      <w:r>
        <w:br w:type="page"/>
      </w:r>
    </w:p>
    <w:p>
      <w:pPr>
        <w:spacing w:after="360"/>
      </w:pPr>
      <w:r>
        <w:rPr>
          <w:rFonts w:ascii="Aptos" w:hAnsi="Aptos"/>
          <w:b/>
          <w:color w:val="FF7900"/>
          <w:sz w:val="32"/>
        </w:rPr>
        <w:t>Ausgewählte Referenzprojekte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color w:val="444444"/>
                <w:sz w:val="22"/>
              </w:rPr>
              <w:t>adesso Schweiz AG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08/2024 - Heute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Senior Consultant / IT Product Owner / AI Governance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Product Ownership für Meta Suite Delivery und agile Transformation (SAFe)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Product Ownership für ServiceNow ITSM Rollouts (Scrum)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Entwicklung von AI Business Use Cases und Governance-Strukturen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ServiceNow, Meta Suite, AI/ML, Cloud Platforms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SAFe, Scrum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color w:val="444444"/>
                <w:sz w:val="22"/>
              </w:rPr>
              <w:t>Swiss Re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07/2022 - 12/2022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Innovation Lab Specialist Consultant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Digitale Workplace-Innovationen mit Emerging Technologies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Entwicklung von Transformations- und Innovationsstrategien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Zusammenarbeit mit interdisziplinären Teams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AR/VR, AI Analytics, Digital Workplace Tools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Projektorientiert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color w:val="444444"/>
                <w:sz w:val="22"/>
              </w:rPr>
              <w:t>UBS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08/2021 - 07/2022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Societal Researcher / Foresight Design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Societal Research und strategische Foresight-Analysen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Design und Durchführung von Foresight-Workshops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Übersetzung von Research-Erkenntnissen in Business-Strategien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Research Tools, Analytics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Research-driven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