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F7900"/>
          <w:sz w:val="32"/>
        </w:rPr>
        <w:t>Marco Rieben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Hauptrolle:</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 und Product Owner für digitale Produkte sowie Daten- und Transformationsinitiativen. End-to-End-Verantwortung von der Anforderung bis zur Umsetzung mit Fokus auf Qualität, Nutzerorientierung und nachhaltigen Mehrwert.</w:t>
            </w:r>
          </w:p>
        </w:tc>
        <w:tc>
          <w:tcPr>
            <w:tcW w:type="dxa" w:w="3162"/>
            <w:shd w:fill="FFFFFF"/>
            <w:vMerge w:val="restart"/>
            <w:tcBorders>
              <w:top w:val="none" w:sz="0" w:space="0" w:color="auto"/>
              <w:left w:val="none" w:sz="0" w:space="0" w:color="auto"/>
              <w:bottom w:val="none" w:sz="0" w:space="0" w:color="auto"/>
              <w:right w:val="none" w:sz="0" w:space="0" w:color="auto"/>
            </w:tcBorders>
          </w:tcPr>
          <w:p>
            <w:pPr>
              <w:jc w:val="center"/>
            </w:pPr>
            <w:r/>
            <w:r>
              <w:rPr>
                <w:rFonts w:ascii="Aptos" w:hAnsi="Aptos"/>
                <w:color w:val="000000"/>
                <w:sz w:val="22"/>
                <w:highlight w:val="yellow"/>
              </w:rPr>
              <w:t>BILD EINFÜGEN</w:t>
            </w: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Nationalität:</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highlight w:val="yellow"/>
              </w:rPr>
              <w:t>! fehlt – bitte prüfen!</w:t>
            </w:r>
          </w:p>
        </w:tc>
        <w:tc>
          <w:tcPr>
            <w:tcW w:type="dxa" w:w="3162"/>
            <w:shd w:fill="FFFFFF"/>
            <w:vMerge/>
            <w:tcBorders>
              <w:top w:val="none" w:sz="0" w:space="0" w:color="auto"/>
              <w:left w:val="none" w:sz="0" w:space="0" w:color="auto"/>
              <w:bottom w:val="none" w:sz="0" w:space="0" w:color="auto"/>
              <w:right w:val="none" w:sz="0" w:space="0" w:color="auto"/>
            </w:tcBorders>
          </w:tcP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Hauptausbildung:</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Bachelor of Business Administration – Economics and International Business</w:t>
            </w:r>
          </w:p>
        </w:tc>
        <w:tc>
          <w:tcPr>
            <w:tcW w:type="dxa" w:w="3162"/>
            <w:shd w:fill="FFFFFF"/>
            <w:vMerge/>
            <w:tcBorders>
              <w:top w:val="none" w:sz="0" w:space="0" w:color="auto"/>
              <w:left w:val="none" w:sz="0" w:space="0" w:color="auto"/>
              <w:bottom w:val="none" w:sz="0" w:space="0" w:color="auto"/>
              <w:right w:val="none" w:sz="0" w:space="0" w:color="auto"/>
            </w:tcBorders>
          </w:tcPr>
          <w:p/>
        </w:tc>
      </w:tr>
    </w:tbl>
    <w:p>
      <w:r>
        <w:rPr>
          <w:rFonts w:ascii="Aptos" w:hAnsi="Aptos"/>
          <w:b/>
          <w:color w:val="FF7900"/>
          <w:sz w:val="32"/>
        </w:rPr>
        <w:t>Kurzprofil</w:t>
      </w:r>
    </w:p>
    <w:p>
      <w:r>
        <w:rPr>
          <w:rFonts w:ascii="Aptos" w:hAnsi="Aptos"/>
          <w:color w:val="000000"/>
          <w:sz w:val="22"/>
        </w:rPr>
        <w:t>Erfahrener Projektleiter und Product Owner für digitale Produkte und Transformationsinitiativen. Verbindet analytisches Denken mit teamorientierter Führung und begleitet Projekte von der Anforderung bis zur Umsetzung. Starker Fokus auf Zusammenarbeit, Vertrauen und nachhaltigen Nutzen für die Organisation.</w:t>
      </w:r>
    </w:p>
    <w:p>
      <w:pPr>
        <w:spacing w:before="360" w:after="120"/>
      </w:pPr>
      <w:r>
        <w:rPr>
          <w:rFonts w:ascii="Aptos" w:hAnsi="Aptos"/>
          <w:b/>
          <w:color w:val="444444"/>
          <w:sz w:val="22"/>
        </w:rPr>
        <w:t>Fachwissen &amp; Schwerpunkte</w:t>
      </w:r>
    </w:p>
    <w:p>
      <w:pPr>
        <w:spacing w:before="360" w:after="120"/>
      </w:pPr>
      <w:r>
        <w:rPr>
          <w:rFonts w:ascii="Aptos" w:hAnsi="Aptos"/>
          <w:b/>
          <w:color w:val="444444"/>
          <w:sz w:val="22"/>
        </w:rPr>
        <w:t>Aus- und Weiterbildung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2018 - 2019</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Microsoft</w:t>
              <w:br/>
            </w:r>
            <w:r>
              <w:rPr>
                <w:rFonts w:ascii="Aptos" w:hAnsi="Aptos"/>
                <w:color w:val="000000"/>
                <w:sz w:val="22"/>
              </w:rPr>
              <w:t>Professional Program in Data Science</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2017 - 2018</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ETH Zürich</w:t>
              <w:br/>
            </w:r>
            <w:r>
              <w:rPr>
                <w:rFonts w:ascii="Aptos" w:hAnsi="Aptos"/>
                <w:color w:val="000000"/>
                <w:sz w:val="22"/>
              </w:rPr>
              <w:t>Projektmanagement – Agile Software Development</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Fachhochschule Nordwestschweiz FHNW</w:t>
              <w:br/>
            </w:r>
            <w:r>
              <w:rPr>
                <w:rFonts w:ascii="Aptos" w:hAnsi="Aptos"/>
                <w:color w:val="000000"/>
                <w:sz w:val="22"/>
              </w:rPr>
              <w:t>CAS Kostenmanagement und Controlling</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2003 - 2006</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University of Texas at San Antonio</w:t>
              <w:br/>
            </w:r>
            <w:r>
              <w:rPr>
                <w:rFonts w:ascii="Aptos" w:hAnsi="Aptos"/>
                <w:color w:val="000000"/>
                <w:sz w:val="22"/>
              </w:rPr>
              <w:t>Bachelor of Business Administration – Economics and International Business</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1998 - 2001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Liceo Linguistico P. M. Vermigli</w:t>
              <w:br/>
            </w:r>
            <w:r>
              <w:rPr>
                <w:rFonts w:ascii="Aptos" w:hAnsi="Aptos"/>
                <w:color w:val="000000"/>
                <w:sz w:val="22"/>
              </w:rPr>
              <w:t>Italienisches Gymnasium</w:t>
            </w:r>
          </w:p>
        </w:tc>
      </w:tr>
    </w:tbl>
    <w:p>
      <w:pPr>
        <w:spacing w:before="360" w:after="120"/>
      </w:pPr>
      <w:r>
        <w:rPr>
          <w:rFonts w:ascii="Aptos" w:hAnsi="Aptos"/>
          <w:b/>
          <w:color w:val="444444"/>
          <w:sz w:val="22"/>
        </w:rPr>
        <w:t>Trainings &amp; Zertifizierungen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highlight w:val="yellow"/>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Diverse</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Qlik, Power BI, Tableau, IREB – Requirements Engineering / Business Analysis, Microsoft AI Foundations</w:t>
            </w:r>
          </w:p>
        </w:tc>
      </w:tr>
    </w:tbl>
    <w:p>
      <w:pPr>
        <w:spacing w:before="360" w:after="120"/>
      </w:pPr>
      <w:r>
        <w:rPr>
          <w:rFonts w:ascii="Aptos" w:hAnsi="Aptos"/>
          <w:b/>
          <w:color w:val="444444"/>
          <w:sz w:val="22"/>
        </w:rPr>
        <w:t>Sprachen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1757"/>
        <w:gridCol w:w="1757"/>
        <w:gridCol w:w="1757"/>
        <w:gridCol w:w="1757"/>
        <w:gridCol w:w="1757"/>
        <w:gridCol w:w="1757"/>
      </w:tblGrid>
      <w:tr>
        <w:trPr>
          <w:trHeight w:val="360" w:hRule="exact"/>
        </w:trPr>
        <w:tc>
          <w:tcPr>
            <w:tcW w:type="dxa" w:w="1757"/>
          </w:tcPr>
          <w:p>
            <w:pPr>
              <w:spacing w:line="192" w:lineRule="auto"/>
            </w:pPr>
            <w:r/>
            <w:r>
              <w:rPr>
                <w:rFonts w:ascii="Aptos" w:hAnsi="Aptos"/>
                <w:color w:val="000000"/>
                <w:sz w:val="22"/>
              </w:rPr>
              <w:t>Deutsch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Englisch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Italienisch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808080"/>
                <w:sz w:val="22"/>
              </w:rPr>
              <w:t>☆</w:t>
            </w:r>
          </w:p>
        </w:tc>
      </w:tr>
      <w:tr>
        <w:trPr>
          <w:trHeight w:val="360" w:hRule="exact"/>
        </w:trPr>
        <w:tc>
          <w:tcPr>
            <w:tcW w:type="dxa" w:w="1757"/>
          </w:tcPr>
          <w:p>
            <w:pPr>
              <w:spacing w:line="192" w:lineRule="auto"/>
            </w:pPr>
            <w:r/>
            <w:r>
              <w:rPr>
                <w:rFonts w:ascii="Aptos" w:hAnsi="Aptos"/>
                <w:color w:val="000000"/>
                <w:sz w:val="22"/>
              </w:rPr>
              <w:t>Spanisch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pPr>
              <w:spacing w:line="192" w:lineRule="auto"/>
            </w:pPr>
            <w:r/>
            <w:r>
              <w:rPr>
                <w:rFonts w:ascii="Aptos" w:hAnsi="Aptos"/>
                <w:color w:val="000000"/>
                <w:sz w:val="22"/>
              </w:rPr>
              <w:t>Französisch</w:t>
            </w:r>
          </w:p>
        </w:tc>
        <w:tc>
          <w:tcPr>
            <w:tcW w:type="dxa" w:w="1757"/>
          </w:tcPr>
          <w:p>
            <w:pPr>
              <w:spacing w:line="192" w:lineRule="auto"/>
            </w:pPr>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tc>
        <w:tc>
          <w:tcPr>
            <w:tcW w:type="dxa" w:w="1757"/>
          </w:tcPr>
          <w:p/>
        </w:tc>
      </w:tr>
    </w:tbl>
    <w:p>
      <w:r>
        <w:rPr>
          <w:rFonts w:ascii="Aptos" w:hAnsi="Aptos"/>
          <w:b/>
          <w:color w:val="FF7900"/>
          <w:sz w:val="32"/>
        </w:rPr>
        <w:t>Ausgewählte Referenzprojekte</w:t>
      </w:r>
    </w:p>
    <w:p>
      <w:pPr>
        <w:spacing w:before="360" w:after="120"/>
      </w:pPr>
      <w:r>
        <w:rPr>
          <w:rFonts w:ascii="Aptos" w:hAnsi="Aptos"/>
          <w:b/>
          <w:color w:val="444444"/>
          <w:sz w:val="22"/>
        </w:rPr>
        <w:t>Siemens Smart Infrastructure (via Randstad)</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2019 - 2025</w:t>
            </w:r>
          </w:p>
        </w:tc>
        <w:tc>
          <w:tcPr>
            <w:tcW w:type="dxa" w:w="8432"/>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w:t>
            </w:r>
          </w:p>
        </w:tc>
      </w:tr>
    </w:tbl>
    <w:p>
      <w:pPr>
        <w:spacing w:before="0" w:after="0" w:line="240" w:lineRule="auto"/>
        <w:ind w:left="240"/>
      </w:pPr>
      <w:r>
        <w:rPr>
          <w:rFonts w:ascii="Aptos" w:hAnsi="Aptos"/>
          <w:color w:val="FF7900"/>
          <w:sz w:val="22"/>
        </w:rPr>
        <w:t xml:space="preserve">■ </w:t>
      </w:r>
      <w:r>
        <w:rPr>
          <w:rFonts w:ascii="Aptos" w:hAnsi="Aptos"/>
          <w:color w:val="FF7900"/>
          <w:sz w:val="22"/>
        </w:rPr>
        <w:t>Leitung internationaler Digitalisierungs- und Datenprojekte</w:t>
      </w:r>
    </w:p>
    <w:p>
      <w:pPr>
        <w:spacing w:before="0" w:after="0" w:line="240" w:lineRule="auto"/>
        <w:ind w:left="240"/>
      </w:pPr>
      <w:r>
        <w:rPr>
          <w:rFonts w:ascii="Aptos" w:hAnsi="Aptos"/>
          <w:color w:val="FF7900"/>
          <w:sz w:val="22"/>
        </w:rPr>
        <w:t xml:space="preserve">■ </w:t>
      </w:r>
      <w:r>
        <w:rPr>
          <w:rFonts w:ascii="Aptos" w:hAnsi="Aptos"/>
          <w:color w:val="FF7900"/>
          <w:sz w:val="22"/>
        </w:rPr>
        <w:t>Projektleiter der Datenmodernisierung mit Kafka, Snowflake, Qlik und Power BI</w:t>
      </w:r>
    </w:p>
    <w:p>
      <w:pPr>
        <w:spacing w:before="0" w:after="0" w:line="240" w:lineRule="auto"/>
        <w:ind w:left="240"/>
      </w:pPr>
      <w:r>
        <w:rPr>
          <w:rFonts w:ascii="Aptos" w:hAnsi="Aptos"/>
          <w:color w:val="FF7900"/>
          <w:sz w:val="22"/>
        </w:rPr>
        <w:t xml:space="preserve">■ </w:t>
      </w:r>
      <w:r>
        <w:rPr>
          <w:rFonts w:ascii="Aptos" w:hAnsi="Aptos"/>
          <w:color w:val="FF7900"/>
          <w:sz w:val="22"/>
        </w:rPr>
        <w:t>Verantwortung für die Factory Data Cloud über mehrere Werke</w:t>
      </w:r>
    </w:p>
    <w:p>
      <w:pPr>
        <w:spacing w:before="0" w:after="0" w:line="240" w:lineRule="auto"/>
        <w:ind w:left="240"/>
      </w:pPr>
      <w:r>
        <w:rPr>
          <w:rFonts w:ascii="Aptos" w:hAnsi="Aptos"/>
          <w:color w:val="FF7900"/>
          <w:sz w:val="22"/>
        </w:rPr>
        <w:t xml:space="preserve">■ </w:t>
      </w:r>
      <w:r>
        <w:rPr>
          <w:rFonts w:ascii="Aptos" w:hAnsi="Aptos"/>
          <w:color w:val="FF7900"/>
          <w:sz w:val="22"/>
        </w:rPr>
        <w:t>Product Owner für eine Low-Code Shopfloor-Lösung</w:t>
      </w:r>
    </w:p>
    <w:p>
      <w:pPr>
        <w:spacing w:before="0" w:after="0" w:line="240" w:lineRule="auto"/>
        <w:ind w:left="240"/>
      </w:pPr>
      <w:r>
        <w:rPr>
          <w:rFonts w:ascii="Aptos" w:hAnsi="Aptos"/>
          <w:color w:val="FF7900"/>
          <w:sz w:val="22"/>
        </w:rPr>
        <w:t xml:space="preserve">■ </w:t>
      </w:r>
      <w:r>
        <w:rPr>
          <w:rFonts w:ascii="Aptos" w:hAnsi="Aptos"/>
          <w:color w:val="FF7900"/>
          <w:sz w:val="22"/>
        </w:rPr>
        <w:t>Aufbau und Leitung eines Nearshore-Teams</w:t>
      </w:r>
    </w:p>
    <w:p>
      <w:pPr>
        <w:spacing w:before="360" w:after="120"/>
      </w:pPr>
      <w:r>
        <w:rPr>
          <w:rFonts w:ascii="Aptos" w:hAnsi="Aptos"/>
          <w:b/>
          <w:color w:val="444444"/>
          <w:sz w:val="22"/>
        </w:rPr>
        <w:t>Swisscom Directories AG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2016 - 2019</w:t>
            </w:r>
          </w:p>
        </w:tc>
        <w:tc>
          <w:tcPr>
            <w:tcW w:type="dxa" w:w="8432"/>
            <w:tcBorders>
              <w:top w:val="none" w:sz="0" w:space="0" w:color="auto"/>
              <w:left w:val="none" w:sz="0" w:space="0" w:color="auto"/>
              <w:bottom w:val="none" w:sz="0" w:space="0" w:color="auto"/>
              <w:right w:val="none" w:sz="0" w:space="0" w:color="auto"/>
            </w:tcBorders>
          </w:tcPr>
          <w:p>
            <w:r/>
            <w:r>
              <w:rPr>
                <w:rFonts w:ascii="Aptos" w:hAnsi="Aptos"/>
                <w:color w:val="000000"/>
                <w:sz w:val="22"/>
              </w:rPr>
              <w:t>Head of Business Intelligence / Projektleiter</w:t>
            </w:r>
          </w:p>
        </w:tc>
      </w:tr>
    </w:tbl>
    <w:p>
      <w:pPr>
        <w:spacing w:before="0" w:after="0" w:line="240" w:lineRule="auto"/>
        <w:ind w:left="240"/>
      </w:pPr>
      <w:r>
        <w:rPr>
          <w:rFonts w:ascii="Aptos" w:hAnsi="Aptos"/>
          <w:color w:val="FF7900"/>
          <w:sz w:val="22"/>
        </w:rPr>
        <w:t xml:space="preserve">■ </w:t>
      </w:r>
      <w:r>
        <w:rPr>
          <w:rFonts w:ascii="Aptos" w:hAnsi="Aptos"/>
          <w:color w:val="FF7900"/>
          <w:sz w:val="22"/>
        </w:rPr>
        <w:t>Entwicklung einer unternehmensweiten BI-Strategie nach IBCS-Standards</w:t>
      </w:r>
    </w:p>
    <w:p>
      <w:pPr>
        <w:spacing w:before="0" w:after="0" w:line="240" w:lineRule="auto"/>
        <w:ind w:left="240"/>
      </w:pPr>
      <w:r>
        <w:rPr>
          <w:rFonts w:ascii="Aptos" w:hAnsi="Aptos"/>
          <w:color w:val="FF7900"/>
          <w:sz w:val="22"/>
        </w:rPr>
        <w:t xml:space="preserve">■ </w:t>
      </w:r>
      <w:r>
        <w:rPr>
          <w:rFonts w:ascii="Aptos" w:hAnsi="Aptos"/>
          <w:color w:val="FF7900"/>
          <w:sz w:val="22"/>
        </w:rPr>
        <w:t>Führung eines BI-Teams mit bis zu 10 Mitarbeitenden</w:t>
      </w:r>
    </w:p>
    <w:p>
      <w:pPr>
        <w:spacing w:before="0" w:after="0" w:line="240" w:lineRule="auto"/>
        <w:ind w:left="240"/>
      </w:pPr>
      <w:r>
        <w:rPr>
          <w:rFonts w:ascii="Aptos" w:hAnsi="Aptos"/>
          <w:color w:val="FF7900"/>
          <w:sz w:val="22"/>
        </w:rPr>
        <w:t xml:space="preserve">■ </w:t>
      </w:r>
      <w:r>
        <w:rPr>
          <w:rFonts w:ascii="Aptos" w:hAnsi="Aptos"/>
          <w:color w:val="FF7900"/>
          <w:sz w:val="22"/>
        </w:rPr>
        <w:t>Standardisierung und Automatisierung von Controlling-Prozessen</w:t>
      </w:r>
    </w:p>
    <w:p>
      <w:pPr>
        <w:spacing w:before="360" w:after="120"/>
      </w:pPr>
      <w:r>
        <w:rPr>
          <w:rFonts w:ascii="Aptos" w:hAnsi="Aptos"/>
          <w:b/>
          <w:color w:val="444444"/>
          <w:sz w:val="22"/>
        </w:rPr>
        <w:t>Zurich Financial Services</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2012 - 2016</w:t>
            </w:r>
          </w:p>
        </w:tc>
        <w:tc>
          <w:tcPr>
            <w:tcW w:type="dxa" w:w="8432"/>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 und Business Analyst</w:t>
            </w:r>
          </w:p>
        </w:tc>
      </w:tr>
    </w:tbl>
    <w:p>
      <w:pPr>
        <w:spacing w:before="0" w:after="0" w:line="240" w:lineRule="auto"/>
        <w:ind w:left="240"/>
      </w:pPr>
      <w:r>
        <w:rPr>
          <w:rFonts w:ascii="Aptos" w:hAnsi="Aptos"/>
          <w:color w:val="FF7900"/>
          <w:sz w:val="22"/>
        </w:rPr>
        <w:t xml:space="preserve">■ </w:t>
      </w:r>
      <w:r>
        <w:rPr>
          <w:rFonts w:ascii="Aptos" w:hAnsi="Aptos"/>
          <w:color w:val="FF7900"/>
          <w:sz w:val="22"/>
        </w:rPr>
        <w:t>Einführung eines EMEA-weiten Policy- &amp; Claims-Reporting-Systems</w:t>
      </w:r>
    </w:p>
    <w:p>
      <w:pPr>
        <w:spacing w:before="0" w:after="0" w:line="240" w:lineRule="auto"/>
        <w:ind w:left="240"/>
      </w:pPr>
      <w:r>
        <w:rPr>
          <w:rFonts w:ascii="Aptos" w:hAnsi="Aptos"/>
          <w:color w:val="FF7900"/>
          <w:sz w:val="22"/>
        </w:rPr>
        <w:t xml:space="preserve">■ </w:t>
      </w:r>
      <w:r>
        <w:rPr>
          <w:rFonts w:ascii="Aptos" w:hAnsi="Aptos"/>
          <w:color w:val="FF7900"/>
          <w:sz w:val="22"/>
        </w:rPr>
        <w:t>Steuerung der BI-Aktivitäten inkl. Scrum-Setup</w:t>
      </w:r>
    </w:p>
    <w:p>
      <w:pPr>
        <w:spacing w:before="0" w:after="0" w:line="240" w:lineRule="auto"/>
        <w:ind w:left="240"/>
      </w:pPr>
      <w:r>
        <w:rPr>
          <w:rFonts w:ascii="Aptos" w:hAnsi="Aptos"/>
          <w:color w:val="FF7900"/>
          <w:sz w:val="22"/>
        </w:rPr>
        <w:t xml:space="preserve">■ </w:t>
      </w:r>
      <w:r>
        <w:rPr>
          <w:rFonts w:ascii="Aptos" w:hAnsi="Aptos"/>
          <w:color w:val="FF7900"/>
          <w:sz w:val="22"/>
        </w:rPr>
        <w:t>Aufbau einer globalen BI-Enterprise-Architektur</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