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Siemens Smart Infrastructure (via Randstad)</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60"/>
              <w:ind w:left="283"/>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60"/>
              <w:ind w:left="283"/>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60"/>
              <w:ind w:left="283"/>
            </w:pPr>
            <w:r>
              <w:rPr>
                <w:rFonts w:ascii="Aptos" w:hAnsi="Aptos"/>
                <w:color w:val="FF7900"/>
                <w:sz w:val="18"/>
              </w:rPr>
              <w:t xml:space="preserve">■ </w:t>
            </w:r>
            <w:r>
              <w:rPr>
                <w:rFonts w:ascii="Aptos" w:hAnsi="Aptos"/>
                <w:color w:val="000000"/>
                <w:sz w:val="22"/>
              </w:rPr>
              <w:t>Product Owner für eine Low-Code Shopfloor-Lösung</w:t>
            </w:r>
          </w:p>
          <w:p>
            <w:pPr>
              <w:spacing w:before="0" w:after="60"/>
              <w:ind w:left="283"/>
            </w:pPr>
            <w:r>
              <w:rPr>
                <w:rFonts w:ascii="Aptos" w:hAnsi="Aptos"/>
                <w:color w:val="FF7900"/>
                <w:sz w:val="18"/>
              </w:rPr>
              <w:t xml:space="preserve">■ </w:t>
            </w:r>
            <w:r>
              <w:rPr>
                <w:rFonts w:ascii="Aptos" w:hAnsi="Aptos"/>
                <w:color w:val="000000"/>
                <w:sz w:val="22"/>
              </w:rPr>
              <w:t>Aufbau und Leitung eines Nearshore-Teams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Kafka, Snowflake, Qlik, Power BI, Microsoft Power Platform</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SAFe, Scrum</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Swisscom Directories AG</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Head of Business Intelligence / Projektleiter</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60"/>
              <w:ind w:left="283"/>
            </w:pPr>
            <w:r>
              <w:rPr>
                <w:rFonts w:ascii="Aptos" w:hAnsi="Aptos"/>
                <w:color w:val="FF7900"/>
                <w:sz w:val="18"/>
              </w:rPr>
              <w:t xml:space="preserve">■ </w:t>
            </w:r>
            <w:r>
              <w:rPr>
                <w:rFonts w:ascii="Aptos" w:hAnsi="Aptos"/>
                <w:color w:val="000000"/>
                <w:sz w:val="22"/>
              </w:rPr>
              <w:t>Führung eines BI-Teams mit bis zu 10 Mitarbeitenden</w:t>
            </w:r>
          </w:p>
          <w:p>
            <w:pPr>
              <w:spacing w:before="0" w:after="60"/>
              <w:ind w:left="283"/>
            </w:pPr>
            <w:r>
              <w:rPr>
                <w:rFonts w:ascii="Aptos" w:hAnsi="Aptos"/>
                <w:color w:val="FF7900"/>
                <w:sz w:val="18"/>
              </w:rPr>
              <w:t xml:space="preserve">■ </w:t>
            </w:r>
            <w:r>
              <w:rPr>
                <w:rFonts w:ascii="Aptos" w:hAnsi="Aptos"/>
                <w:color w:val="000000"/>
                <w:sz w:val="22"/>
              </w:rPr>
              <w:t>Standardisierung und Automatisierung von Controlling-Prozessen</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MS SQL Server, Qlik Sense, Tableau</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Projektorientiert</w:t>
            </w:r>
          </w:p>
        </w:tc>
      </w:tr>
    </w:tbl>
    <w:p>
      <w:pPr>
        <w:spacing w:after="480"/>
      </w:pP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10540"/>
            <w:gridSpan w:val="2"/>
            <w:tcBorders>
              <w:top w:val="none" w:sz="0" w:space="0" w:color="auto"/>
              <w:left w:val="none" w:sz="0" w:space="0" w:color="auto"/>
              <w:bottom w:val="none" w:sz="0" w:space="0" w:color="auto"/>
              <w:right w:val="none" w:sz="0" w:space="0" w:color="auto"/>
            </w:tcBorders>
          </w:tcPr>
          <w:p>
            <w:pPr>
              <w:spacing w:before="0" w:after="60"/>
            </w:pPr>
            <w:r/>
            <w:r>
              <w:rPr>
                <w:rFonts w:ascii="Aptos" w:hAnsi="Aptos"/>
                <w:color w:val="444444"/>
                <w:sz w:val="22"/>
              </w:rPr>
              <w:t>Zurich Financial Services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Projektleiter und Business Analyst</w:t>
            </w:r>
          </w:p>
        </w:tc>
      </w:tr>
      <w:tr>
        <w:tc>
          <w:tcPr>
            <w:tcW w:type="dxa" w:w="10540"/>
            <w:gridSpan w:val="2"/>
            <w:tcBorders>
              <w:top w:val="none" w:sz="0" w:space="0" w:color="auto"/>
              <w:left w:val="none" w:sz="0" w:space="0" w:color="auto"/>
              <w:bottom w:val="none" w:sz="0" w:space="0" w:color="auto"/>
              <w:right w:val="none" w:sz="0" w:space="0" w:color="auto"/>
            </w:tcBorders>
          </w:tcPr>
          <w:p>
            <w:pPr>
              <w:spacing w:before="0" w:after="60"/>
              <w:ind w:left="283"/>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60"/>
              <w:ind w:left="283"/>
            </w:pPr>
            <w:r>
              <w:rPr>
                <w:rFonts w:ascii="Aptos" w:hAnsi="Aptos"/>
                <w:color w:val="FF7900"/>
                <w:sz w:val="18"/>
              </w:rPr>
              <w:t xml:space="preserve">■ </w:t>
            </w:r>
            <w:r>
              <w:rPr>
                <w:rFonts w:ascii="Aptos" w:hAnsi="Aptos"/>
                <w:color w:val="000000"/>
                <w:sz w:val="22"/>
              </w:rPr>
              <w:t>Steuerung der BI-Aktivitäten inkl. Scrum-Setup</w:t>
            </w:r>
          </w:p>
          <w:p>
            <w:pPr>
              <w:spacing w:before="0" w:after="60"/>
              <w:ind w:left="283"/>
            </w:pPr>
            <w:r>
              <w:rPr>
                <w:rFonts w:ascii="Aptos" w:hAnsi="Aptos"/>
                <w:color w:val="FF7900"/>
                <w:sz w:val="18"/>
              </w:rPr>
              <w:t xml:space="preserve">■ </w:t>
            </w:r>
            <w:r>
              <w:rPr>
                <w:rFonts w:ascii="Aptos" w:hAnsi="Aptos"/>
                <w:color w:val="000000"/>
                <w:sz w:val="22"/>
              </w:rPr>
              <w:t>Aufbau einer globalen BI-Enterprise-Architektur</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Technologien</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Qlik, MS SQL Server, SAS</w:t>
            </w:r>
          </w:p>
        </w:tc>
      </w:tr>
      <w:tr>
        <w:tc>
          <w:tcPr>
            <w:tcW w:type="dxa" w:w="2108"/>
            <w:tcBorders>
              <w:top w:val="none" w:sz="0" w:space="0" w:color="auto"/>
              <w:left w:val="none" w:sz="0" w:space="0" w:color="auto"/>
              <w:bottom w:val="none" w:sz="0" w:space="0" w:color="auto"/>
              <w:right w:val="none" w:sz="0" w:space="0" w:color="auto"/>
            </w:tcBorders>
          </w:tcPr>
          <w:p>
            <w:pPr>
              <w:spacing w:before="0" w:after="0"/>
            </w:pPr>
            <w:r/>
            <w:r>
              <w:rPr>
                <w:rFonts w:ascii="Aptos" w:hAnsi="Aptos"/>
                <w:b/>
                <w:color w:val="000000"/>
                <w:sz w:val="22"/>
              </w:rPr>
              <w:t>Methodik</w:t>
            </w:r>
          </w:p>
        </w:tc>
        <w:tc>
          <w:tcPr>
            <w:tcW w:type="dxa" w:w="8432"/>
            <w:tcBorders>
              <w:top w:val="none" w:sz="0" w:space="0" w:color="auto"/>
              <w:left w:val="none" w:sz="0" w:space="0" w:color="auto"/>
              <w:bottom w:val="none" w:sz="0" w:space="0" w:color="auto"/>
              <w:right w:val="none" w:sz="0" w:space="0" w:color="auto"/>
            </w:tcBorders>
          </w:tcPr>
          <w:p>
            <w:pPr>
              <w:spacing w:before="0" w:after="0"/>
            </w:pPr>
            <w:r/>
            <w:r>
              <w:rPr>
                <w:rFonts w:ascii="Aptos" w:hAnsi="Aptos"/>
                <w:color w:val="000000"/>
                <w:sz w:val="22"/>
              </w:rPr>
              <w:t>Scrum</w:t>
            </w:r>
          </w:p>
        </w:tc>
      </w:tr>
    </w:tbl>
    <w:p>
      <w:pPr>
        <w:spacing w:after="480"/>
      </w:pPr>
    </w:p>
    <w:sectPr w:rsidR="00FC693F" w:rsidRPr="0006063C" w:rsidSect="00034616">
      <w:head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4216"/>
      <w:gridCol w:w="1054"/>
      <w:gridCol w:w="5270"/>
    </w:tblGrid>
    <w:tr>
      <w:tc>
        <w:tcPr>
          <w:tcW w:type="dxa" w:w="3513"/>
          <w:tcBorders>
            <w:top w:val="none" w:sz="0" w:space="0" w:color="auto"/>
            <w:left w:val="none" w:sz="0" w:space="0" w:color="auto"/>
            <w:bottom w:val="none" w:sz="0" w:space="0" w:color="auto"/>
            <w:right w:val="none" w:sz="0" w:space="0" w:color="auto"/>
          </w:tcBorders>
        </w:tcPr>
        <w:p>
          <w:pPr>
            <w:jc w:val="left"/>
          </w:pPr>
          <w:r/>
        </w:p>
      </w:tc>
      <w:tc>
        <w:tcPr>
          <w:tcW w:type="dxa" w:w="3513"/>
          <w:tcBorders>
            <w:top w:val="none" w:sz="0" w:space="0" w:color="auto"/>
            <w:left w:val="none" w:sz="0" w:space="0" w:color="auto"/>
            <w:bottom w:val="none" w:sz="0" w:space="0" w:color="auto"/>
            <w:right w:val="none" w:sz="0" w:space="0" w:color="auto"/>
          </w:tcBorders>
        </w:tcPr>
        <w:p>
          <w:r/>
        </w:p>
      </w:tc>
      <w:tc>
        <w:tcPr>
          <w:tcW w:type="dxa" w:w="3513"/>
          <w:tcBorders>
            <w:top w:val="none" w:sz="0" w:space="0" w:color="auto"/>
            <w:left w:val="none" w:sz="0" w:space="0" w:color="auto"/>
            <w:bottom w:val="none" w:sz="0" w:space="0" w:color="auto"/>
            <w:right w:val="none" w:sz="0" w:space="0" w:color="auto"/>
          </w:tcBorders>
        </w:tcPr>
        <w:p>
          <w:pPr>
            <w:jc w:val="right"/>
          </w:pPr>
          <w:r/>
          <w:r>
            <w:rPr>
              <w:rFonts w:ascii="Aptos" w:hAnsi="Aptos"/>
              <w:color w:val="444444"/>
              <w:sz w:val="20"/>
            </w:rPr>
            <w:t>digital.orange-business.com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