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br w:type="page"/>
      </w:r>
    </w:p>
    <w:p>
      <w:r>
        <w:rPr>
          <w:rFonts w:ascii="Aptos" w:hAnsi="Aptos"/>
          <w:b/>
          <w:color w:val="FF7900"/>
          <w:sz w:val="32"/>
        </w:rPr>
        <w:t>Ausgewählte Referenzprojekte</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Siemens Smart Infrastructure (via Randstad)</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2019 - 2025</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Leitung internationaler Digitalisierungs- und Datenprojekte</w:t>
            </w:r>
          </w:p>
          <w:p>
            <w:pPr>
              <w:spacing w:before="0" w:after="60"/>
              <w:ind w:left="283"/>
            </w:pPr>
            <w:r>
              <w:rPr>
                <w:rFonts w:ascii="Aptos" w:hAnsi="Aptos"/>
                <w:color w:val="FF7900"/>
                <w:sz w:val="18"/>
              </w:rPr>
              <w:t xml:space="preserve">■ </w:t>
            </w:r>
            <w:r>
              <w:rPr>
                <w:rFonts w:ascii="Aptos" w:hAnsi="Aptos"/>
                <w:color w:val="000000"/>
                <w:sz w:val="22"/>
              </w:rPr>
              <w:t>Projektleiter der Datenmodernisierung mit Kafka, Snowflake, Qlik und Power BI</w:t>
            </w:r>
          </w:p>
          <w:p>
            <w:pPr>
              <w:spacing w:before="0" w:after="60"/>
              <w:ind w:left="283"/>
            </w:pPr>
            <w:r>
              <w:rPr>
                <w:rFonts w:ascii="Aptos" w:hAnsi="Aptos"/>
                <w:color w:val="FF7900"/>
                <w:sz w:val="18"/>
              </w:rPr>
              <w:t xml:space="preserve">■ </w:t>
            </w:r>
            <w:r>
              <w:rPr>
                <w:rFonts w:ascii="Aptos" w:hAnsi="Aptos"/>
                <w:color w:val="000000"/>
                <w:sz w:val="22"/>
              </w:rPr>
              <w:t>Verantwortung für die Factory Data Cloud über mehrere Werke</w:t>
            </w:r>
          </w:p>
          <w:p>
            <w:pPr>
              <w:spacing w:before="0" w:after="60"/>
              <w:ind w:left="283"/>
            </w:pPr>
            <w:r>
              <w:rPr>
                <w:rFonts w:ascii="Aptos" w:hAnsi="Aptos"/>
                <w:color w:val="FF7900"/>
                <w:sz w:val="18"/>
              </w:rPr>
              <w:t xml:space="preserve">■ </w:t>
            </w:r>
            <w:r>
              <w:rPr>
                <w:rFonts w:ascii="Aptos" w:hAnsi="Aptos"/>
                <w:color w:val="000000"/>
                <w:sz w:val="22"/>
              </w:rPr>
              <w:t>Product Owner für eine Low-Code Shopfloor-Lösung</w:t>
            </w:r>
          </w:p>
          <w:p>
            <w:pPr>
              <w:spacing w:before="0" w:after="60"/>
              <w:ind w:left="283"/>
            </w:pPr>
            <w:r>
              <w:rPr>
                <w:rFonts w:ascii="Aptos" w:hAnsi="Aptos"/>
                <w:color w:val="FF7900"/>
                <w:sz w:val="18"/>
              </w:rPr>
              <w:t xml:space="preserve">■ </w:t>
            </w:r>
            <w:r>
              <w:rPr>
                <w:rFonts w:ascii="Aptos" w:hAnsi="Aptos"/>
                <w:color w:val="000000"/>
                <w:sz w:val="22"/>
              </w:rPr>
              <w:t>Aufbau und Leitung eines Nearshore-Teams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Kafka, Snowflake, Qlik, Power BI, Microsoft Power Platform</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SAFe, Scrum</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Swisscom Directories AG</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2016 - 2019</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Head of Business Intelligence / 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Entwicklung einer unternehmensweiten BI-Strategie nach IBCS-Standards</w:t>
            </w:r>
          </w:p>
          <w:p>
            <w:pPr>
              <w:spacing w:before="0" w:after="60"/>
              <w:ind w:left="283"/>
            </w:pPr>
            <w:r>
              <w:rPr>
                <w:rFonts w:ascii="Aptos" w:hAnsi="Aptos"/>
                <w:color w:val="FF7900"/>
                <w:sz w:val="18"/>
              </w:rPr>
              <w:t xml:space="preserve">■ </w:t>
            </w:r>
            <w:r>
              <w:rPr>
                <w:rFonts w:ascii="Aptos" w:hAnsi="Aptos"/>
                <w:color w:val="000000"/>
                <w:sz w:val="22"/>
              </w:rPr>
              <w:t>Führung eines BI-Teams mit bis zu 10 Mitarbeitenden</w:t>
            </w:r>
          </w:p>
          <w:p>
            <w:pPr>
              <w:spacing w:before="0" w:after="60"/>
              <w:ind w:left="283"/>
            </w:pPr>
            <w:r>
              <w:rPr>
                <w:rFonts w:ascii="Aptos" w:hAnsi="Aptos"/>
                <w:color w:val="FF7900"/>
                <w:sz w:val="18"/>
              </w:rPr>
              <w:t xml:space="preserve">■ </w:t>
            </w:r>
            <w:r>
              <w:rPr>
                <w:rFonts w:ascii="Aptos" w:hAnsi="Aptos"/>
                <w:color w:val="000000"/>
                <w:sz w:val="22"/>
              </w:rPr>
              <w:t>Standardisierung und Automatisierung von Controlling-Prozessen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MS SQL Server, Qlik Sense, Tableau</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Projektorientiert</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Zurich Financial Services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2012 - 2016</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 und Business Analyst</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Einführung eines EMEA-weiten Policy- &amp; Claims-Reporting-Systems</w:t>
            </w:r>
          </w:p>
          <w:p>
            <w:pPr>
              <w:spacing w:before="0" w:after="60"/>
              <w:ind w:left="283"/>
            </w:pPr>
            <w:r>
              <w:rPr>
                <w:rFonts w:ascii="Aptos" w:hAnsi="Aptos"/>
                <w:color w:val="FF7900"/>
                <w:sz w:val="18"/>
              </w:rPr>
              <w:t xml:space="preserve">■ </w:t>
            </w:r>
            <w:r>
              <w:rPr>
                <w:rFonts w:ascii="Aptos" w:hAnsi="Aptos"/>
                <w:color w:val="000000"/>
                <w:sz w:val="22"/>
              </w:rPr>
              <w:t>Steuerung der BI-Aktivitäten inkl. Scrum-Setup</w:t>
            </w:r>
          </w:p>
          <w:p>
            <w:pPr>
              <w:spacing w:before="0" w:after="60"/>
              <w:ind w:left="283"/>
            </w:pPr>
            <w:r>
              <w:rPr>
                <w:rFonts w:ascii="Aptos" w:hAnsi="Aptos"/>
                <w:color w:val="FF7900"/>
                <w:sz w:val="18"/>
              </w:rPr>
              <w:t xml:space="preserve">■ </w:t>
            </w:r>
            <w:r>
              <w:rPr>
                <w:rFonts w:ascii="Aptos" w:hAnsi="Aptos"/>
                <w:color w:val="000000"/>
                <w:sz w:val="22"/>
              </w:rPr>
              <w:t>Aufbau einer globalen BI-Enterprise-Architektur</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Qlik, MS SQL Server, SAS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Scrum</w:t>
            </w:r>
          </w:p>
        </w:tc>
      </w:tr>
    </w:tbl>
    <w:p>
      <w:pPr>
        <w:spacing w:after="480"/>
      </w:pPr>
    </w:p>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4216"/>
      <w:gridCol w:w="1054"/>
      <w:gridCol w:w="5270"/>
    </w:tblGrid>
    <w:tr>
      <w:tc>
        <w:tcPr>
          <w:tcW w:type="dxa" w:w="3513"/>
          <w:tcBorders>
            <w:top w:val="none" w:sz="0" w:space="0" w:color="auto"/>
            <w:left w:val="none" w:sz="0" w:space="0" w:color="auto"/>
            <w:bottom w:val="none" w:sz="0" w:space="0" w:color="auto"/>
            <w:right w:val="none" w:sz="0" w:space="0" w:color="auto"/>
          </w:tcBorders>
        </w:tcPr>
        <w:p>
          <w:pPr>
            <w:jc w:val="left"/>
          </w:pPr>
          <w:r/>
          <w:r>
            <w:drawing>
              <wp:inline xmlns:a="http://schemas.openxmlformats.org/drawingml/2006/main" xmlns:pic="http://schemas.openxmlformats.org/drawingml/2006/picture">
                <wp:extent cx="1440000" cy="540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440000" cy="540000"/>
                        </a:xfrm>
                        <a:prstGeom prst="rect"/>
                      </pic:spPr>
                    </pic:pic>
                  </a:graphicData>
                </a:graphic>
              </wp:inline>
            </w:drawing>
          </w:r>
        </w:p>
      </w:tc>
      <w:tc>
        <w:tcPr>
          <w:tcW w:type="dxa" w:w="3513"/>
          <w:tcBorders>
            <w:top w:val="none" w:sz="0" w:space="0" w:color="auto"/>
            <w:left w:val="none" w:sz="0" w:space="0" w:color="auto"/>
            <w:bottom w:val="none" w:sz="0" w:space="0" w:color="auto"/>
            <w:right w:val="none" w:sz="0" w:space="0" w:color="auto"/>
          </w:tcBorders>
        </w:tcPr>
        <w:p>
          <w:r/>
        </w:p>
      </w:tc>
      <w:tc>
        <w:tcPr>
          <w:tcW w:type="dxa" w:w="3513"/>
          <w:tcBorders>
            <w:top w:val="none" w:sz="0" w:space="0" w:color="auto"/>
            <w:left w:val="none" w:sz="0" w:space="0" w:color="auto"/>
            <w:bottom w:val="none" w:sz="0" w:space="0" w:color="auto"/>
            <w:right w:val="none" w:sz="0" w:space="0" w:color="auto"/>
          </w:tcBorders>
        </w:tcPr>
        <w:p>
          <w:pPr>
            <w:jc w:val="right"/>
          </w:pPr>
          <w:r/>
          <w:r>
            <w:rPr>
              <w:rFonts w:ascii="Aptos" w:hAnsi="Aptos"/>
              <w:color w:val="FF7900"/>
              <w:sz w:val="20"/>
            </w:rPr>
            <w:t>digital.orange-business.com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