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Marco Rieben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Hauptrolle: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Projektleiter und Product Owner Analytics</w:t>
            </w:r>
          </w:p>
        </w:tc>
        <w:tc>
          <w:tcPr>
            <w:tcW w:type="dxa" w:w="316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EINFÜGEN</w:t>
            </w:r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Schweiz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Hauptausbildung: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Erfahrener Projektleiter und Product Owner für digitale Produkte, Daten- und Transformationsinitiativen. Langjährige Erfahrung in der End-to-End-Umsetzung von Analytics- und BI-Projekten – von der Anforderungserhebung über Architektur und Entwicklung bis zum produktiven Betrieb. Starker Fokus auf Qualität, Nutzerfokus, nachhaltigen Business-Mehrwert sowie Führung internationaler Near- und Offshore-Teams.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2018 - 2019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  <w:br/>
            </w:r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2017 - 2018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  <w:br/>
            </w:r>
            <w:r>
              <w:rPr>
                <w:rFonts w:ascii="Aptos" w:hAnsi="Aptos"/>
                <w:color w:val="000000"/>
                <w:sz w:val="22"/>
              </w:rPr>
              <w:t>Projektmanagement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Fachhochschule Nordwestschweiz FHNW</w:t>
              <w:br/>
            </w:r>
            <w:r>
              <w:rPr>
                <w:rFonts w:ascii="Aptos" w:hAnsi="Aptos"/>
                <w:color w:val="000000"/>
                <w:sz w:val="22"/>
              </w:rPr>
              <w:t>CAS Kostenmanagement und Controlling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2003 - 2006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Texas at San Antonio</w:t>
              <w:br/>
            </w:r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 / Business Analysis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AI Foundations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Italienisch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</w:tr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Spanisch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Französisch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r>
        <w:br w:type="page"/>
      </w:r>
    </w:p>
    <w:p>
      <w:r>
        <w:rPr>
          <w:rFonts w:ascii="Aptos" w:hAnsi="Aptos"/>
          <w:b/>
          <w:color w:val="FF7900"/>
          <w:sz w:val="32"/>
        </w:rPr>
        <w:t>Ausgewählte Referenzprojekte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360" w:after="12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Siemens Smart Infrastructure (via Randstad)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360" w:after="12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01/2019 - 12/2025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360" w:after="12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Projektleiter / Product Owner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Leitung internationaler Digitalisierungs- und Datenprojekte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Datenmodernisierung mit Analytics- und ML-Anwendungsfällen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Führung von Near- und Offshore-Teams (5–10 Entwickler)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Stakeholder- und Budgetverantwortung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Einführung und Anwendung agiler Methoden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Kafka, Snowflake, Qlik, Power BI, Microsoft Power Platform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SAFe, Scrum, Agile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360" w:after="12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Swisscom Directories AG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360" w:after="12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01/2016 - 12/2019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360" w:after="12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Head of Business Intelligence / Projektleiter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Entwicklung einer unternehmensweiten BI-Strategie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Führung eines BI-Teams (Entwickler und Analysten)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End-to-End BI- und Planungsprojekte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Standardisierung und Automatisierung von Controlling-Prozessen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MS SQL Server, Qlik Sense, Tableau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Projektmanagement, Agile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360" w:after="12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Zurich Financial Services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360" w:after="12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01/2012 - 12/2016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360" w:after="12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Projektleiter / Business Analyst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Einführung eines EMEA-weiten Policy- &amp; Claims-Reporting-Systems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Steuerung von BI-Aktivitäten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Stakeholder-Management in Finance und Aktuariat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Aufbau einer globalen BI-Enterprise-Architektur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SAS, Qlik, SAP BW, SAP BO, SAP BPC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Scrum, Projektmanagement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360" w:after="12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Capgemini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360" w:after="12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01/2012 - 12/2014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360" w:after="12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Senior Consultant / Head of BI (Qlik Practice)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Aufbau einer QlikView-Abteilung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Etablierung eines BI-Offshore-Competence-Centers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Leitung von RFP- und Presales-Aktivitäten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Umsetzung von Enterprise-BI-Projekten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QlikView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Projektmanagement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360" w:after="12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Business &amp; Decision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360" w:after="12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01/2008 - 12/2012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360" w:after="12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Business Intelligence Consultant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BI- und Analytics-Beratung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Kundenworkshops und Presales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Lösungsdesign für Reporting und Planung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MS SQL Server, Qlik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Beratung, Projektmanagement</w:t>
            </w:r>
          </w:p>
        </w:tc>
      </w:tr>
    </w:tbl>
    <w:p>
      <w:pPr>
        <w:spacing w:after="480"/>
      </w:pPr>
    </w:p>
    <w:sectPr w:rsidR="00FC693F" w:rsidRPr="0006063C" w:rsidSect="00034616">
      <w:head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ook w:firstColumn="1" w:firstRow="1" w:lastColumn="0" w:lastRow="0" w:noHBand="0" w:noVBand="1" w:val="04A0"/>
      <w:t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orders>
    </w:tblPr>
    <w:tblGrid>
      <w:gridCol w:w="4216"/>
      <w:gridCol w:w="1054"/>
      <w:gridCol w:w="5270"/>
    </w:tblGrid>
    <w:tr>
      <w:tc>
        <w:tcPr>
          <w:tcW w:type="dxa" w:w="3513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left"/>
          </w:pPr>
          <w:r/>
          <w:r>
            <w:drawing>
              <wp:inline xmlns:a="http://schemas.openxmlformats.org/drawingml/2006/main" xmlns:pic="http://schemas.openxmlformats.org/drawingml/2006/picture">
                <wp:extent cx="1440000" cy="4970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4970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513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r/>
        </w:p>
      </w:tc>
      <w:tc>
        <w:tcPr>
          <w:tcW w:type="dxa" w:w="3513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right"/>
          </w:pPr>
          <w:r/>
          <w:r>
            <w:rPr>
              <w:rFonts w:ascii="Aptos" w:hAnsi="Aptos"/>
              <w:color w:val="FF7900"/>
              <w:sz w:val="20"/>
            </w:rPr>
            <w:t>digital.orange-business.com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