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 Product Owner | Data &amp; Transformation</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Als erfahrener Product Owner und Projektleiter für digitale Produkte und Transformationsinitiativen kombiniere ich analytisches Denken mit einem teamorientierten Führungsstil. Ich begleite Projekte von der Anforderung bis zur Umsetzung und lege Wert auf Qualität, Nutzerfokus und nachhaltigen Mehrwert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 P.M.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Qlik</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Zertifikat</w:t>
            </w:r>
          </w:p>
        </w:tc>
      </w:tr>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Power BI</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Zertifikat</w:t>
            </w:r>
          </w:p>
        </w:tc>
      </w:tr>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Tableau</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Zertifikat</w:t>
            </w:r>
          </w:p>
        </w:tc>
      </w:tr>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IREB</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Req. Engineering / Business Analysis</w:t>
            </w:r>
          </w:p>
        </w:tc>
      </w:tr>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Microsoft</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b/>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 mit Verantwortung für Planung, Budget und Qualität.</w:t>
            </w:r>
          </w:p>
          <w:p>
            <w:pPr>
              <w:spacing w:before="0" w:after="60"/>
              <w:ind w:left="283"/>
            </w:pPr>
            <w:r>
              <w:rPr>
                <w:rFonts w:ascii="Aptos" w:hAnsi="Aptos"/>
                <w:color w:val="FF7900"/>
                <w:sz w:val="18"/>
              </w:rPr>
              <w:t xml:space="preserve">■ </w:t>
            </w:r>
            <w:r>
              <w:rPr>
                <w:rFonts w:ascii="Aptos" w:hAnsi="Aptos"/>
                <w:color w:val="000000"/>
                <w:sz w:val="22"/>
              </w:rPr>
              <w:t>Führung von 5 –10 Entwicklern an Nearshore- und Offshore-Standorten.</w:t>
            </w:r>
          </w:p>
          <w:p>
            <w:pPr>
              <w:spacing w:before="0" w:after="60"/>
              <w:ind w:left="283"/>
            </w:pPr>
            <w:r>
              <w:rPr>
                <w:rFonts w:ascii="Aptos" w:hAnsi="Aptos"/>
                <w:color w:val="FF7900"/>
                <w:sz w:val="18"/>
              </w:rPr>
              <w:t xml:space="preserve">■ </w:t>
            </w:r>
            <w:r>
              <w:rPr>
                <w:rFonts w:ascii="Aptos" w:hAnsi="Aptos"/>
                <w:color w:val="000000"/>
                <w:sz w:val="22"/>
              </w:rPr>
              <w:t>Enge Abstimmung mit Fachbereichen und Stakeholder Management.</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neun Werke mit Analytics- und ML-Anwendungsfällen.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b/>
                <w:color w:val="444444"/>
                <w:sz w:val="22"/>
              </w:rPr>
              <w:t>SWISSCO 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und Umsetzung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Teams von 10 BI-Entwicklern und -Analysten (MS SQL Server, Qlik Sense, Tableau).</w:t>
            </w:r>
          </w:p>
          <w:p>
            <w:pPr>
              <w:spacing w:before="0" w:after="60"/>
              <w:ind w:left="283"/>
            </w:pPr>
            <w:r>
              <w:rPr>
                <w:rFonts w:ascii="Aptos" w:hAnsi="Aptos"/>
                <w:color w:val="FF7900"/>
                <w:sz w:val="18"/>
              </w:rPr>
              <w:t xml:space="preserve">■ </w:t>
            </w:r>
            <w:r>
              <w:rPr>
                <w:rFonts w:ascii="Aptos" w:hAnsi="Aptos"/>
                <w:color w:val="000000"/>
                <w:sz w:val="22"/>
              </w:rPr>
              <w:t>Verantwortung für End-to-End BI- und Planungsprojekte zur Standardisierung und Automatisierung von Controlling-Prozessen.</w:t>
            </w:r>
          </w:p>
          <w:p>
            <w:pPr>
              <w:spacing w:before="0" w:after="60"/>
              <w:ind w:left="283"/>
            </w:pPr>
            <w:r>
              <w:rPr>
                <w:rFonts w:ascii="Aptos" w:hAnsi="Aptos"/>
                <w:color w:val="FF7900"/>
                <w:sz w:val="18"/>
              </w:rPr>
              <w:t xml:space="preserve">■ </w:t>
            </w:r>
            <w:r>
              <w:rPr>
                <w:rFonts w:ascii="Aptos" w:hAnsi="Aptos"/>
                <w:color w:val="000000"/>
                <w:sz w:val="22"/>
              </w:rPr>
              <w:t>Etablierung einer datenorientierten Unternehmenskultur.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b/>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 und Koordination.</w:t>
            </w:r>
          </w:p>
          <w:p>
            <w:pPr>
              <w:spacing w:before="0" w:after="60"/>
              <w:ind w:left="283"/>
            </w:pPr>
            <w:r>
              <w:rPr>
                <w:rFonts w:ascii="Aptos" w:hAnsi="Aptos"/>
                <w:color w:val="FF7900"/>
                <w:sz w:val="18"/>
              </w:rPr>
              <w:t xml:space="preserve">■ </w:t>
            </w:r>
            <w:r>
              <w:rPr>
                <w:rFonts w:ascii="Aptos" w:hAnsi="Aptos"/>
                <w:color w:val="000000"/>
                <w:sz w:val="22"/>
              </w:rPr>
              <w:t>Stakeholder-Management für Finanzen, Aktuariat und Schaden.</w:t>
            </w:r>
          </w:p>
          <w:p>
            <w:pPr>
              <w:spacing w:before="0" w:after="60"/>
              <w:ind w:left="283"/>
            </w:pPr>
            <w:r>
              <w:rPr>
                <w:rFonts w:ascii="Aptos" w:hAnsi="Aptos"/>
                <w:color w:val="FF7900"/>
                <w:sz w:val="18"/>
              </w:rPr>
              <w:t xml:space="preserve">■ </w:t>
            </w:r>
            <w:r>
              <w:rPr>
                <w:rFonts w:ascii="Aptos" w:hAnsi="Aptos"/>
                <w:color w:val="000000"/>
                <w:sz w:val="22"/>
              </w:rPr>
              <w:t>Aufbau der globalen BI-Enterprise-Architektur inkl. Integration der russischen Gesellschaft ins Reporting.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b/>
                <w:color w:val="444444"/>
                <w:sz w:val="22"/>
              </w:rPr>
              <w:t>CAPGEMINI</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2012 – 2014</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Senior Consultant / Head of Business Intelligence (Qlik Practice)</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Aufbau der QlikView-Abteilung sowie Etablierung eines BI Offshore Competence Centers.</w:t>
            </w:r>
          </w:p>
          <w:p>
            <w:pPr>
              <w:spacing w:before="0" w:after="60"/>
              <w:ind w:left="283"/>
            </w:pPr>
            <w:r>
              <w:rPr>
                <w:rFonts w:ascii="Aptos" w:hAnsi="Aptos"/>
                <w:color w:val="FF7900"/>
                <w:sz w:val="18"/>
              </w:rPr>
              <w:t xml:space="preserve">■ </w:t>
            </w:r>
            <w:r>
              <w:rPr>
                <w:rFonts w:ascii="Aptos" w:hAnsi="Aptos"/>
                <w:color w:val="000000"/>
                <w:sz w:val="22"/>
              </w:rPr>
              <w:t>Leitung von Projektakquisitionen, RFP-Prozessen und Enterprise-BI-Projekten bei Key Accounts.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b/>
                <w:color w:val="444444"/>
                <w:sz w:val="22"/>
              </w:rPr>
              <w:t>BUSINESS &amp; DECISION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2008 – 2012</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444444"/>
                <w:sz w:val="22"/>
              </w:rPr>
              <w:t>Business Intelligence Consultant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Beratung in BI-/Analytics-Themen in den Bereichen Finanzen, HR, Vertrieb, Planung und Konsolidierung.</w:t>
            </w:r>
          </w:p>
          <w:p>
            <w:pPr>
              <w:spacing w:before="0" w:after="60"/>
              <w:ind w:left="283"/>
            </w:pPr>
            <w:r>
              <w:rPr>
                <w:rFonts w:ascii="Aptos" w:hAnsi="Aptos"/>
                <w:color w:val="FF7900"/>
                <w:sz w:val="18"/>
              </w:rPr>
              <w:t xml:space="preserve">■ </w:t>
            </w:r>
            <w:r>
              <w:rPr>
                <w:rFonts w:ascii="Aptos" w:hAnsi="Aptos"/>
                <w:color w:val="000000"/>
                <w:sz w:val="22"/>
              </w:rPr>
              <w:t>Leitung von Pre-Sales und Durchführung von Kundenworkshops zur Erarbeitung von BI-Lösungen.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highlight w:val="yellow"/>
              </w:rPr>
              <w:t>! fehlt – bitte prüfen!</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4216"/>
      <w:gridCol w:w="1054"/>
      <w:gridCol w:w="5270"/>
    </w:tblGrid>
    <w:tr>
      <w:tc>
        <w:tcPr>
          <w:tcW w:type="dxa" w:w="3513"/>
          <w:tcBorders>
            <w:top w:val="none" w:sz="0" w:space="0" w:color="auto"/>
            <w:left w:val="none" w:sz="0" w:space="0" w:color="auto"/>
            <w:bottom w:val="none" w:sz="0" w:space="0" w:color="auto"/>
            <w:right w:val="none" w:sz="0" w:space="0" w:color="auto"/>
          </w:tcBorders>
        </w:tcPr>
        <w:p>
          <w:pPr>
            <w:jc w:val="left"/>
          </w:pPr>
          <w:r/>
          <w:r>
            <w:drawing>
              <wp:inline xmlns:a="http://schemas.openxmlformats.org/drawingml/2006/main" xmlns:pic="http://schemas.openxmlformats.org/drawingml/2006/picture">
                <wp:extent cx="1440000" cy="497088"/>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440000" cy="497088"/>
                        </a:xfrm>
                        <a:prstGeom prst="rect"/>
                      </pic:spPr>
                    </pic:pic>
                  </a:graphicData>
                </a:graphic>
              </wp:inline>
            </w:drawing>
          </w:r>
        </w:p>
      </w:tc>
      <w:tc>
        <w:tcPr>
          <w:tcW w:type="dxa" w:w="3513"/>
          <w:tcBorders>
            <w:top w:val="none" w:sz="0" w:space="0" w:color="auto"/>
            <w:left w:val="none" w:sz="0" w:space="0" w:color="auto"/>
            <w:bottom w:val="none" w:sz="0" w:space="0" w:color="auto"/>
            <w:right w:val="none" w:sz="0" w:space="0" w:color="auto"/>
          </w:tcBorders>
        </w:tcPr>
        <w:p>
          <w:r/>
        </w:p>
      </w:tc>
      <w:tc>
        <w:tcPr>
          <w:tcW w:type="dxa" w:w="3513"/>
          <w:tcBorders>
            <w:top w:val="none" w:sz="0" w:space="0" w:color="auto"/>
            <w:left w:val="none" w:sz="0" w:space="0" w:color="auto"/>
            <w:bottom w:val="none" w:sz="0" w:space="0" w:color="auto"/>
            <w:right w:val="none" w:sz="0" w:space="0" w:color="auto"/>
          </w:tcBorders>
        </w:tcPr>
        <w:p>
          <w:pPr>
            <w:jc w:val="right"/>
          </w:pPr>
          <w:r/>
          <w:r>
            <w:rPr>
              <w:rFonts w:ascii="Aptos" w:hAnsi="Aptos"/>
              <w:color w:val="FF7900"/>
              <w:sz w:val="20"/>
            </w:rPr>
            <w:t>digital.orange-business.com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