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FF7900"/>
          <w:sz w:val="32"/>
        </w:rPr>
        <w:t>Marco Rieben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Hauptrolle: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Projektleiter und Product Owner Analytics</w:t>
            </w:r>
          </w:p>
        </w:tc>
        <w:tc>
          <w:tcPr>
            <w:tcW w:type="dxa" w:w="3162"/>
            <w:shd w:fill="FFFFFF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BILD EINFÜGEN</w:t>
            </w:r>
          </w:p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Nationalität: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Schweiz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05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b/>
                <w:color w:val="000000"/>
                <w:sz w:val="22"/>
              </w:rPr>
              <w:t>Hauptausbildung:</w:t>
            </w:r>
          </w:p>
        </w:tc>
        <w:tc>
          <w:tcPr>
            <w:tcW w:type="dxa" w:w="6324"/>
            <w:shd w:fill="FFFFFF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  <w:tc>
          <w:tcPr>
            <w:tcW w:type="dxa" w:w="3162"/>
            <w:shd w:fill="FFFFFF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r>
        <w:rPr>
          <w:rFonts w:ascii="Aptos" w:hAnsi="Aptos"/>
          <w:b/>
          <w:color w:val="FF7900"/>
          <w:sz w:val="32"/>
        </w:rPr>
        <w:t>Kurzprofil</w:t>
      </w:r>
    </w:p>
    <w:p>
      <w:r>
        <w:rPr>
          <w:rFonts w:ascii="Aptos" w:hAnsi="Aptos"/>
          <w:color w:val="000000"/>
          <w:sz w:val="22"/>
        </w:rPr>
        <w:t>Erfahrener Projektleiter und Product Owner für digitale Produkte, Daten- und Transformationsinitiativen. Langjährige Erfahrung in der End-to-End-Umsetzung von Analytics- und BI-Projekten – von der Anforderungserhebung über Architektur und Entwicklung bis zum produktiven Betrieb. Starker Fokus auf Qualität, Nutzerfokus, nachhaltigen Business-Mehrwert sowie Führung internationaler Near- und Offshore-Teams.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Fachwissen &amp; Schwerpunkte</w:t>
      </w:r>
    </w:p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Aus- und Weiterbildung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2018 - 2019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  <w:br/>
            </w:r>
            <w:r>
              <w:rPr>
                <w:rFonts w:ascii="Aptos" w:hAnsi="Aptos"/>
                <w:color w:val="000000"/>
                <w:sz w:val="22"/>
              </w:rPr>
              <w:t>Professional Program in Data Science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2017 - 2018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ETH Zürich</w:t>
              <w:br/>
            </w:r>
            <w:r>
              <w:rPr>
                <w:rFonts w:ascii="Aptos" w:hAnsi="Aptos"/>
                <w:color w:val="000000"/>
                <w:sz w:val="22"/>
              </w:rPr>
              <w:t>Projektmanagement – Agile Software Development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2011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Fachhochschule Nordwestschweiz FHNW</w:t>
              <w:br/>
            </w:r>
            <w:r>
              <w:rPr>
                <w:rFonts w:ascii="Aptos" w:hAnsi="Aptos"/>
                <w:color w:val="000000"/>
                <w:sz w:val="22"/>
              </w:rPr>
              <w:t>CAS Kostenmanagement und Controlling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/>
            <w:r>
              <w:rPr>
                <w:rFonts w:ascii="Aptos" w:hAnsi="Aptos"/>
                <w:color w:val="000000"/>
                <w:sz w:val="22"/>
              </w:rPr>
              <w:t>2003 - 2006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12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University of Texas at San Antonio</w:t>
              <w:br/>
            </w:r>
            <w:r>
              <w:rPr>
                <w:rFonts w:ascii="Aptos" w:hAnsi="Aptos"/>
                <w:color w:val="000000"/>
                <w:sz w:val="22"/>
              </w:rPr>
              <w:t>Bachelor of Business Administration – Economics and International Business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Trainings &amp; Zertifizierungen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3513"/>
        <w:gridCol w:w="3513"/>
        <w:gridCol w:w="3513"/>
      </w:tblGrid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IREB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Requirements Engineering / Business Analysis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  <w:highlight w:val="yellow"/>
              </w:rPr>
              <w:t>! fehlt – bitte prüfen!</w:t>
            </w:r>
          </w:p>
        </w:tc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Microsoft</w:t>
            </w:r>
          </w:p>
        </w:tc>
        <w:tc>
          <w:tcPr>
            <w:tcW w:type="dxa" w:w="632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60"/>
            </w:pPr>
            <w:r/>
            <w:r>
              <w:rPr>
                <w:rFonts w:ascii="Aptos" w:hAnsi="Aptos"/>
                <w:color w:val="000000"/>
                <w:sz w:val="22"/>
              </w:rPr>
              <w:t>AI Foundations</w:t>
            </w:r>
          </w:p>
        </w:tc>
      </w:tr>
    </w:tbl>
    <w:p>
      <w:pPr>
        <w:spacing w:before="360" w:after="120"/>
      </w:pPr>
      <w:r>
        <w:rPr>
          <w:rFonts w:ascii="Aptos" w:hAnsi="Aptos"/>
          <w:b/>
          <w:color w:val="444444"/>
          <w:sz w:val="22"/>
        </w:rPr>
        <w:t>Sprachen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Deutsch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Englisch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Italienisch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</w:tr>
      <w:tr>
        <w:trPr>
          <w:trHeight w:val="360" w:hRule="exact"/>
        </w:trPr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Spanisch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000000"/>
                <w:sz w:val="22"/>
              </w:rPr>
              <w:t>Französisch</w:t>
            </w:r>
          </w:p>
        </w:tc>
        <w:tc>
          <w:tcPr>
            <w:tcW w:type="dxa" w:w="1757"/>
          </w:tcPr>
          <w:p>
            <w:pPr>
              <w:spacing w:line="192" w:lineRule="auto"/>
            </w:pPr>
            <w:r/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FF7900"/>
                <w:sz w:val="22"/>
              </w:rPr>
              <w:t>★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  <w:r>
              <w:rPr>
                <w:rFonts w:ascii="Aptos" w:hAnsi="Aptos"/>
                <w:color w:val="808080"/>
                <w:sz w:val="22"/>
              </w:rPr>
              <w:t>☆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>
      <w:r>
        <w:br w:type="page"/>
      </w:r>
    </w:p>
    <w:p>
      <w:r>
        <w:rPr>
          <w:rFonts w:ascii="Aptos" w:hAnsi="Aptos"/>
          <w:b/>
          <w:color w:val="FF7900"/>
          <w:sz w:val="32"/>
        </w:rPr>
        <w:t>Ausgewählte Referenzprojekte</w:t>
      </w: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Siemens Smart Infrastructure (via Randstad)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444444"/>
                <w:sz w:val="22"/>
              </w:rPr>
              <w:t>01/2019 - 12/2025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444444"/>
                <w:sz w:val="22"/>
              </w:rPr>
              <w:t>Projektleiter / Product Owner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Leitung internationaler Digitalisierungs- und Datenprojekte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Datenmodernisierung mit Analytics- und ML-Anwendungsfällen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Führung von Near- und Offshore-Teams (5–10 Entwickler)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Stakeholder- und Budgetverantwortung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Einführung und Anwendung agiler Methoden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Kafka, Snowflake, Qlik, Power BI, Microsoft Power Platform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SAFe, Scrum, Agile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Swisscom Directories AG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444444"/>
                <w:sz w:val="22"/>
              </w:rPr>
              <w:t>01/2016 - 12/2019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444444"/>
                <w:sz w:val="22"/>
              </w:rPr>
              <w:t>Head of Business Intelligence / Projektleiter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Entwicklung einer unternehmensweiten BI-Strategie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Führung eines BI-Teams (Entwickler und Analysten)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End-to-End BI- und Planungsprojekte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Standardisierung und Automatisierung von Controlling-Prozessen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MS SQL Server, Qlik Sense, Tableau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Projektmanagement, Agile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Zurich Financial Services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444444"/>
                <w:sz w:val="22"/>
              </w:rPr>
              <w:t>01/2012 - 12/2016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444444"/>
                <w:sz w:val="22"/>
              </w:rPr>
              <w:t>Projektleiter / Business Analyst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Einführung eines EMEA-weiten Policy- &amp; Claims-Reporting-Systems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Steuerung von BI-Aktivitäten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Stakeholder-Management in Finance und Aktuariat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Aufbau einer globalen BI-Enterprise-Architektur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SAS, Qlik, SAP BW, SAP BO, SAP BPC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Scrum, Projektmanagement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Capgemini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444444"/>
                <w:sz w:val="22"/>
              </w:rPr>
              <w:t>01/2012 - 12/2014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444444"/>
                <w:sz w:val="22"/>
              </w:rPr>
              <w:t>Senior Consultant / Head of BI (Qlik Practice)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Aufbau einer QlikView-Abteilung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Etablierung eines BI-Offshore-Competence-Centers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Leitung von RFP- und Presales-Aktivitäten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Umsetzung von Enterprise-BI-Projekten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QlikView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Projektmanagement</w:t>
            </w:r>
          </w:p>
        </w:tc>
      </w:tr>
    </w:tbl>
    <w:p>
      <w:pPr>
        <w:spacing w:after="480"/>
      </w:pPr>
    </w:p>
    <w:tbl>
      <w:tblPr>
        <w:tblW w:type="auto" w:w="0"/>
        <w:tblLook w:firstColumn="1" w:firstRow="1" w:lastColumn="0" w:lastRow="0" w:noHBand="0" w:noVBand="1" w:val="04A0"/>
        <w:t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orders>
      </w:tblPr>
      <w:tblGrid>
        <w:gridCol w:w="5270"/>
        <w:gridCol w:w="5270"/>
      </w:tblGrid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</w:pPr>
            <w:r/>
            <w:r>
              <w:rPr>
                <w:rFonts w:ascii="Aptos" w:hAnsi="Aptos"/>
                <w:color w:val="444444"/>
                <w:sz w:val="22"/>
              </w:rPr>
              <w:t>Business &amp; Decision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444444"/>
                <w:sz w:val="22"/>
              </w:rPr>
              <w:t>01/2008 - 12/2012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444444"/>
                <w:sz w:val="22"/>
              </w:rPr>
              <w:t>Business Intelligence Consultant</w:t>
            </w:r>
          </w:p>
        </w:tc>
      </w:tr>
      <w:tr>
        <w:tc>
          <w:tcPr>
            <w:tcW w:type="dxa" w:w="10540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BI- und Analytics-Beratung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Kundenworkshops und Presales</w:t>
            </w:r>
          </w:p>
          <w:p>
            <w:pPr>
              <w:spacing w:before="0" w:after="60"/>
              <w:ind w:left="283"/>
            </w:pPr>
            <w:r>
              <w:rPr>
                <w:rFonts w:ascii="Aptos" w:hAnsi="Aptos"/>
                <w:color w:val="FF7900"/>
                <w:sz w:val="18"/>
              </w:rPr>
              <w:t xml:space="preserve">■ </w:t>
            </w:r>
            <w:r>
              <w:rPr>
                <w:rFonts w:ascii="Aptos" w:hAnsi="Aptos"/>
                <w:color w:val="000000"/>
                <w:sz w:val="22"/>
              </w:rPr>
              <w:t>Lösungsdesign für Reporting und Planung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Technologien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MS SQL Server, Qlik</w:t>
            </w:r>
          </w:p>
        </w:tc>
      </w:tr>
      <w:tr>
        <w:tc>
          <w:tcPr>
            <w:tcW w:type="dxa" w:w="210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000000"/>
                <w:sz w:val="22"/>
              </w:rPr>
              <w:t>Methodik</w:t>
            </w:r>
          </w:p>
        </w:tc>
        <w:tc>
          <w:tcPr>
            <w:tcW w:type="dxa" w:w="843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/>
            <w:r>
              <w:rPr>
                <w:rFonts w:ascii="Aptos" w:hAnsi="Aptos"/>
                <w:color w:val="000000"/>
                <w:sz w:val="22"/>
              </w:rPr>
              <w:t>Beratung, Projektmanagement</w:t>
            </w:r>
          </w:p>
        </w:tc>
      </w:tr>
    </w:tbl>
    <w:p>
      <w:pPr>
        <w:spacing w:after="480"/>
      </w:pPr>
    </w:p>
    <w:sectPr w:rsidR="00FC693F" w:rsidRPr="0006063C" w:rsidSect="00034616">
      <w:head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ook w:firstColumn="1" w:firstRow="1" w:lastColumn="0" w:lastRow="0" w:noHBand="0" w:noVBand="1" w:val="04A0"/>
      <w:t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orders>
    </w:tblPr>
    <w:tblGrid>
      <w:gridCol w:w="4216"/>
      <w:gridCol w:w="1054"/>
      <w:gridCol w:w="5270"/>
    </w:tblGrid>
    <w:tr>
      <w:tc>
        <w:tcPr>
          <w:tcW w:type="dxa" w:w="3513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left"/>
          </w:pPr>
          <w:r/>
          <w:r>
            <w:drawing>
              <wp:inline xmlns:a="http://schemas.openxmlformats.org/drawingml/2006/main" xmlns:pic="http://schemas.openxmlformats.org/drawingml/2006/picture">
                <wp:extent cx="1440000" cy="4970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4970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513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r/>
        </w:p>
      </w:tc>
      <w:tc>
        <w:tcPr>
          <w:tcW w:type="dxa" w:w="3513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right"/>
          </w:pPr>
          <w:r/>
          <w:r>
            <w:rPr>
              <w:rFonts w:ascii="Aptos" w:hAnsi="Aptos"/>
              <w:color w:val="FF7900"/>
              <w:sz w:val="20"/>
            </w:rPr>
            <w:t>digital.orange-business.com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