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Product Owner Analytics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Product Owner für digitale Produkte, Daten- und Transformationsinitiativen. Langjährige Erfahrung in der End-to-End-Umsetzung von Analytics- und BI-Projekten – von der Anforderungserhebung über Architektur und Entwicklung bis zum produktiven Betrieb. Starker Fokus auf Qualität, Nutzerfokus, nachhaltigen Business-Mehrwert sowie Führung internationaler Near- und Offshore-Teams.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2018 - 2019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2017 - 2018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Projektmanagement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 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2003 - 2006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 / Business Analysis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AI Foundations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Siemens Smart Infrastructure (via Randstad)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01/2019 - 12/2025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Projektleiter / Product Owner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internationaler Digitalisierungs- und Datenprojekte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Datenmodernisierung mit Analytics- und ML-Anwendungsfällen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von Near- und Offshore-Teams (5–10 Entwickler)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 und Budgetverantwortung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und Anwendung agiler Methoden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Kafka, Snowflake, Qlik, Power BI, Microsoft Power Platform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Scrum,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Swisscom Directories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01/2016 - 12/2019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Head of Business Intelligence / Projektleiter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einer unternehmensweiten BI-Strategie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eines BI-Teams (Entwickler und Analysten)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End-to-End BI- und Planungsprojekte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Standardisierung und Automatisierung von Controlling-Prozessen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 Sense, Tableau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Zurich Financial Services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01/2012 - 12/2016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Projektleiter / Business Analyst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eines EMEA-weiten Policy- &amp; Claims-Reporting-Systems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Steuerung von BI-Aktivitäten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Stakeholder-Management in Finance und Aktuariat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globalen BI-Enterprise-Architektur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SAS, Qlik, SAP BW, SAP BO, SAP BPC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Scrum, 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Capgemini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01/2012 - 12/2014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Senior Consultant / Head of BI (Qlik Practice)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QlikView-Abteilung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Etablierung eines BI-Offshore-Competence-Centers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von RFP- und Presales-Aktivitäten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Umsetzung von Enterprise-BI-Projekten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QlikView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Business &amp; Decision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01/2008 - 12/2012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Business Intelligence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BI- und Analytics-Beratung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Kundenworkshops und Presales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Lösungsdesign für Reporting und Planung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Beratung, Projektmanagement</w:t>
            </w:r>
          </w:p>
        </w:tc>
      </w:tr>
    </w:tbl>
    <w:p>
      <w:pPr>
        <w:spacing w:after="480"/>
      </w:pPr>
    </w:p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  <w:t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orders>
    </w:tblPr>
    <w:tblGrid>
      <w:gridCol w:w="4216"/>
      <w:gridCol w:w="1054"/>
      <w:gridCol w:w="5270"/>
    </w:tblGrid>
    <w:tr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/>
          <w:r>
            <w:drawing>
              <wp:inline xmlns:a="http://schemas.openxmlformats.org/drawingml/2006/main" xmlns:pic="http://schemas.openxmlformats.org/drawingml/2006/picture">
                <wp:extent cx="1440000" cy="4970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970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r/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/>
          <w:r>
            <w:rPr>
              <w:rFonts w:ascii="Aptos" w:hAnsi="Aptos"/>
              <w:color w:val="FF7900"/>
              <w:sz w:val="20"/>
            </w:rPr>
            <w:t>digital.orange-business.com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