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F51AF4">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F51AF4">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F51AF4">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F51AF4">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F51AF4">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F51AF4">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F51AF4">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F51AF4">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F51AF4">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F51AF4">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F51AF4">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F51AF4">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F51AF4">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F51AF4">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F51AF4">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F51AF4">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F51AF4">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F51AF4">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F51AF4">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F51AF4">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F51AF4">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F51AF4">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F51AF4">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F51AF4">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F51AF4"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F51AF4"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61BD785C" w:rsidR="00D5750E" w:rsidRDefault="00D5750E" w:rsidP="00D5750E">
      <w:pPr>
        <w:pStyle w:val="Caption"/>
        <w:jc w:val="center"/>
      </w:pPr>
      <w:r>
        <w:t xml:space="preserve">Figura </w:t>
      </w:r>
      <w:fldSimple w:instr=" SEQ Figura \* ARABIC ">
        <w:r w:rsidR="00231589">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0411AD5A" w:rsidR="00E42088" w:rsidRDefault="00E42088" w:rsidP="00E42088">
      <w:pPr>
        <w:pStyle w:val="Caption"/>
        <w:jc w:val="center"/>
      </w:pPr>
      <w:r>
        <w:t xml:space="preserve">Figura </w:t>
      </w:r>
      <w:fldSimple w:instr=" SEQ Figura \* ARABIC ">
        <w:r w:rsidR="00231589">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6CADCE49" w:rsidR="001123E1" w:rsidRDefault="001123E1" w:rsidP="001123E1">
      <w:pPr>
        <w:pStyle w:val="Caption"/>
        <w:jc w:val="center"/>
      </w:pPr>
      <w:r>
        <w:t xml:space="preserve">Figura </w:t>
      </w:r>
      <w:fldSimple w:instr=" SEQ Figura \* ARABIC ">
        <w:r w:rsidR="00231589">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62771B5F" w:rsidR="005D606F" w:rsidRDefault="005D606F" w:rsidP="005D606F">
      <w:pPr>
        <w:pStyle w:val="Caption"/>
        <w:jc w:val="center"/>
      </w:pPr>
      <w:r>
        <w:t xml:space="preserve">Figura </w:t>
      </w:r>
      <w:fldSimple w:instr=" SEQ Figura \* ARABIC ">
        <w:r w:rsidR="00231589">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1E49F224" w:rsidR="00656E03" w:rsidRPr="008B1B8C" w:rsidRDefault="00656E03" w:rsidP="00656E03">
      <w:pPr>
        <w:pStyle w:val="Caption"/>
        <w:jc w:val="center"/>
      </w:pPr>
      <w:r>
        <w:t xml:space="preserve">Figura </w:t>
      </w:r>
      <w:fldSimple w:instr=" SEQ Figura \* ARABIC ">
        <w:r w:rsidR="00231589">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00224E42" w:rsidR="00702B29" w:rsidRDefault="00702B29" w:rsidP="00702B29">
      <w:pPr>
        <w:pStyle w:val="Caption"/>
        <w:jc w:val="center"/>
      </w:pPr>
      <w:r>
        <w:t xml:space="preserve">Figura </w:t>
      </w:r>
      <w:fldSimple w:instr=" SEQ Figura \* ARABIC ">
        <w:r w:rsidR="00231589">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429FB325" w:rsidR="00702B29" w:rsidRDefault="00702B29" w:rsidP="00702B29">
      <w:pPr>
        <w:pStyle w:val="Caption"/>
        <w:jc w:val="center"/>
      </w:pPr>
      <w:r>
        <w:t xml:space="preserve">Figura </w:t>
      </w:r>
      <w:fldSimple w:instr=" SEQ Figura \* ARABIC ">
        <w:r w:rsidR="00231589">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72F32ED9" w:rsidR="00702B29" w:rsidRDefault="00702B29" w:rsidP="00702B29">
      <w:pPr>
        <w:pStyle w:val="Caption"/>
        <w:jc w:val="center"/>
      </w:pPr>
      <w:r>
        <w:t xml:space="preserve">Figura </w:t>
      </w:r>
      <w:fldSimple w:instr=" SEQ Figura \* ARABIC ">
        <w:r w:rsidR="00231589">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55D4D7E2" w:rsidR="003077F5" w:rsidRDefault="003077F5" w:rsidP="003077F5">
      <w:pPr>
        <w:pStyle w:val="Caption"/>
        <w:jc w:val="center"/>
      </w:pPr>
      <w:r>
        <w:t xml:space="preserve">Figura </w:t>
      </w:r>
      <w:fldSimple w:instr=" SEQ Figura \* ARABIC ">
        <w:r w:rsidR="00231589">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73A97B73" w:rsidR="00035428" w:rsidRDefault="00AE7921" w:rsidP="00AE7921">
      <w:pPr>
        <w:pStyle w:val="Caption"/>
        <w:jc w:val="center"/>
      </w:pPr>
      <w:r>
        <w:t xml:space="preserve">Figura </w:t>
      </w:r>
      <w:fldSimple w:instr=" SEQ Figura \* ARABIC ">
        <w:r w:rsidR="00231589">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A2A0688" w:rsidR="00CD1F8F" w:rsidRDefault="00CD1F8F" w:rsidP="00CD1F8F">
      <w:pPr>
        <w:pStyle w:val="Caption"/>
        <w:jc w:val="center"/>
      </w:pPr>
      <w:r>
        <w:t xml:space="preserve">Figura </w:t>
      </w:r>
      <w:fldSimple w:instr=" SEQ Figura \* ARABIC ">
        <w:r w:rsidR="00231589">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7C5D46D3" w:rsidR="00C060DB" w:rsidRDefault="00C060DB" w:rsidP="00C060DB">
      <w:pPr>
        <w:pStyle w:val="Caption"/>
        <w:jc w:val="center"/>
      </w:pPr>
      <w:r>
        <w:t xml:space="preserve">Figura </w:t>
      </w:r>
      <w:fldSimple w:instr=" SEQ Figura \* ARABIC ">
        <w:r w:rsidR="00231589">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348B2EDE" w:rsidR="00501B09" w:rsidRDefault="00501B09" w:rsidP="00501B09">
      <w:pPr>
        <w:pStyle w:val="Caption"/>
        <w:jc w:val="center"/>
      </w:pPr>
      <w:r>
        <w:t xml:space="preserve">Figura </w:t>
      </w:r>
      <w:fldSimple w:instr=" SEQ Figura \* ARABIC ">
        <w:r w:rsidR="00231589">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6D37892C" w:rsidR="00911472" w:rsidRDefault="00911472" w:rsidP="00911472">
      <w:pPr>
        <w:pStyle w:val="Caption"/>
        <w:jc w:val="center"/>
      </w:pPr>
      <w:r>
        <w:t xml:space="preserve">Figura </w:t>
      </w:r>
      <w:fldSimple w:instr=" SEQ Figura \* ARABIC ">
        <w:r w:rsidR="00231589">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3EC437F9" w:rsidR="00611144" w:rsidRDefault="00611144" w:rsidP="00611144">
      <w:pPr>
        <w:pStyle w:val="Caption"/>
        <w:jc w:val="center"/>
      </w:pPr>
      <w:r>
        <w:t xml:space="preserve">Figura </w:t>
      </w:r>
      <w:fldSimple w:instr=" SEQ Figura \* ARABIC ">
        <w:r w:rsidR="00231589">
          <w:rPr>
            <w:noProof/>
          </w:rPr>
          <w:t>15</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6289B343" w:rsidR="00611144" w:rsidRDefault="00611144" w:rsidP="00611144">
      <w:pPr>
        <w:pStyle w:val="Caption"/>
        <w:jc w:val="center"/>
      </w:pPr>
      <w:r>
        <w:t xml:space="preserve">Figura </w:t>
      </w:r>
      <w:fldSimple w:instr=" SEQ Figura \* ARABIC ">
        <w:r w:rsidR="00231589">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17E498CB" w:rsidR="00F002AC" w:rsidRDefault="00F002AC" w:rsidP="00F002AC">
      <w:pPr>
        <w:pStyle w:val="Caption"/>
        <w:jc w:val="center"/>
      </w:pPr>
      <w:r>
        <w:t xml:space="preserve">Figura </w:t>
      </w:r>
      <w:fldSimple w:instr=" SEQ Figura \* ARABIC ">
        <w:r w:rsidR="00231589">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565302F5" w:rsidR="00F10B1C" w:rsidRDefault="00F10B1C" w:rsidP="00F10B1C">
      <w:r w:rsidRPr="00F10B1C">
        <w:rPr>
          <w:lang w:val="en-US"/>
        </w:rPr>
        <w:t xml:space="preserve">Segundo artigo divulgado pela inside machines </w:t>
      </w:r>
      <w:r>
        <w:fldChar w:fldCharType="begin" w:fldLock="1"/>
      </w:r>
      <w:r w:rsidR="00B0303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"previouslyFormattedCitation"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2572EF08"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F51AF4">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 } ], "mendeley" : { "formattedCitation" : "(Daneels &amp; Salter, 1999, p. 339)", "plainTextFormattedCitation" : "(Daneels &amp; Salter, 1999, p. 339)", "previouslyFormattedCitation" : "(Daneels &amp; Salter, 1999, p. 339)"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03FFAFB3" w:rsidR="00231589" w:rsidRDefault="00231589" w:rsidP="00231589">
      <w:pPr>
        <w:pStyle w:val="Caption"/>
        <w:jc w:val="center"/>
      </w:pPr>
      <w:r>
        <w:t xml:space="preserve">Figura </w:t>
      </w:r>
      <w:fldSimple w:instr=" SEQ Figura \* ARABIC ">
        <w:r>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w:t>
      </w:r>
      <w:r w:rsidR="00675387">
        <w:lastRenderedPageBreak/>
        <w:t>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ListParagraph"/>
        <w:numPr>
          <w:ilvl w:val="0"/>
          <w:numId w:val="45"/>
        </w:numPr>
      </w:pPr>
      <w:r>
        <w:t>Controlo de acessos: utilizadores são definidos por grupos com as respetivas permissões</w:t>
      </w:r>
    </w:p>
    <w:p w14:paraId="68B34336" w14:textId="515B0146" w:rsidR="001C56E0" w:rsidRDefault="001C56E0" w:rsidP="00735659">
      <w:pPr>
        <w:pStyle w:val="ListParagraph"/>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ListParagraph"/>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ListParagraph"/>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ListParagraph"/>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ListParagraph"/>
        <w:numPr>
          <w:ilvl w:val="0"/>
          <w:numId w:val="45"/>
        </w:numPr>
      </w:pPr>
      <w:r>
        <w:t>Histórico: registo de todos os eventos relevantes ao processo</w:t>
      </w:r>
    </w:p>
    <w:p w14:paraId="3CE1DE43" w14:textId="0120475B" w:rsidR="001C56E0" w:rsidRDefault="001C56E0" w:rsidP="00735659">
      <w:pPr>
        <w:pStyle w:val="ListParagraph"/>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ListParagraph"/>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641BF181" w:rsidR="00C65376" w:rsidRDefault="008821DD" w:rsidP="007D2B0F">
      <w:pPr>
        <w:pStyle w:val="Heading2"/>
        <w:ind w:firstLine="708"/>
      </w:pPr>
      <w:bookmarkStart w:id="10" w:name="_Toc484442681"/>
      <w:r w:rsidRPr="002A4B1A">
        <w:lastRenderedPageBreak/>
        <w:t>2.</w:t>
      </w:r>
      <w:r w:rsidR="00352309">
        <w:t>6</w:t>
      </w:r>
      <w:r w:rsidRPr="002A4B1A">
        <w:t xml:space="preserve"> </w:t>
      </w:r>
      <w:r w:rsidR="00C4798E">
        <w:t>Casos de Estudo</w:t>
      </w:r>
      <w:bookmarkEnd w:id="10"/>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75526DD5" w:rsidR="00C4798E" w:rsidRDefault="00C4798E" w:rsidP="007D2B0F">
      <w:pPr>
        <w:pStyle w:val="Heading2"/>
        <w:ind w:left="708" w:firstLine="708"/>
      </w:pPr>
      <w:bookmarkStart w:id="11" w:name="_Toc484442682"/>
      <w:r w:rsidRPr="002A4B1A">
        <w:t>2.</w:t>
      </w:r>
      <w:r w:rsidR="00352309">
        <w:t>6</w:t>
      </w:r>
      <w:r>
        <w:t>.1</w:t>
      </w:r>
      <w:r w:rsidRPr="002A4B1A">
        <w:t xml:space="preserve"> </w:t>
      </w:r>
      <w:r>
        <w:t>Controlo e Automação na Indústria</w:t>
      </w:r>
      <w:bookmarkEnd w:id="11"/>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580F3B23" w:rsid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p>
    <w:p w14:paraId="5B5C8C33" w14:textId="42E3FEDF" w:rsidR="00F51AF4" w:rsidRDefault="00F51AF4" w:rsidP="00C3125E">
      <w:r>
        <w:t>Numa outra companhia do setor automóvel foram implementados processos de automação</w:t>
      </w:r>
      <w:r w:rsidR="00127D9B">
        <w:t>, mais concretamente um SPC (Processo de Controlo Estatístico)</w:t>
      </w:r>
      <w:r>
        <w:t xml:space="preserve"> em procedimentos de inspeção final de produtos, de forma a garantirem maior robustez e mais qualidade efetiva nos mesmos </w:t>
      </w:r>
      <w:r>
        <w:fldChar w:fldCharType="begin" w:fldLock="1"/>
      </w:r>
      <w:r>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Sousa, &amp; Nunes, 2016)", "plainTextFormattedCitation" : "(Guerra, Sousa, &amp; Nunes, 2016)" }, "properties" : { "noteIndex" : 0 }, "schema" : "https://github.com/citation-style-language/schema/raw/master/csl-citation.json" }</w:instrText>
      </w:r>
      <w:r>
        <w:fldChar w:fldCharType="separate"/>
      </w:r>
      <w:r w:rsidRPr="00F51AF4">
        <w:rPr>
          <w:noProof/>
        </w:rPr>
        <w:t>(Guerra, Sousa, &amp; Nunes, 2016)</w:t>
      </w:r>
      <w:r>
        <w:fldChar w:fldCharType="end"/>
      </w:r>
      <w:r>
        <w:t xml:space="preserve">. </w:t>
      </w:r>
      <w:r w:rsidR="00127D9B">
        <w:t>Um SPC é uma técnica poderosa para monitorizar, analisar, gerir e melhorar a performance de processos através da utilização de métodos estatísticos, e permite avaliar a variabilidade existente num determinado processo de produção, assim como permite disparar certas ações de controlo.</w:t>
      </w:r>
    </w:p>
    <w:p w14:paraId="0570C61E" w14:textId="5311B51A" w:rsidR="00F51AF4" w:rsidRDefault="0015308A" w:rsidP="00C3125E">
      <w:r>
        <w:t>As principais razões que levaram á implementação de automação das operações de garantia de qualidade dos produtos foram: poder ter uma base de dados que agrega todos os dados das medidas tiradas durante processos de produção, melhorar procedimentos de rastreabilidade dos dados, tornar os dados mais confiáveis, aumentar a eficiência do SPC</w:t>
      </w:r>
      <w:r w:rsidR="00127D9B">
        <w:t xml:space="preserve"> </w:t>
      </w:r>
      <w:r>
        <w:t>existente e também a dificuldade que existia em realizarem vários tipos de estudo estatístico.</w:t>
      </w:r>
    </w:p>
    <w:p w14:paraId="6E85C791" w14:textId="5122F3D4" w:rsidR="0015308A" w:rsidRDefault="0015308A" w:rsidP="00C3125E">
      <w:r>
        <w:t>Na implementação de um novo processo de automaç</w:t>
      </w:r>
      <w:r w:rsidR="00785D94">
        <w:t>ão</w:t>
      </w:r>
      <w:r>
        <w:t xml:space="preserve"> é imperativo compreender todos os procedimentos envolvidos, e como tal </w:t>
      </w:r>
      <w:r w:rsidR="00785D94">
        <w:t>foi necessário desenvolver um plano de implementação. Conhecer as características dos produtos, conhecer a informação necessária para possibilitar a rastreabilidade dos dados coletados, ou qual o tratamento dado a características críticas da qualidade do produto, foram aspetos a ter em conta dada a sua relevância para o processo.</w:t>
      </w:r>
      <w:r w:rsidR="00B62F93">
        <w:t xml:space="preserve"> Além disto, o plano de implementação envolveu </w:t>
      </w:r>
      <w:r w:rsidR="00B62F93">
        <w:lastRenderedPageBreak/>
        <w:t xml:space="preserve">estudar e analisar o software adquirido (Q-DAS devido á sua eficiência em armazenar e analisar dados) para o processo de automação, criar uma equipa multidisciplinar, instalar o hardware necessário e desenhar a interface entre o equipamento de </w:t>
      </w:r>
      <w:r w:rsidR="00127D9B">
        <w:t>monitorização</w:t>
      </w:r>
      <w:bookmarkStart w:id="12" w:name="_GoBack"/>
      <w:bookmarkEnd w:id="12"/>
      <w:r w:rsidR="00B62F93">
        <w:t xml:space="preserve"> e o software.</w:t>
      </w:r>
    </w:p>
    <w:p w14:paraId="3AA45FAC" w14:textId="77777777" w:rsidR="00785D94" w:rsidRPr="00C3125E" w:rsidRDefault="00785D94" w:rsidP="00C3125E"/>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6E99FC35" w14:textId="437F24A2" w:rsidR="00F51AF4" w:rsidRPr="00F51AF4" w:rsidRDefault="004B3084" w:rsidP="00F51AF4">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F51AF4" w:rsidRPr="00F51AF4">
        <w:rPr>
          <w:rFonts w:ascii="Calibri" w:hAnsi="Calibri" w:cs="Calibri"/>
          <w:noProof/>
          <w:lang w:val="en-US"/>
        </w:rPr>
        <w:t xml:space="preserve">3D printing -- Additive manufacturing: An introduction. </w:t>
      </w:r>
      <w:r w:rsidR="00F51AF4" w:rsidRPr="00F51AF4">
        <w:rPr>
          <w:rFonts w:ascii="Calibri" w:hAnsi="Calibri" w:cs="Calibri"/>
          <w:noProof/>
        </w:rPr>
        <w:t>(2014). Retrieved from http://search.ebscohost.com/login.aspx?direct=true&amp;site=eds-live&amp;db=bth&amp;AN=97629391</w:t>
      </w:r>
    </w:p>
    <w:p w14:paraId="246D6AA7"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 xml:space="preserve">Alphonsus, E. R., &amp; Abdullah, M. O. (2016). A review on the applications of programmable logic controllers (PLCs), </w:t>
      </w:r>
      <w:r w:rsidRPr="00F51AF4">
        <w:rPr>
          <w:rFonts w:ascii="Calibri" w:hAnsi="Calibri" w:cs="Calibri"/>
          <w:i/>
          <w:iCs/>
          <w:noProof/>
        </w:rPr>
        <w:t>60 OP</w:t>
      </w:r>
      <w:r w:rsidRPr="00F51AF4">
        <w:rPr>
          <w:rFonts w:ascii="Calibri" w:hAnsi="Calibri" w:cs="Calibri"/>
          <w:noProof/>
        </w:rPr>
        <w:t>-</w:t>
      </w:r>
      <w:r w:rsidRPr="00F51AF4">
        <w:rPr>
          <w:rFonts w:ascii="Calibri" w:hAnsi="Calibri" w:cs="Calibri"/>
          <w:i/>
          <w:iCs/>
          <w:noProof/>
        </w:rPr>
        <w:t>I</w:t>
      </w:r>
      <w:r w:rsidRPr="00F51AF4">
        <w:rPr>
          <w:rFonts w:ascii="Calibri" w:hAnsi="Calibri" w:cs="Calibri"/>
          <w:noProof/>
        </w:rPr>
        <w:t>, 1185. https://doi.org/10.1016/j.rser.2016.01.025</w:t>
      </w:r>
    </w:p>
    <w:p w14:paraId="14A143A4"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09AC9C2F"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3DF073FE"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 xml:space="preserve">Carvalho, A. I. R. de, &amp; Ferrolho, A. M. P. (2016). </w:t>
      </w:r>
      <w:r w:rsidRPr="00F51AF4">
        <w:rPr>
          <w:rFonts w:ascii="Calibri" w:hAnsi="Calibri" w:cs="Calibri"/>
          <w:i/>
          <w:iCs/>
          <w:noProof/>
        </w:rPr>
        <w:t>Desenvolvimento e melhoramento da Célula Flexível de Fabrico da ESTGV</w:t>
      </w:r>
      <w:r w:rsidRPr="00F51AF4">
        <w:rPr>
          <w:rFonts w:ascii="Calibri" w:hAnsi="Calibri" w:cs="Calibri"/>
          <w:noProof/>
        </w:rPr>
        <w:t>. Retrieved from http://search.ebscohost.com/login.aspx?direct=true&amp;site=eds-live&amp;db=edsrca&amp;AN=rcaap.openAccess.10400.19.3090</w:t>
      </w:r>
    </w:p>
    <w:p w14:paraId="4C9EA499"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 xml:space="preserve">Cloud Computing: An Overview. (2009). </w:t>
      </w:r>
      <w:r w:rsidRPr="00F51AF4">
        <w:rPr>
          <w:rFonts w:ascii="Calibri" w:hAnsi="Calibri" w:cs="Calibri"/>
          <w:i/>
          <w:iCs/>
          <w:noProof/>
        </w:rPr>
        <w:t>Queue</w:t>
      </w:r>
      <w:r w:rsidRPr="00F51AF4">
        <w:rPr>
          <w:rFonts w:ascii="Calibri" w:hAnsi="Calibri" w:cs="Calibri"/>
          <w:noProof/>
        </w:rPr>
        <w:t xml:space="preserve">, </w:t>
      </w:r>
      <w:r w:rsidRPr="00F51AF4">
        <w:rPr>
          <w:rFonts w:ascii="Calibri" w:hAnsi="Calibri" w:cs="Calibri"/>
          <w:i/>
          <w:iCs/>
          <w:noProof/>
        </w:rPr>
        <w:t>7</w:t>
      </w:r>
      <w:r w:rsidRPr="00F51AF4">
        <w:rPr>
          <w:rFonts w:ascii="Calibri" w:hAnsi="Calibri" w:cs="Calibri"/>
          <w:noProof/>
        </w:rPr>
        <w:t xml:space="preserve">(5), 2:3--2:4. </w:t>
      </w:r>
      <w:r w:rsidRPr="00F51AF4">
        <w:rPr>
          <w:rFonts w:ascii="Calibri" w:hAnsi="Calibri" w:cs="Calibri"/>
          <w:noProof/>
        </w:rPr>
        <w:lastRenderedPageBreak/>
        <w:t>https://doi.org/10.1145/1551644.1554608</w:t>
      </w:r>
    </w:p>
    <w:p w14:paraId="7D1D6CCD"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Columbia Electronic Encyclopedia, 6th Edition. (2017). Retrieved from http://search.ebscohost.com/login.aspx?direct=true&amp;site=eds-live&amp;db=a9h&amp;AN=39047085 OP  - Columbia Electronic Encyclopedia, 6th Edition. Q1 2017, p1-1. 1p.</w:t>
      </w:r>
    </w:p>
    <w:p w14:paraId="6CE3F1E6"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Constain, N. B. P., Queiroz, M. H. de, &amp; Catarina, U. F. de S. (2011). Integração de sistemas SCADA com a implementação de controle supervisório em CLP para sistemas de manufatura. Retrieved from http://search.ebscohost.com/login.aspx?direct=true&amp;site=eds-live&amp;db=edsrca&amp;AN=rcaap.brazil.123456789.95357</w:t>
      </w:r>
    </w:p>
    <w:p w14:paraId="7FC40773"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Daneels, A., &amp; Salter, W. (1999). What is SCADA?</w:t>
      </w:r>
    </w:p>
    <w:p w14:paraId="1E5ED392"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Dias, F. A. N. B., &amp; Fonseca, I. S. A. da. (2015). Desenvolvimento de ferramenta para interligação de dispositivos utilizando protocolos industriais. Retrieved from http://search.ebscohost.com/login.aspx?direct=true&amp;site=eds-live&amp;db=edsrca&amp;AN=rcaap.openAccess.10400.26.16571</w:t>
      </w:r>
    </w:p>
    <w:p w14:paraId="36E74734"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 xml:space="preserve">Dorf, R. C., &amp; Bishop, R. H. (2010). </w:t>
      </w:r>
      <w:r w:rsidRPr="00F51AF4">
        <w:rPr>
          <w:rFonts w:ascii="Calibri" w:hAnsi="Calibri" w:cs="Calibri"/>
          <w:i/>
          <w:iCs/>
          <w:noProof/>
        </w:rPr>
        <w:t>Modern Control Systems</w:t>
      </w:r>
      <w:r w:rsidRPr="00F51AF4">
        <w:rPr>
          <w:rFonts w:ascii="Calibri" w:hAnsi="Calibri" w:cs="Calibri"/>
          <w:noProof/>
        </w:rPr>
        <w:t>.</w:t>
      </w:r>
    </w:p>
    <w:p w14:paraId="61A37473"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Guerra, L., Sousa, S. D., &amp; Nunes, E. P. (2016). 2016 IEEE International Conference on Industrial Engineering and Engineering Management (IEEM), Industrial Engineering and Engineering Management (IEEM), 2016 IEEE International Conference on. https://doi.org/10.1109/IEEM.2016.7798002</w:t>
      </w:r>
    </w:p>
    <w:p w14:paraId="56B74275"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F51AF4">
        <w:rPr>
          <w:rFonts w:ascii="Calibri" w:hAnsi="Calibri" w:cs="Calibri"/>
          <w:i/>
          <w:iCs/>
          <w:noProof/>
        </w:rPr>
        <w:t>62</w:t>
      </w:r>
      <w:r w:rsidRPr="00F51AF4">
        <w:rPr>
          <w:rFonts w:ascii="Calibri" w:hAnsi="Calibri" w:cs="Calibri"/>
          <w:noProof/>
        </w:rPr>
        <w:t>(6 OP-Control Engineering. June 2015, Vol. 62 Issue 6, M10, 3 ), 10. Retrieved from http://search.ebscohost.com/login.aspx?direct=true&amp;site=eds-live&amp;db=edsgao&amp;AN=edsgcl.422706900</w:t>
      </w:r>
    </w:p>
    <w:p w14:paraId="4F7D64CF"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HTTP/2 Usage. (2017). Retrieved from https://w3techs.com/technologies/details/ce-http2/all/all</w:t>
      </w:r>
    </w:p>
    <w:p w14:paraId="18913F08"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Mohn, E. (2015). Augmented Reality. Retrieved from http://search.ebscohost.com/login.aspx?direct=true&amp;site=eds-live&amp;db=ers&amp;AN=87323326 OP  - Salem Press Encyclopedia of Science, 2015. 2p.</w:t>
      </w:r>
    </w:p>
    <w:p w14:paraId="172BC39E"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04FC303C" w14:textId="77777777" w:rsidR="00F51AF4" w:rsidRPr="00F51AF4" w:rsidRDefault="00F51AF4" w:rsidP="00F51AF4">
      <w:pPr>
        <w:widowControl w:val="0"/>
        <w:autoSpaceDE w:val="0"/>
        <w:autoSpaceDN w:val="0"/>
        <w:adjustRightInd w:val="0"/>
        <w:spacing w:line="240" w:lineRule="auto"/>
        <w:ind w:left="480" w:hanging="480"/>
        <w:rPr>
          <w:rFonts w:ascii="Calibri" w:hAnsi="Calibri" w:cs="Calibri"/>
          <w:noProof/>
        </w:rPr>
      </w:pPr>
      <w:r w:rsidRPr="00F51AF4">
        <w:rPr>
          <w:rFonts w:ascii="Calibri" w:hAnsi="Calibri" w:cs="Calibri"/>
          <w:noProof/>
        </w:rPr>
        <w:t>Souza, R. B. de, &amp; Medeiros, A. A. D. de. (2005). Uma arquitetura para sistemas supervisórios industriais e sua aplicação em processos de elevação artificial de petróleo. Retrieved from http://search.ebscohost.com/login.aspx?direct=true&amp;site=eds-live&amp;db=edsrca&amp;AN=rcaap.portugal.123456789.15444</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39955" w14:textId="77777777" w:rsidR="00EB0709" w:rsidRDefault="00EB0709" w:rsidP="00AA60D4">
      <w:r>
        <w:separator/>
      </w:r>
    </w:p>
  </w:endnote>
  <w:endnote w:type="continuationSeparator" w:id="0">
    <w:p w14:paraId="639643F6" w14:textId="77777777" w:rsidR="00EB0709" w:rsidRDefault="00EB0709"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F51AF4" w:rsidRDefault="00F51AF4" w:rsidP="00AA60D4">
    <w:pPr>
      <w:pStyle w:val="Footer"/>
    </w:pPr>
  </w:p>
  <w:p w14:paraId="0905A20C" w14:textId="77777777" w:rsidR="00F51AF4" w:rsidRDefault="00F51AF4"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4D9F442F" w:rsidR="00F51AF4" w:rsidRDefault="00F51AF4">
        <w:pPr>
          <w:pStyle w:val="Footer"/>
          <w:jc w:val="right"/>
        </w:pPr>
        <w:r>
          <w:fldChar w:fldCharType="begin"/>
        </w:r>
        <w:r>
          <w:instrText xml:space="preserve"> PAGE   \* MERGEFORMAT </w:instrText>
        </w:r>
        <w:r>
          <w:fldChar w:fldCharType="separate"/>
        </w:r>
        <w:r w:rsidR="00127D9B">
          <w:rPr>
            <w:noProof/>
          </w:rPr>
          <w:t>28</w:t>
        </w:r>
        <w:r>
          <w:rPr>
            <w:noProof/>
          </w:rPr>
          <w:fldChar w:fldCharType="end"/>
        </w:r>
      </w:p>
    </w:sdtContent>
  </w:sdt>
  <w:p w14:paraId="0905A20F" w14:textId="77777777" w:rsidR="00F51AF4" w:rsidRDefault="00F51AF4"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3E067" w14:textId="77777777" w:rsidR="00EB0709" w:rsidRDefault="00EB0709" w:rsidP="00AA60D4">
      <w:r>
        <w:separator/>
      </w:r>
    </w:p>
  </w:footnote>
  <w:footnote w:type="continuationSeparator" w:id="0">
    <w:p w14:paraId="61C5451F" w14:textId="77777777" w:rsidR="00EB0709" w:rsidRDefault="00EB0709"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F51AF4" w:rsidRDefault="00F51AF4"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2"/>
  </w:num>
  <w:num w:numId="6">
    <w:abstractNumId w:val="15"/>
  </w:num>
  <w:num w:numId="7">
    <w:abstractNumId w:val="3"/>
  </w:num>
  <w:num w:numId="8">
    <w:abstractNumId w:val="18"/>
  </w:num>
  <w:num w:numId="9">
    <w:abstractNumId w:val="32"/>
  </w:num>
  <w:num w:numId="10">
    <w:abstractNumId w:val="43"/>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4"/>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4685"/>
    <w:rsid w:val="00006619"/>
    <w:rsid w:val="0000709D"/>
    <w:rsid w:val="00010085"/>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27D9B"/>
    <w:rsid w:val="00131B1E"/>
    <w:rsid w:val="00133D17"/>
    <w:rsid w:val="001341FB"/>
    <w:rsid w:val="001360D0"/>
    <w:rsid w:val="00137EAE"/>
    <w:rsid w:val="001408D6"/>
    <w:rsid w:val="001447AD"/>
    <w:rsid w:val="00145C3A"/>
    <w:rsid w:val="001475AC"/>
    <w:rsid w:val="00147EB0"/>
    <w:rsid w:val="00150D90"/>
    <w:rsid w:val="0015308A"/>
    <w:rsid w:val="001535EB"/>
    <w:rsid w:val="00160180"/>
    <w:rsid w:val="0016170F"/>
    <w:rsid w:val="00162F76"/>
    <w:rsid w:val="00163600"/>
    <w:rsid w:val="00163B24"/>
    <w:rsid w:val="00167E13"/>
    <w:rsid w:val="00170EBF"/>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10DF"/>
    <w:rsid w:val="00222F65"/>
    <w:rsid w:val="00223530"/>
    <w:rsid w:val="00230049"/>
    <w:rsid w:val="0023158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C031D"/>
    <w:rsid w:val="002C368F"/>
    <w:rsid w:val="002D4F4C"/>
    <w:rsid w:val="002D65F1"/>
    <w:rsid w:val="002E31CC"/>
    <w:rsid w:val="002E7B26"/>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8AB"/>
    <w:rsid w:val="003461D9"/>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4A1A"/>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5F7497"/>
    <w:rsid w:val="0060342C"/>
    <w:rsid w:val="006034A5"/>
    <w:rsid w:val="00603E0C"/>
    <w:rsid w:val="006050C1"/>
    <w:rsid w:val="006053E5"/>
    <w:rsid w:val="00611144"/>
    <w:rsid w:val="0061147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75387"/>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976"/>
    <w:rsid w:val="00761253"/>
    <w:rsid w:val="007676B1"/>
    <w:rsid w:val="007723C0"/>
    <w:rsid w:val="00780008"/>
    <w:rsid w:val="007830B4"/>
    <w:rsid w:val="007837C0"/>
    <w:rsid w:val="00783AD0"/>
    <w:rsid w:val="00783CF9"/>
    <w:rsid w:val="0078551B"/>
    <w:rsid w:val="00785D94"/>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51F7"/>
    <w:rsid w:val="00B3179A"/>
    <w:rsid w:val="00B31F64"/>
    <w:rsid w:val="00B32ECD"/>
    <w:rsid w:val="00B342BA"/>
    <w:rsid w:val="00B36A83"/>
    <w:rsid w:val="00B41C5E"/>
    <w:rsid w:val="00B4367F"/>
    <w:rsid w:val="00B51BF8"/>
    <w:rsid w:val="00B54A0A"/>
    <w:rsid w:val="00B54C05"/>
    <w:rsid w:val="00B61D95"/>
    <w:rsid w:val="00B62F93"/>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BF6624"/>
    <w:rsid w:val="00C00057"/>
    <w:rsid w:val="00C00932"/>
    <w:rsid w:val="00C01ED7"/>
    <w:rsid w:val="00C020EC"/>
    <w:rsid w:val="00C02500"/>
    <w:rsid w:val="00C03392"/>
    <w:rsid w:val="00C04A92"/>
    <w:rsid w:val="00C04E95"/>
    <w:rsid w:val="00C05711"/>
    <w:rsid w:val="00C060DB"/>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94D90"/>
    <w:rsid w:val="00E94ECB"/>
    <w:rsid w:val="00EA20D6"/>
    <w:rsid w:val="00EA5A2C"/>
    <w:rsid w:val="00EA5A93"/>
    <w:rsid w:val="00EA7538"/>
    <w:rsid w:val="00EB0709"/>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1AF4"/>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B4528-B3BF-472A-921F-F435B5532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1722</TotalTime>
  <Pages>42</Pages>
  <Words>14886</Words>
  <Characters>80385</Characters>
  <Application>Microsoft Office Word</Application>
  <DocSecurity>0</DocSecurity>
  <Lines>669</Lines>
  <Paragraphs>190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95081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120</cp:revision>
  <cp:lastPrinted>2011-11-02T09:41:00Z</cp:lastPrinted>
  <dcterms:created xsi:type="dcterms:W3CDTF">2017-05-24T15:07:00Z</dcterms:created>
  <dcterms:modified xsi:type="dcterms:W3CDTF">2017-06-30T13:12:00Z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