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D3D"/>
          <w:sz w:val="36"/>
        </w:rPr>
        <w:t>Caso contable demo: Café Luna Azul</w:t>
      </w:r>
    </w:p>
    <w:p>
      <w:pPr>
        <w:jc w:val="center"/>
      </w:pPr>
      <w:r>
        <w:rPr>
          <w:i/>
          <w:color w:val="55606E"/>
          <w:sz w:val="22"/>
        </w:rPr>
        <w:t>Negocio hipotético para probar tablas, lectura y bloques fuente</w:t>
      </w:r>
    </w:p>
    <w:p>
      <w:r>
        <w:rPr>
          <w:b/>
        </w:rPr>
        <w:t xml:space="preserve">Contexto. </w:t>
      </w:r>
      <w:r>
        <w:t>Café Luna Azul es una cafetería pequeña ubicada cerca de una universidad. Durante mayo decidió evaluar si le conviene ampliar su horario nocturno. El administrador preparó una tabla simple con ventas, costos y gastos para revisar el margen operativo.</w:t>
      </w:r>
    </w:p>
    <w:p>
      <w:r>
        <w:rPr>
          <w:b/>
        </w:rPr>
        <w:t xml:space="preserve">Objetivo del documento. </w:t>
      </w:r>
      <w:r>
        <w:t>Este ejemplo permite probar cómo DocuPodcast Studio importa un Word con párrafos y tabla contable. La tabla debe verse como bloque visual fuente; el usuario podrá decidir después si la asocia o no a una imagen de storyboard.</w:t>
      </w:r>
    </w:p>
    <w:p>
      <w:pPr>
        <w:pStyle w:val="Heading1"/>
      </w:pPr>
      <w:r>
        <w:t>Resumen mensual</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2F4858"/>
            <w:vAlign w:val="center"/>
          </w:tcPr>
          <w:p>
            <w:pPr>
              <w:jc w:val="center"/>
            </w:pPr>
            <w:r>
              <w:rPr>
                <w:b/>
                <w:color w:val="FFFFFF"/>
                <w:sz w:val="19"/>
              </w:rPr>
              <w:t>Concepto</w:t>
            </w:r>
          </w:p>
        </w:tc>
        <w:tc>
          <w:tcPr>
            <w:tcW w:type="dxa" w:w="2016"/>
            <w:shd w:fill="2F4858"/>
            <w:vAlign w:val="center"/>
          </w:tcPr>
          <w:p>
            <w:pPr>
              <w:jc w:val="center"/>
            </w:pPr>
            <w:r>
              <w:rPr>
                <w:b/>
                <w:color w:val="FFFFFF"/>
                <w:sz w:val="19"/>
              </w:rPr>
              <w:t>Semana 1</w:t>
            </w:r>
          </w:p>
        </w:tc>
        <w:tc>
          <w:tcPr>
            <w:tcW w:type="dxa" w:w="2016"/>
            <w:shd w:fill="2F4858"/>
            <w:vAlign w:val="center"/>
          </w:tcPr>
          <w:p>
            <w:pPr>
              <w:jc w:val="center"/>
            </w:pPr>
            <w:r>
              <w:rPr>
                <w:b/>
                <w:color w:val="FFFFFF"/>
                <w:sz w:val="19"/>
              </w:rPr>
              <w:t>Semana 2</w:t>
            </w:r>
          </w:p>
        </w:tc>
        <w:tc>
          <w:tcPr>
            <w:tcW w:type="dxa" w:w="2016"/>
            <w:shd w:fill="2F4858"/>
            <w:vAlign w:val="center"/>
          </w:tcPr>
          <w:p>
            <w:pPr>
              <w:jc w:val="center"/>
            </w:pPr>
            <w:r>
              <w:rPr>
                <w:b/>
                <w:color w:val="FFFFFF"/>
                <w:sz w:val="19"/>
              </w:rPr>
              <w:t>Semana 3</w:t>
            </w:r>
          </w:p>
        </w:tc>
        <w:tc>
          <w:tcPr>
            <w:tcW w:type="dxa" w:w="2016"/>
            <w:shd w:fill="2F4858"/>
            <w:vAlign w:val="center"/>
          </w:tcPr>
          <w:p>
            <w:pPr>
              <w:jc w:val="center"/>
            </w:pPr>
            <w:r>
              <w:rPr>
                <w:b/>
                <w:color w:val="FFFFFF"/>
                <w:sz w:val="19"/>
              </w:rPr>
              <w:t>Semana 4</w:t>
            </w:r>
          </w:p>
        </w:tc>
      </w:tr>
      <w:tr>
        <w:tc>
          <w:tcPr>
            <w:tcW w:type="dxa" w:w="2016"/>
            <w:vAlign w:val="center"/>
          </w:tcPr>
          <w:p>
            <w:pPr>
              <w:jc w:val="center"/>
            </w:pPr>
            <w:r>
              <w:rPr>
                <w:b/>
                <w:sz w:val="19"/>
              </w:rPr>
              <w:t>Ventas de bebidas</w:t>
            </w:r>
          </w:p>
        </w:tc>
        <w:tc>
          <w:tcPr>
            <w:tcW w:type="dxa" w:w="2016"/>
            <w:vAlign w:val="center"/>
          </w:tcPr>
          <w:p>
            <w:pPr>
              <w:jc w:val="center"/>
            </w:pPr>
            <w:r>
              <w:rPr>
                <w:b w:val="0"/>
                <w:sz w:val="19"/>
              </w:rPr>
              <w:t>$ 1.250</w:t>
            </w:r>
          </w:p>
        </w:tc>
        <w:tc>
          <w:tcPr>
            <w:tcW w:type="dxa" w:w="2016"/>
            <w:vAlign w:val="center"/>
          </w:tcPr>
          <w:p>
            <w:pPr>
              <w:jc w:val="center"/>
            </w:pPr>
            <w:r>
              <w:rPr>
                <w:b w:val="0"/>
                <w:sz w:val="19"/>
              </w:rPr>
              <w:t>$ 1.430</w:t>
            </w:r>
          </w:p>
        </w:tc>
        <w:tc>
          <w:tcPr>
            <w:tcW w:type="dxa" w:w="2016"/>
            <w:vAlign w:val="center"/>
          </w:tcPr>
          <w:p>
            <w:pPr>
              <w:jc w:val="center"/>
            </w:pPr>
            <w:r>
              <w:rPr>
                <w:b w:val="0"/>
                <w:sz w:val="19"/>
              </w:rPr>
              <w:t>$ 1.510</w:t>
            </w:r>
          </w:p>
        </w:tc>
        <w:tc>
          <w:tcPr>
            <w:tcW w:type="dxa" w:w="2016"/>
            <w:vAlign w:val="center"/>
          </w:tcPr>
          <w:p>
            <w:pPr>
              <w:jc w:val="center"/>
            </w:pPr>
            <w:r>
              <w:rPr>
                <w:b w:val="0"/>
                <w:sz w:val="19"/>
              </w:rPr>
              <w:t>$ 1.690</w:t>
            </w:r>
          </w:p>
        </w:tc>
      </w:tr>
      <w:tr>
        <w:tc>
          <w:tcPr>
            <w:tcW w:type="dxa" w:w="2016"/>
            <w:vAlign w:val="center"/>
            <w:shd w:fill="EEF4F6"/>
          </w:tcPr>
          <w:p>
            <w:pPr>
              <w:jc w:val="center"/>
            </w:pPr>
            <w:r>
              <w:rPr>
                <w:b/>
                <w:sz w:val="19"/>
              </w:rPr>
              <w:t>Ventas de postres</w:t>
            </w:r>
          </w:p>
        </w:tc>
        <w:tc>
          <w:tcPr>
            <w:tcW w:type="dxa" w:w="2016"/>
            <w:vAlign w:val="center"/>
            <w:shd w:fill="EEF4F6"/>
          </w:tcPr>
          <w:p>
            <w:pPr>
              <w:jc w:val="center"/>
            </w:pPr>
            <w:r>
              <w:rPr>
                <w:b w:val="0"/>
                <w:sz w:val="19"/>
              </w:rPr>
              <w:t>$ 620</w:t>
            </w:r>
          </w:p>
        </w:tc>
        <w:tc>
          <w:tcPr>
            <w:tcW w:type="dxa" w:w="2016"/>
            <w:vAlign w:val="center"/>
            <w:shd w:fill="EEF4F6"/>
          </w:tcPr>
          <w:p>
            <w:pPr>
              <w:jc w:val="center"/>
            </w:pPr>
            <w:r>
              <w:rPr>
                <w:b w:val="0"/>
                <w:sz w:val="19"/>
              </w:rPr>
              <w:t>$ 700</w:t>
            </w:r>
          </w:p>
        </w:tc>
        <w:tc>
          <w:tcPr>
            <w:tcW w:type="dxa" w:w="2016"/>
            <w:vAlign w:val="center"/>
            <w:shd w:fill="EEF4F6"/>
          </w:tcPr>
          <w:p>
            <w:pPr>
              <w:jc w:val="center"/>
            </w:pPr>
            <w:r>
              <w:rPr>
                <w:b w:val="0"/>
                <w:sz w:val="19"/>
              </w:rPr>
              <w:t>$ 760</w:t>
            </w:r>
          </w:p>
        </w:tc>
        <w:tc>
          <w:tcPr>
            <w:tcW w:type="dxa" w:w="2016"/>
            <w:vAlign w:val="center"/>
            <w:shd w:fill="EEF4F6"/>
          </w:tcPr>
          <w:p>
            <w:pPr>
              <w:jc w:val="center"/>
            </w:pPr>
            <w:r>
              <w:rPr>
                <w:b w:val="0"/>
                <w:sz w:val="19"/>
              </w:rPr>
              <w:t>$ 840</w:t>
            </w:r>
          </w:p>
        </w:tc>
      </w:tr>
      <w:tr>
        <w:tc>
          <w:tcPr>
            <w:tcW w:type="dxa" w:w="2016"/>
            <w:vAlign w:val="center"/>
          </w:tcPr>
          <w:p>
            <w:pPr>
              <w:jc w:val="center"/>
            </w:pPr>
            <w:r>
              <w:rPr>
                <w:b/>
                <w:sz w:val="19"/>
              </w:rPr>
              <w:t>Costo de ingredientes</w:t>
            </w:r>
          </w:p>
        </w:tc>
        <w:tc>
          <w:tcPr>
            <w:tcW w:type="dxa" w:w="2016"/>
            <w:vAlign w:val="center"/>
          </w:tcPr>
          <w:p>
            <w:pPr>
              <w:jc w:val="center"/>
            </w:pPr>
            <w:r>
              <w:rPr>
                <w:b w:val="0"/>
                <w:sz w:val="19"/>
              </w:rPr>
              <w:t>$ 710</w:t>
            </w:r>
          </w:p>
        </w:tc>
        <w:tc>
          <w:tcPr>
            <w:tcW w:type="dxa" w:w="2016"/>
            <w:vAlign w:val="center"/>
          </w:tcPr>
          <w:p>
            <w:pPr>
              <w:jc w:val="center"/>
            </w:pPr>
            <w:r>
              <w:rPr>
                <w:b w:val="0"/>
                <w:sz w:val="19"/>
              </w:rPr>
              <w:t>$ 780</w:t>
            </w:r>
          </w:p>
        </w:tc>
        <w:tc>
          <w:tcPr>
            <w:tcW w:type="dxa" w:w="2016"/>
            <w:vAlign w:val="center"/>
          </w:tcPr>
          <w:p>
            <w:pPr>
              <w:jc w:val="center"/>
            </w:pPr>
            <w:r>
              <w:rPr>
                <w:b w:val="0"/>
                <w:sz w:val="19"/>
              </w:rPr>
              <w:t>$ 835</w:t>
            </w:r>
          </w:p>
        </w:tc>
        <w:tc>
          <w:tcPr>
            <w:tcW w:type="dxa" w:w="2016"/>
            <w:vAlign w:val="center"/>
          </w:tcPr>
          <w:p>
            <w:pPr>
              <w:jc w:val="center"/>
            </w:pPr>
            <w:r>
              <w:rPr>
                <w:b w:val="0"/>
                <w:sz w:val="19"/>
              </w:rPr>
              <w:t>$ 910</w:t>
            </w:r>
          </w:p>
        </w:tc>
      </w:tr>
      <w:tr>
        <w:tc>
          <w:tcPr>
            <w:tcW w:type="dxa" w:w="2016"/>
            <w:vAlign w:val="center"/>
            <w:shd w:fill="EEF4F6"/>
          </w:tcPr>
          <w:p>
            <w:pPr>
              <w:jc w:val="center"/>
            </w:pPr>
            <w:r>
              <w:rPr>
                <w:b/>
                <w:sz w:val="19"/>
              </w:rPr>
              <w:t>Sueldos y turnos</w:t>
            </w:r>
          </w:p>
        </w:tc>
        <w:tc>
          <w:tcPr>
            <w:tcW w:type="dxa" w:w="2016"/>
            <w:vAlign w:val="center"/>
            <w:shd w:fill="EEF4F6"/>
          </w:tcPr>
          <w:p>
            <w:pPr>
              <w:jc w:val="center"/>
            </w:pPr>
            <w:r>
              <w:rPr>
                <w:b w:val="0"/>
                <w:sz w:val="19"/>
              </w:rPr>
              <w:t>$ 580</w:t>
            </w:r>
          </w:p>
        </w:tc>
        <w:tc>
          <w:tcPr>
            <w:tcW w:type="dxa" w:w="2016"/>
            <w:vAlign w:val="center"/>
            <w:shd w:fill="EEF4F6"/>
          </w:tcPr>
          <w:p>
            <w:pPr>
              <w:jc w:val="center"/>
            </w:pPr>
            <w:r>
              <w:rPr>
                <w:b w:val="0"/>
                <w:sz w:val="19"/>
              </w:rPr>
              <w:t>$ 580</w:t>
            </w:r>
          </w:p>
        </w:tc>
        <w:tc>
          <w:tcPr>
            <w:tcW w:type="dxa" w:w="2016"/>
            <w:vAlign w:val="center"/>
            <w:shd w:fill="EEF4F6"/>
          </w:tcPr>
          <w:p>
            <w:pPr>
              <w:jc w:val="center"/>
            </w:pPr>
            <w:r>
              <w:rPr>
                <w:b w:val="0"/>
                <w:sz w:val="19"/>
              </w:rPr>
              <w:t>$ 620</w:t>
            </w:r>
          </w:p>
        </w:tc>
        <w:tc>
          <w:tcPr>
            <w:tcW w:type="dxa" w:w="2016"/>
            <w:vAlign w:val="center"/>
            <w:shd w:fill="EEF4F6"/>
          </w:tcPr>
          <w:p>
            <w:pPr>
              <w:jc w:val="center"/>
            </w:pPr>
            <w:r>
              <w:rPr>
                <w:b w:val="0"/>
                <w:sz w:val="19"/>
              </w:rPr>
              <w:t>$ 660</w:t>
            </w:r>
          </w:p>
        </w:tc>
      </w:tr>
      <w:tr>
        <w:tc>
          <w:tcPr>
            <w:tcW w:type="dxa" w:w="2016"/>
            <w:vAlign w:val="center"/>
          </w:tcPr>
          <w:p>
            <w:pPr>
              <w:jc w:val="center"/>
            </w:pPr>
            <w:r>
              <w:rPr>
                <w:b/>
                <w:sz w:val="19"/>
              </w:rPr>
              <w:t>Servicios básicos</w:t>
            </w:r>
          </w:p>
        </w:tc>
        <w:tc>
          <w:tcPr>
            <w:tcW w:type="dxa" w:w="2016"/>
            <w:vAlign w:val="center"/>
          </w:tcPr>
          <w:p>
            <w:pPr>
              <w:jc w:val="center"/>
            </w:pPr>
            <w:r>
              <w:rPr>
                <w:b w:val="0"/>
                <w:sz w:val="19"/>
              </w:rPr>
              <w:t>$ 190</w:t>
            </w:r>
          </w:p>
        </w:tc>
        <w:tc>
          <w:tcPr>
            <w:tcW w:type="dxa" w:w="2016"/>
            <w:vAlign w:val="center"/>
          </w:tcPr>
          <w:p>
            <w:pPr>
              <w:jc w:val="center"/>
            </w:pPr>
            <w:r>
              <w:rPr>
                <w:b w:val="0"/>
                <w:sz w:val="19"/>
              </w:rPr>
              <w:t>$ 205</w:t>
            </w:r>
          </w:p>
        </w:tc>
        <w:tc>
          <w:tcPr>
            <w:tcW w:type="dxa" w:w="2016"/>
            <w:vAlign w:val="center"/>
          </w:tcPr>
          <w:p>
            <w:pPr>
              <w:jc w:val="center"/>
            </w:pPr>
            <w:r>
              <w:rPr>
                <w:b w:val="0"/>
                <w:sz w:val="19"/>
              </w:rPr>
              <w:t>$ 210</w:t>
            </w:r>
          </w:p>
        </w:tc>
        <w:tc>
          <w:tcPr>
            <w:tcW w:type="dxa" w:w="2016"/>
            <w:vAlign w:val="center"/>
          </w:tcPr>
          <w:p>
            <w:pPr>
              <w:jc w:val="center"/>
            </w:pPr>
            <w:r>
              <w:rPr>
                <w:b w:val="0"/>
                <w:sz w:val="19"/>
              </w:rPr>
              <w:t>$ 225</w:t>
            </w:r>
          </w:p>
        </w:tc>
      </w:tr>
      <w:tr>
        <w:tc>
          <w:tcPr>
            <w:tcW w:type="dxa" w:w="2016"/>
            <w:vAlign w:val="center"/>
            <w:shd w:fill="EEF4F6"/>
          </w:tcPr>
          <w:p>
            <w:pPr>
              <w:jc w:val="center"/>
            </w:pPr>
            <w:r>
              <w:rPr>
                <w:b/>
                <w:sz w:val="19"/>
              </w:rPr>
              <w:t>Margen estimado</w:t>
            </w:r>
          </w:p>
        </w:tc>
        <w:tc>
          <w:tcPr>
            <w:tcW w:type="dxa" w:w="2016"/>
            <w:vAlign w:val="center"/>
            <w:shd w:fill="EEF4F6"/>
          </w:tcPr>
          <w:p>
            <w:pPr>
              <w:jc w:val="center"/>
            </w:pPr>
            <w:r>
              <w:rPr>
                <w:b w:val="0"/>
                <w:sz w:val="19"/>
              </w:rPr>
              <w:t>$ 390</w:t>
            </w:r>
          </w:p>
        </w:tc>
        <w:tc>
          <w:tcPr>
            <w:tcW w:type="dxa" w:w="2016"/>
            <w:vAlign w:val="center"/>
            <w:shd w:fill="EEF4F6"/>
          </w:tcPr>
          <w:p>
            <w:pPr>
              <w:jc w:val="center"/>
            </w:pPr>
            <w:r>
              <w:rPr>
                <w:b w:val="0"/>
                <w:sz w:val="19"/>
              </w:rPr>
              <w:t>$ 565</w:t>
            </w:r>
          </w:p>
        </w:tc>
        <w:tc>
          <w:tcPr>
            <w:tcW w:type="dxa" w:w="2016"/>
            <w:vAlign w:val="center"/>
            <w:shd w:fill="EEF4F6"/>
          </w:tcPr>
          <w:p>
            <w:pPr>
              <w:jc w:val="center"/>
            </w:pPr>
            <w:r>
              <w:rPr>
                <w:b w:val="0"/>
                <w:sz w:val="19"/>
              </w:rPr>
              <w:t>$ 605</w:t>
            </w:r>
          </w:p>
        </w:tc>
        <w:tc>
          <w:tcPr>
            <w:tcW w:type="dxa" w:w="2016"/>
            <w:vAlign w:val="center"/>
            <w:shd w:fill="EEF4F6"/>
          </w:tcPr>
          <w:p>
            <w:pPr>
              <w:jc w:val="center"/>
            </w:pPr>
            <w:r>
              <w:rPr>
                <w:b w:val="0"/>
                <w:sz w:val="19"/>
              </w:rPr>
              <w:t>$ 735</w:t>
            </w:r>
          </w:p>
        </w:tc>
      </w:tr>
    </w:tbl>
    <w:p>
      <w:r>
        <w:rPr>
          <w:b/>
        </w:rPr>
        <w:t xml:space="preserve">Lectura sugerida. </w:t>
      </w:r>
      <w:r>
        <w:t>La tendencia muestra que las ventas crecen durante el mes. El margen estimado aumenta porque los ingresos suben más rápido que los costos. Sin embargo, antes de abrir más horas, el negocio debería revisar si el costo de personal nocturno se mantiene bajo control.</w:t>
      </w:r>
    </w:p>
    <w:p>
      <w:r>
        <w:rPr>
          <w:b/>
        </w:rPr>
        <w:t xml:space="preserve">Decisión hipotética. </w:t>
      </w:r>
      <w:r>
        <w:t>La administración decide probar dos semanas de horario extendido, pero solo jueves y viernes. Si el margen adicional supera quinientos dólares, se evaluará ampliar el horario durante todo el mes siguiente.</w:t>
      </w:r>
    </w:p>
    <w:p>
      <w:pPr>
        <w:pStyle w:val="Heading1"/>
      </w:pPr>
      <w:r>
        <w:t>Notas para la demo</w:t>
      </w:r>
    </w:p>
    <w:p>
      <w:pPr>
        <w:pStyle w:val="ListBullet"/>
      </w:pPr>
      <w:r>
        <w:t>La tabla debe conservarse visualmente como parte del documento fuente.</w:t>
      </w:r>
    </w:p>
    <w:p>
      <w:pPr>
        <w:pStyle w:val="ListBullet"/>
      </w:pPr>
      <w:r>
        <w:t>La tabla no debe convertirse automáticamente en storyboard.</w:t>
      </w:r>
    </w:p>
    <w:p>
      <w:pPr>
        <w:pStyle w:val="ListBullet"/>
      </w:pPr>
      <w:r>
        <w:t>El usuario puede asociar una imagen a esta sección si quiere incluirla en video.</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