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f9ec936c306f473a0bf0ebf395ba7bc12d480e5"/>
    <w:p>
      <w:pPr>
        <w:pStyle w:val="Heading1"/>
      </w:pPr>
      <w:r>
        <w:t xml:space="preserve">Sistema local arquetípico para tiendas de barrio y despensas en Guayaquil</w:t>
      </w:r>
    </w:p>
    <w:bookmarkStart w:id="24" w:name="X0727c041a587aac251d0b60d9f52c12a98232c8"/>
    <w:p>
      <w:pPr>
        <w:pStyle w:val="Heading2"/>
      </w:pPr>
      <w:r>
        <w:t xml:space="preserve">Resumen ejecutivo y radiografía del rubro</w:t>
      </w:r>
    </w:p>
    <w:p>
      <w:pPr>
        <w:pStyle w:val="FirstParagraph"/>
      </w:pPr>
      <w:r>
        <w:rPr>
          <w:b/>
          <w:bCs/>
        </w:rPr>
        <w:t xml:space="preserve">A. Resumen ejecutivo.</w:t>
      </w:r>
      <w:r>
        <w:t xml:space="preserve"> </w:t>
      </w:r>
      <w:r>
        <w:t xml:space="preserve">El hueco comercial más defendible para un sistema JavaFX + SQLite en Guayaquil no es competir contra un ERP ni contra facturación electrónica; es resolver con seriedad operativa lo que más duele en una tienda pequeña: inventario, compras, salidas, pérdidas, reportes, respaldos y continuidad básica aun sin internet. La evidencia reciente muestra un canal tradicional todavía enorme, pero presionado por inseguridad, apagones, caída del consumo y hard discount; eso favorece una propuesta local, sobria, de una sola computadora, con licencia renovable razonable y un discurso comercial muy claro sobre lo que sí hace y lo que no hace.</w:t>
      </w:r>
      <w:r>
        <w:t xml:space="preserve"> </w:t>
      </w:r>
      <w:hyperlink r:id="rId21">
        <w:r>
          <w:rPr>
            <w:rStyle w:val="Hyperlink"/>
          </w:rPr>
          <w:t xml:space="preserve">[1]</w:t>
        </w:r>
      </w:hyperlink>
    </w:p>
    <w:p>
      <w:pPr>
        <w:pStyle w:val="BodyText"/>
      </w:pPr>
      <w:r>
        <w:rPr>
          <w:b/>
          <w:bCs/>
        </w:rPr>
        <w:t xml:space="preserve">B. Radiografía del rubro.</w:t>
      </w:r>
      <w:r>
        <w:t xml:space="preserve"> </w:t>
      </w:r>
      <w:r>
        <w:t xml:space="preserve">En Ecuador, el canal tradicional seguía siendo masivo a febrero de 2025: 128.800 puntos de venta, de los cuales 60% eran tiendas de barrio; dentro de ese universo se reportaron 77.280 tiendas y una reducción de 1.943 locales entre agosto de 2024 y febrero de 2025. El tendero promedio maneja 321 productos, el ticket promedio de compra ronda USD 1,03 y una parte importante del surtido se ajusta hacia productos de alta rotación y margen; además, el canal opera con densidad y cercanía muy altas al consumidor. Un estudio sectorial de Red Ecuatoriana de Tenderos</w:t>
      </w:r>
      <w:hyperlink r:id="rId22">
        <w:r>
          <w:rPr>
            <w:rStyle w:val="Hyperlink"/>
          </w:rPr>
          <w:t xml:space="preserve">[2]</w:t>
        </w:r>
      </w:hyperlink>
      <w:r>
        <w:t xml:space="preserve"> </w:t>
      </w:r>
      <w:r>
        <w:t xml:space="preserve">levantó 403 entrevistas presenciales en Guayaquil y Quito en noviembre de 2024 y estructuró su investigación alrededor de abastecimiento, apagones, hard discount, inseguridad, financiamiento y redes sociales, lo que confirma que esos temas no son accesorios sino centrales para el rubro.</w:t>
      </w:r>
      <w:r>
        <w:t xml:space="preserve"> </w:t>
      </w:r>
      <w:hyperlink r:id="rId21">
        <w:r>
          <w:rPr>
            <w:rStyle w:val="Hyperlink"/>
          </w:rPr>
          <w:t xml:space="preserve">[3]</w:t>
        </w:r>
      </w:hyperlink>
    </w:p>
    <w:p>
      <w:pPr>
        <w:pStyle w:val="BodyText"/>
      </w:pPr>
      <w:r>
        <w:rPr>
          <w:b/>
          <w:bCs/>
        </w:rPr>
        <w:t xml:space="preserve">B. Radiografía del rubro.</w:t>
      </w:r>
      <w:r>
        <w:t xml:space="preserve"> </w:t>
      </w:r>
      <w:r>
        <w:t xml:space="preserve">Los patrones de compra también justifican un sistema rápido y poco ceremonioso: un estudio de entity["organization","dichter &amp; neira","market research"] reportó para 2024 un gasto promedio de USD 1,05 por transacción en tiendas de barrio, con 90% de transacciones concentradas en una sola categoría y picos de visita en franjas horarias concretas. Para la primera versión, eso implica que el flujo debe favorecer búsquedas veloces, edición mínima y reportes útiles para reponer, no pantallas repletas de campos que ralenticen la operación.</w:t>
      </w:r>
      <w:r>
        <w:t xml:space="preserve"> </w:t>
      </w:r>
      <w:hyperlink r:id="rId23">
        <w:r>
          <w:rPr>
            <w:rStyle w:val="Hyperlink"/>
          </w:rPr>
          <w:t xml:space="preserve">[4]</w:t>
        </w:r>
      </w:hyperlink>
    </w:p>
    <w:p>
      <w:pPr>
        <w:pStyle w:val="BodyText"/>
      </w:pPr>
      <w:r>
        <w:rPr>
          <w:b/>
          <w:bCs/>
        </w:rPr>
        <w:t xml:space="preserve">C. Dolores principales del negocio.</w:t>
      </w:r>
      <w:r>
        <w:t xml:space="preserve"> </w:t>
      </w:r>
      <w:r>
        <w:t xml:space="preserve">Los dolores más repetibles y vendibles son seis. Primero, no saber qué está bajo, agotado o sobredimensionado; segundo, volver a comprar productos que ya existían mientras faltan los de alta rotación; tercero, perder dinero por caducidad, daño, humedad, envases rotos o cadena de frío; cuarto, olvidar precios de compra, de venta y cambios por proveedor; quinto, mezclar ventas rápidas, fiado y caja diaria de manera demasiado informal; y sexto, depender de una sola computadora sin una rutina simple de respaldo, en un contexto donde los cortes de energía siguen siendo un riesgo real en Guayaquil. En paralelo, la inseguridad y la desconfianza hacia desconocidos también afectan la adopción: hay tenderos que recortan horarios, atienden tras rejas o privilegian relaciones previas y recomendaciones.</w:t>
      </w:r>
      <w:r>
        <w:t xml:space="preserve"> </w:t>
      </w:r>
      <w:hyperlink r:id="rId21">
        <w:r>
          <w:rPr>
            <w:rStyle w:val="Hyperlink"/>
          </w:rPr>
          <w:t xml:space="preserve">[5]</w:t>
        </w:r>
      </w:hyperlink>
    </w:p>
    <w:bookmarkEnd w:id="24"/>
    <w:bookmarkStart w:id="31" w:name="contexto-legal-sanitario-y-operativo"/>
    <w:p>
      <w:pPr>
        <w:pStyle w:val="Heading2"/>
      </w:pPr>
      <w:r>
        <w:t xml:space="preserve">Contexto legal, sanitario y operativo</w:t>
      </w:r>
    </w:p>
    <w:p>
      <w:pPr>
        <w:pStyle w:val="FirstParagraph"/>
      </w:pPr>
      <w:r>
        <w:rPr>
          <w:b/>
          <w:bCs/>
        </w:rPr>
        <w:t xml:space="preserve">D. Contexto legal y sanitario.</w:t>
      </w:r>
      <w:r>
        <w:t xml:space="preserve"> </w:t>
      </w:r>
      <w:r>
        <w:t xml:space="preserve">Para ARCSA, el punto más importante no es “programar la ley”, sino reconocer que la situación pública de permisos no es trivial. La normativa histórica de 2015 clasificó a las tiendas de abarrotes dentro de expendio de productos alimenticios con tarifa B0; en 2015 y 2016 la propia autoridad comunicó exenciones para tiendas de abarrotes y luego para micromercados, aclarando que seguían sujetos a control y vigilancia sanitaria; sin embargo, un comunicado institucional de diciembre de 2025 volvió a listar a las tiendas de abarrotes entre los giros obligados a obtener permiso sanitario de funcionamiento. En cambio, restaurantes, cafeterías y otros establecimientos de alimentación colectiva sí aparecen de forma consistente dentro del esquema de permiso. Con esa evidencia, el software no debe comportarse como asesor jurídico automático: debe guardar estado documental, números, vencimientos y observaciones, pero con un aviso explícito de verificación vigente en ARCSA.</w:t>
      </w:r>
      <w:r>
        <w:t xml:space="preserve"> </w:t>
      </w:r>
      <w:hyperlink r:id="rId25">
        <w:r>
          <w:rPr>
            <w:rStyle w:val="Hyperlink"/>
          </w:rPr>
          <w:t xml:space="preserve">[6]</w:t>
        </w:r>
      </w:hyperlink>
    </w:p>
    <w:p>
      <w:pPr>
        <w:pStyle w:val="BodyText"/>
      </w:pPr>
      <w:r>
        <w:rPr>
          <w:b/>
          <w:bCs/>
        </w:rPr>
        <w:t xml:space="preserve">D. Contexto legal y sanitario.</w:t>
      </w:r>
      <w:r>
        <w:t xml:space="preserve"> </w:t>
      </w:r>
      <w:r>
        <w:t xml:space="preserve">En rotulado, la base técnica sí es mucho más clara. La NTE INEN 1334 exige lote en alimentos procesados envasados y exige fecha de vencimiento o fecha máxima de consumo según corresponda; también exige declarar condiciones especiales de conservación cuando la validez dependa de ellas. Entre las excepciones que el propio estándar contempla están, entre otras, frutas y hortalizas frescas, ciertos productos de panadería o pastelería que normalmente se consumen dentro de 24 horas y algunas otras categorías específicas. Traducido a producto: lote y vencimiento deben existir, pero no como obligación universal, sino como capacidad opcional por producto y operativa por lote recibido.</w:t>
      </w:r>
      <w:r>
        <w:t xml:space="preserve"> </w:t>
      </w:r>
      <w:hyperlink r:id="rId26">
        <w:r>
          <w:rPr>
            <w:rStyle w:val="Hyperlink"/>
          </w:rPr>
          <w:t xml:space="preserve">[7]</w:t>
        </w:r>
      </w:hyperlink>
    </w:p>
    <w:p>
      <w:pPr>
        <w:pStyle w:val="BodyText"/>
      </w:pPr>
      <w:r>
        <w:rPr>
          <w:b/>
          <w:bCs/>
        </w:rPr>
        <w:t xml:space="preserve">D. Contexto legal y sanitario.</w:t>
      </w:r>
      <w:r>
        <w:t xml:space="preserve"> </w:t>
      </w:r>
      <w:r>
        <w:t xml:space="preserve">Las guías sanitarias revisadas son compatibles con un módulo operativo sencillo. Recomiendan verificar fecha de caducidad, olor, color, textura, integridad de envases, latas abolladas o infladas, humedad e indicios de plagas en secos; no adquirir productos caducados o pegados a su fecha de vencimiento; mantener alimentos potencialmente peligrosos a 5 °C o menos, congelados a -18 °C o menos; separar químicos de alimentos; y aplicar PEPS/FIFO o PCPS/FEFO según el tipo de producto. Eso no obliga a construir un sistema hiperindustrial, pero sí justifica campos y motivos de merma/retiro bien elegidos.</w:t>
      </w:r>
      <w:r>
        <w:t xml:space="preserve"> </w:t>
      </w:r>
      <w:hyperlink r:id="rId27">
        <w:r>
          <w:rPr>
            <w:rStyle w:val="Hyperlink"/>
          </w:rPr>
          <w:t xml:space="preserve">[8]</w:t>
        </w:r>
      </w:hyperlink>
    </w:p>
    <w:p>
      <w:pPr>
        <w:pStyle w:val="BodyText"/>
      </w:pPr>
      <w:r>
        <w:rPr>
          <w:b/>
          <w:bCs/>
        </w:rPr>
        <w:t xml:space="preserve">D. Contexto legal y sanitario.</w:t>
      </w:r>
      <w:r>
        <w:t xml:space="preserve"> </w:t>
      </w:r>
      <w:r>
        <w:t xml:space="preserve">Sobre proveedores, las fuentes públicas recientes describen dinámicas generales, no contratos modelo por rubro. NielsenIQ</w:t>
      </w:r>
      <w:hyperlink r:id="rId28">
        <w:r>
          <w:rPr>
            <w:rStyle w:val="Hyperlink"/>
          </w:rPr>
          <w:t xml:space="preserve">[9]</w:t>
        </w:r>
      </w:hyperlink>
      <w:r>
        <w:t xml:space="preserve"> </w:t>
      </w:r>
      <w:r>
        <w:t xml:space="preserve">reportó que 25% de tenderos se abastece en supermercados o mayoristas, con dos compras semanales promedio; una tesis de la FLACSO, aunque más antigua y no directamente equivalente a Guayaquil 2026, sigue siendo útil para entender la lógica estructural de microempresa familiar, debilidad administrativa y dependencia de relaciones con proveedores. En la revisión hecha no aparecieron plantillas públicas recientes para acuerdos tipo con proveedor de yogur, verduras, carnes o secos en Guayaquil; por ello, el sistema debe permitir registrar condiciones variables y observaciones por proveedor, sin asumir un flujo contractual único.</w:t>
      </w:r>
      <w:r>
        <w:t xml:space="preserve"> </w:t>
      </w:r>
      <w:hyperlink r:id="rId21">
        <w:r>
          <w:rPr>
            <w:rStyle w:val="Hyperlink"/>
          </w:rPr>
          <w:t xml:space="preserve">[10]</w:t>
        </w:r>
      </w:hyperlink>
    </w:p>
    <w:p>
      <w:pPr>
        <w:pStyle w:val="BodyText"/>
      </w:pPr>
      <w:r>
        <w:rPr>
          <w:b/>
          <w:bCs/>
        </w:rPr>
        <w:t xml:space="preserve">D. Contexto legal y sanitario.</w:t>
      </w:r>
      <w:r>
        <w:t xml:space="preserve"> </w:t>
      </w:r>
      <w:r>
        <w:t xml:space="preserve">En tributación, el límite operativo es claro. En el RIMPE, los negocios populares son personas naturales con ingresos brutos anuales de hasta USD 20.000; los emprendedores, personas naturales y jurídicas con ingresos de hasta USD 300.000. Los negocios populares pueden emitir notas de venta o facturas electrónicas a elección; los emprendedores deben emitir comprobantes obligatoriamente en esquema electrónico. Además, desde el 1 de enero de 2026 el SRI exige transmisión inmediata de comprobantes electrónicos. Para tu producto, la conclusión es directa: el módulo de “ventas internas” debe ser operativo y no tributario, con campo opcional para número de nota/factura externa, y con un aviso claro de que no reemplaza obligaciones frente al SRI.</w:t>
      </w:r>
      <w:r>
        <w:t xml:space="preserve"> </w:t>
      </w:r>
      <w:hyperlink r:id="rId29">
        <w:r>
          <w:rPr>
            <w:rStyle w:val="Hyperlink"/>
          </w:rPr>
          <w:t xml:space="preserve">[11]</w:t>
        </w:r>
      </w:hyperlink>
    </w:p>
    <w:p>
      <w:pPr>
        <w:pStyle w:val="BodyText"/>
      </w:pPr>
      <w:r>
        <w:rPr>
          <w:b/>
          <w:bCs/>
        </w:rPr>
        <w:t xml:space="preserve">D. Contexto legal y sanitario.</w:t>
      </w:r>
      <w:r>
        <w:t xml:space="preserve"> </w:t>
      </w:r>
      <w:r>
        <w:t xml:space="preserve">En Guayaquil también conviene evitar rigidez terminológica. El Municipio de Guayaquil</w:t>
      </w:r>
      <w:hyperlink r:id="rId28">
        <w:r>
          <w:rPr>
            <w:rStyle w:val="Hyperlink"/>
          </w:rPr>
          <w:t xml:space="preserve">[12]</w:t>
        </w:r>
      </w:hyperlink>
      <w:r>
        <w:t xml:space="preserve"> </w:t>
      </w:r>
      <w:r>
        <w:t xml:space="preserve">todavía muestra información útil sobre uso de suelo, documentos y trámites asociados a apertura; pero en diciembre de 2025 el cabildo anunció una Licencia Anual de Funcionamiento como reemplazo del esquema anterior de Tasa de Habilitación. Además, para determinadas actividades y niveles de riesgo puede intervenir el Benemérito Cuerpo de Bomberos de Guayaquil</w:t>
      </w:r>
      <w:hyperlink r:id="rId22">
        <w:r>
          <w:rPr>
            <w:rStyle w:val="Hyperlink"/>
          </w:rPr>
          <w:t xml:space="preserve">[13]</w:t>
        </w:r>
      </w:hyperlink>
      <w:r>
        <w:t xml:space="preserve">. Eso refuerza una recomendación de producto: crear una sola pantalla de “Datos y documentación del negocio” con etiquetas genéricas y configurables, no con una leyenda municipal fija que pueda quedar vieja.</w:t>
      </w:r>
      <w:r>
        <w:t xml:space="preserve"> </w:t>
      </w:r>
      <w:hyperlink r:id="rId30">
        <w:r>
          <w:rPr>
            <w:rStyle w:val="Hyperlink"/>
          </w:rPr>
          <w:t xml:space="preserve">[14]</w:t>
        </w:r>
      </w:hyperlink>
    </w:p>
    <w:p>
      <w:pPr>
        <w:pStyle w:val="BodyText"/>
      </w:pPr>
      <w:r>
        <w:rPr>
          <w:b/>
          <w:bCs/>
        </w:rPr>
        <w:t xml:space="preserve">S. Matriz legal/operativa hacia funciones del sistema.</w:t>
      </w:r>
    </w:p>
    <w:p>
      <w:pPr>
        <w:pStyle w:val="Compact"/>
        <w:numPr>
          <w:ilvl w:val="0"/>
          <w:numId w:val="1001"/>
        </w:numPr>
      </w:pPr>
      <w:r>
        <w:rPr>
          <w:b/>
          <w:bCs/>
        </w:rPr>
        <w:t xml:space="preserve">Productos vencidos</w:t>
      </w:r>
      <w:r>
        <w:t xml:space="preserve"> </w:t>
      </w:r>
      <w:r>
        <w:t xml:space="preserve">→ riesgo de pérdida económica y sanción sanitaria → función: fecha de vencimiento, alerta de próximos a vencer, reporte de vencidos, retiro/merma con motivo →</w:t>
      </w:r>
      <w:r>
        <w:t xml:space="preserve"> </w:t>
      </w:r>
      <w:r>
        <w:rPr>
          <w:b/>
          <w:bCs/>
        </w:rPr>
        <w:t xml:space="preserve">recomendado</w:t>
      </w:r>
      <w:r>
        <w:t xml:space="preserve">, e</w:t>
      </w:r>
      <w:r>
        <w:t xml:space="preserve"> </w:t>
      </w:r>
      <w:r>
        <w:rPr>
          <w:b/>
          <w:bCs/>
        </w:rPr>
        <w:t xml:space="preserve">indispensable</w:t>
      </w:r>
      <w:r>
        <w:t xml:space="preserve"> </w:t>
      </w:r>
      <w:r>
        <w:t xml:space="preserve">si vende lácteos, carnicería refrigerada, huevos u otros perecibles.</w:t>
      </w:r>
    </w:p>
    <w:p>
      <w:pPr>
        <w:pStyle w:val="Compact"/>
        <w:numPr>
          <w:ilvl w:val="0"/>
          <w:numId w:val="1001"/>
        </w:numPr>
      </w:pPr>
      <w:r>
        <w:rPr>
          <w:b/>
          <w:bCs/>
        </w:rPr>
        <w:t xml:space="preserve">Lotes</w:t>
      </w:r>
      <w:r>
        <w:t xml:space="preserve"> </w:t>
      </w:r>
      <w:r>
        <w:t xml:space="preserve">→ riesgo de no distinguir partidas con distinta caducidad o proveedor → función: lote opcional por producto, lote por recepción, historial de lote →</w:t>
      </w:r>
      <w:r>
        <w:t xml:space="preserve"> </w:t>
      </w:r>
      <w:r>
        <w:rPr>
          <w:b/>
          <w:bCs/>
        </w:rPr>
        <w:t xml:space="preserve">recomendado</w:t>
      </w:r>
      <w:r>
        <w:t xml:space="preserve"> </w:t>
      </w:r>
      <w:r>
        <w:t xml:space="preserve">para procesados perecibles,</w:t>
      </w:r>
      <w:r>
        <w:t xml:space="preserve"> </w:t>
      </w:r>
      <w:r>
        <w:rPr>
          <w:b/>
          <w:bCs/>
        </w:rPr>
        <w:t xml:space="preserve">opcional</w:t>
      </w:r>
      <w:r>
        <w:t xml:space="preserve"> </w:t>
      </w:r>
      <w:r>
        <w:t xml:space="preserve">para secos no perecibles.</w:t>
      </w:r>
    </w:p>
    <w:p>
      <w:pPr>
        <w:pStyle w:val="Compact"/>
        <w:numPr>
          <w:ilvl w:val="0"/>
          <w:numId w:val="1001"/>
        </w:numPr>
      </w:pPr>
      <w:r>
        <w:rPr>
          <w:b/>
          <w:bCs/>
        </w:rPr>
        <w:t xml:space="preserve">Refrigeración</w:t>
      </w:r>
      <w:r>
        <w:t xml:space="preserve"> </w:t>
      </w:r>
      <w:r>
        <w:t xml:space="preserve">→ riesgo de ruptura de cadena de frío → función: bandera de producto refrigerado/congelado, condición de almacenamiento, reporte de perecibles →</w:t>
      </w:r>
      <w:r>
        <w:t xml:space="preserve"> </w:t>
      </w:r>
      <w:r>
        <w:rPr>
          <w:b/>
          <w:bCs/>
        </w:rPr>
        <w:t xml:space="preserve">recomendado</w:t>
      </w:r>
      <w:r>
        <w:t xml:space="preserve">.</w:t>
      </w:r>
    </w:p>
    <w:p>
      <w:pPr>
        <w:pStyle w:val="Compact"/>
        <w:numPr>
          <w:ilvl w:val="0"/>
          <w:numId w:val="1001"/>
        </w:numPr>
      </w:pPr>
      <w:r>
        <w:rPr>
          <w:b/>
          <w:bCs/>
        </w:rPr>
        <w:t xml:space="preserve">Recepción de mercadería</w:t>
      </w:r>
      <w:r>
        <w:t xml:space="preserve"> </w:t>
      </w:r>
      <w:r>
        <w:t xml:space="preserve">→ riesgo de aceptar producto dañado, oxidado, húmedo o caducado → función: recepción con checklist opcional, aceptado/rechazado, observación y foto →</w:t>
      </w:r>
      <w:r>
        <w:t xml:space="preserve"> </w:t>
      </w:r>
      <w:r>
        <w:rPr>
          <w:b/>
          <w:bCs/>
        </w:rPr>
        <w:t xml:space="preserve">recomendado</w:t>
      </w:r>
      <w:r>
        <w:t xml:space="preserve">.</w:t>
      </w:r>
    </w:p>
    <w:p>
      <w:pPr>
        <w:pStyle w:val="Compact"/>
        <w:numPr>
          <w:ilvl w:val="0"/>
          <w:numId w:val="1001"/>
        </w:numPr>
      </w:pPr>
      <w:r>
        <w:rPr>
          <w:b/>
          <w:bCs/>
        </w:rPr>
        <w:t xml:space="preserve">Compras y proveedores</w:t>
      </w:r>
      <w:r>
        <w:t xml:space="preserve"> </w:t>
      </w:r>
      <w:r>
        <w:t xml:space="preserve">→ riesgo de pagar más, comprar duplicado o no detectar problemas recurrentes → función: historial de compra, último costo, proveedor sugerido, incidencias por proveedor →</w:t>
      </w:r>
      <w:r>
        <w:t xml:space="preserve"> </w:t>
      </w:r>
      <w:r>
        <w:rPr>
          <w:b/>
          <w:bCs/>
        </w:rPr>
        <w:t xml:space="preserve">indispensable</w:t>
      </w:r>
      <w:r>
        <w:t xml:space="preserve">.</w:t>
      </w:r>
    </w:p>
    <w:p>
      <w:pPr>
        <w:pStyle w:val="Compact"/>
        <w:numPr>
          <w:ilvl w:val="0"/>
          <w:numId w:val="1001"/>
        </w:numPr>
      </w:pPr>
      <w:r>
        <w:rPr>
          <w:b/>
          <w:bCs/>
        </w:rPr>
        <w:t xml:space="preserve">Ventas internas</w:t>
      </w:r>
      <w:r>
        <w:t xml:space="preserve"> </w:t>
      </w:r>
      <w:r>
        <w:t xml:space="preserve">→ riesgo de confusión tributaria → función: módulo operativo con aviso “no reemplaza facturación” y comprobante interno no tributario →</w:t>
      </w:r>
      <w:r>
        <w:t xml:space="preserve"> </w:t>
      </w:r>
      <w:r>
        <w:rPr>
          <w:b/>
          <w:bCs/>
        </w:rPr>
        <w:t xml:space="preserve">indispensable</w:t>
      </w:r>
      <w:r>
        <w:t xml:space="preserve"> </w:t>
      </w:r>
      <w:r>
        <w:t xml:space="preserve">si habrá descargo de stock por venta.</w:t>
      </w:r>
    </w:p>
    <w:p>
      <w:pPr>
        <w:pStyle w:val="Compact"/>
        <w:numPr>
          <w:ilvl w:val="0"/>
          <w:numId w:val="1001"/>
        </w:numPr>
      </w:pPr>
      <w:r>
        <w:rPr>
          <w:b/>
          <w:bCs/>
        </w:rPr>
        <w:t xml:space="preserve">Respaldos</w:t>
      </w:r>
      <w:r>
        <w:t xml:space="preserve"> </w:t>
      </w:r>
      <w:r>
        <w:t xml:space="preserve">→ riesgo de pérdida total por daño del equipo o apagón → función: backup manual guiado, recordatorio, restauración y exportación de base →</w:t>
      </w:r>
      <w:r>
        <w:t xml:space="preserve"> </w:t>
      </w:r>
      <w:r>
        <w:rPr>
          <w:b/>
          <w:bCs/>
        </w:rPr>
        <w:t xml:space="preserve">indispensable</w:t>
      </w:r>
      <w:r>
        <w:t xml:space="preserve">.</w:t>
      </w:r>
    </w:p>
    <w:p>
      <w:pPr>
        <w:pStyle w:val="Compact"/>
        <w:numPr>
          <w:ilvl w:val="0"/>
          <w:numId w:val="1001"/>
        </w:numPr>
      </w:pPr>
      <w:r>
        <w:rPr>
          <w:b/>
          <w:bCs/>
        </w:rPr>
        <w:t xml:space="preserve">Datos del negocio</w:t>
      </w:r>
      <w:r>
        <w:t xml:space="preserve"> </w:t>
      </w:r>
      <w:r>
        <w:t xml:space="preserve">→ riesgo de desorden documental → función: RUC, nombre comercial, dirección, actividad, observaciones de permisos, campos de licencia municipal/ARCSA/bomberos →</w:t>
      </w:r>
      <w:r>
        <w:t xml:space="preserve"> </w:t>
      </w:r>
      <w:r>
        <w:rPr>
          <w:b/>
          <w:bCs/>
        </w:rPr>
        <w:t xml:space="preserve">recomendado</w:t>
      </w:r>
      <w:r>
        <w:t xml:space="preserve">.</w:t>
      </w:r>
    </w:p>
    <w:p>
      <w:pPr>
        <w:pStyle w:val="Compact"/>
        <w:numPr>
          <w:ilvl w:val="0"/>
          <w:numId w:val="1001"/>
        </w:numPr>
      </w:pPr>
      <w:r>
        <w:rPr>
          <w:b/>
          <w:bCs/>
        </w:rPr>
        <w:t xml:space="preserve">Licencia del software</w:t>
      </w:r>
      <w:r>
        <w:t xml:space="preserve"> </w:t>
      </w:r>
      <w:r>
        <w:t xml:space="preserve">→ riesgo comercial para el desarrollador → función: activación firmada, aviso previo, modo limitado ético, exportación y respaldo aun con licencia vencida →</w:t>
      </w:r>
      <w:r>
        <w:t xml:space="preserve"> </w:t>
      </w:r>
      <w:r>
        <w:rPr>
          <w:b/>
          <w:bCs/>
        </w:rPr>
        <w:t xml:space="preserve">indispensable</w:t>
      </w:r>
      <w:r>
        <w:t xml:space="preserve"> </w:t>
      </w:r>
      <w:r>
        <w:t xml:space="preserve">para el modelo de negocio.</w:t>
      </w:r>
    </w:p>
    <w:p>
      <w:pPr>
        <w:pStyle w:val="Compact"/>
        <w:numPr>
          <w:ilvl w:val="0"/>
          <w:numId w:val="1001"/>
        </w:numPr>
      </w:pPr>
      <w:r>
        <w:rPr>
          <w:b/>
          <w:bCs/>
        </w:rPr>
        <w:t xml:space="preserve">Transición a sistema avanzado</w:t>
      </w:r>
      <w:r>
        <w:t xml:space="preserve"> </w:t>
      </w:r>
      <w:r>
        <w:t xml:space="preserve">→ riesgo de vender mal algo que ya quedó corto → función: checklist de señales de migración y propuesta de nueva etapa →</w:t>
      </w:r>
      <w:r>
        <w:t xml:space="preserve"> </w:t>
      </w:r>
      <w:r>
        <w:rPr>
          <w:b/>
          <w:bCs/>
        </w:rPr>
        <w:t xml:space="preserve">indispensable</w:t>
      </w:r>
      <w:r>
        <w:t xml:space="preserve"> </w:t>
      </w:r>
      <w:r>
        <w:t xml:space="preserve">comercialmente.</w:t>
      </w:r>
      <w:r>
        <w:t xml:space="preserve"> </w:t>
      </w:r>
      <w:hyperlink r:id="rId26">
        <w:r>
          <w:rPr>
            <w:rStyle w:val="Hyperlink"/>
          </w:rPr>
          <w:t xml:space="preserve">[15]</w:t>
        </w:r>
      </w:hyperlink>
    </w:p>
    <w:bookmarkEnd w:id="31"/>
    <w:bookmarkStart w:id="32" w:name="X4a2565eba70f3fccd80e69a52ad9db380895f90"/>
    <w:p>
      <w:pPr>
        <w:pStyle w:val="Heading2"/>
      </w:pPr>
      <w:r>
        <w:t xml:space="preserve">Alcance recomendado de la primera versión vendible</w:t>
      </w:r>
    </w:p>
    <w:p>
      <w:pPr>
        <w:pStyle w:val="FirstParagraph"/>
      </w:pPr>
      <w:r>
        <w:rPr>
          <w:b/>
          <w:bCs/>
        </w:rPr>
        <w:t xml:space="preserve">E. Mapa de módulos recomendados.</w:t>
      </w:r>
      <w:r>
        <w:t xml:space="preserve"> </w:t>
      </w:r>
      <w:r>
        <w:t xml:space="preserve">La primera versión vendible debería concentrarse en ocho módulos base: configuración del negocio; productos; proveedores; compras/entradas; inventario y movimientos; salidas/ventas internas; reportes; y respaldo/licencia. Sobre esa base, conviene activar por configuración dos capacidades opcionales pero muy valiosas para despensas: lote/vencimiento y caja diaria simple. El producto debe verse serio y terminado, no “demo”, pero al mismo tiempo debe evitar parecer un ERP.</w:t>
      </w:r>
      <w:r>
        <w:t xml:space="preserve"> </w:t>
      </w:r>
      <w:hyperlink r:id="rId21">
        <w:r>
          <w:rPr>
            <w:rStyle w:val="Hyperlink"/>
          </w:rPr>
          <w:t xml:space="preserve">[16]</w:t>
        </w:r>
      </w:hyperlink>
    </w:p>
    <w:p>
      <w:pPr>
        <w:pStyle w:val="BodyText"/>
      </w:pPr>
      <w:r>
        <w:rPr>
          <w:b/>
          <w:bCs/>
        </w:rPr>
        <w:t xml:space="preserve">F. Funciones indispensables, recomendadas, opcionales y descartadas.</w:t>
      </w:r>
      <w:r>
        <w:br/>
      </w:r>
      <w:r>
        <w:t xml:space="preserve">Indispensables: registro de producto activo/inactivo, categoría, unidad, stock actual, stock mínimo, precio de compra de referencia, precio de venta, proveedor, compra con detalle, salida/venta interna simple, ajustes, merma/retiro, reportes de bajo stock/agotados/compras, respaldo y restauración, carpeta de reportes, datos del negocio y módulo de licencia. Recomendadas: marcas, foto, stock objetivo además del mínimo, historial de precios de compra, lote y vencimiento por producto habilitado, motivos estandarizados de merma, caja diaria, exportación PDF y CSV/Excel, y recordatorio de backup. Opcionales: fiado/cuentas por cobrar, deuda con proveedor, PIN simple por usuario, ubicación del producto, e incidencias por proveedor. Deben quedar fuera de la primera versión: nube obligatoria, app móvil, facturación electrónica, integración SRI, contabilidad formal, banca, tienda online, multi-sucursal, varias computadoras simultáneas, balanzas, lectores de código de barras, control avanzado de roles y auditoría empresarial. La razón no es “imposibilidad técnica”, sino proteger vendibilidad, simplicidad y alcance.</w:t>
      </w:r>
      <w:r>
        <w:t xml:space="preserve"> </w:t>
      </w:r>
      <w:hyperlink r:id="rId29">
        <w:r>
          <w:rPr>
            <w:rStyle w:val="Hyperlink"/>
          </w:rPr>
          <w:t xml:space="preserve">[17]</w:t>
        </w:r>
      </w:hyperlink>
    </w:p>
    <w:p>
      <w:pPr>
        <w:pStyle w:val="BodyText"/>
      </w:pPr>
      <w:r>
        <w:rPr>
          <w:b/>
          <w:bCs/>
        </w:rPr>
        <w:t xml:space="preserve">H. Casos de uso por módulo.</w:t>
      </w:r>
    </w:p>
    <w:p>
      <w:pPr>
        <w:pStyle w:val="Compact"/>
        <w:numPr>
          <w:ilvl w:val="0"/>
          <w:numId w:val="1002"/>
        </w:numPr>
      </w:pPr>
      <w:r>
        <w:rPr>
          <w:b/>
          <w:bCs/>
        </w:rPr>
        <w:t xml:space="preserve">Productos:</w:t>
      </w:r>
      <w:r>
        <w:t xml:space="preserve"> </w:t>
      </w:r>
      <w:r>
        <w:t xml:space="preserve">registrar, editar, desactivar, buscar, filtrar por categoría o marca, asociar foto, marcar si es perecible, refrigerado y si maneja lote/vencimiento.</w:t>
      </w:r>
    </w:p>
    <w:p>
      <w:pPr>
        <w:pStyle w:val="Compact"/>
        <w:numPr>
          <w:ilvl w:val="0"/>
          <w:numId w:val="1002"/>
        </w:numPr>
      </w:pPr>
      <w:r>
        <w:rPr>
          <w:b/>
          <w:bCs/>
        </w:rPr>
        <w:t xml:space="preserve">Proveedores:</w:t>
      </w:r>
      <w:r>
        <w:t xml:space="preserve"> </w:t>
      </w:r>
      <w:r>
        <w:t xml:space="preserve">registrar contacto, observaciones, productos que provee, última compra y variación de precios.</w:t>
      </w:r>
    </w:p>
    <w:p>
      <w:pPr>
        <w:pStyle w:val="Compact"/>
        <w:numPr>
          <w:ilvl w:val="0"/>
          <w:numId w:val="1002"/>
        </w:numPr>
      </w:pPr>
      <w:r>
        <w:rPr>
          <w:b/>
          <w:bCs/>
        </w:rPr>
        <w:t xml:space="preserve">Compras/Entradas:</w:t>
      </w:r>
      <w:r>
        <w:t xml:space="preserve"> </w:t>
      </w:r>
      <w:r>
        <w:t xml:space="preserve">crear recepción de mercadería, asignar proveedor, lote, vencimiento, costo unitario, cantidad, comprobante, observación, aceptación/rechazo y evidencia fotográfica opcional.</w:t>
      </w:r>
    </w:p>
    <w:p>
      <w:pPr>
        <w:pStyle w:val="Compact"/>
        <w:numPr>
          <w:ilvl w:val="0"/>
          <w:numId w:val="1002"/>
        </w:numPr>
      </w:pPr>
      <w:r>
        <w:rPr>
          <w:b/>
          <w:bCs/>
        </w:rPr>
        <w:t xml:space="preserve">Inventario/Movimientos:</w:t>
      </w:r>
      <w:r>
        <w:t xml:space="preserve"> </w:t>
      </w:r>
      <w:r>
        <w:t xml:space="preserve">entradas, salidas, ajustes, merma, producto dañado, producto vencido y trazabilidad de quién corrigió el stock y por qué.</w:t>
      </w:r>
    </w:p>
    <w:p>
      <w:pPr>
        <w:pStyle w:val="Compact"/>
        <w:numPr>
          <w:ilvl w:val="0"/>
          <w:numId w:val="1002"/>
        </w:numPr>
      </w:pPr>
      <w:r>
        <w:rPr>
          <w:b/>
          <w:bCs/>
        </w:rPr>
        <w:t xml:space="preserve">Salidas/Ventas internas:</w:t>
      </w:r>
      <w:r>
        <w:t xml:space="preserve"> </w:t>
      </w:r>
      <w:r>
        <w:t xml:space="preserve">venta rápida o salida operativa que descuente stock, totalice, registre método de pago opcional y muestre advertencia tributaria.</w:t>
      </w:r>
    </w:p>
    <w:p>
      <w:pPr>
        <w:pStyle w:val="Compact"/>
        <w:numPr>
          <w:ilvl w:val="0"/>
          <w:numId w:val="1002"/>
        </w:numPr>
      </w:pPr>
      <w:r>
        <w:rPr>
          <w:b/>
          <w:bCs/>
        </w:rPr>
        <w:t xml:space="preserve">Caja/Fiado opcionales:</w:t>
      </w:r>
      <w:r>
        <w:t xml:space="preserve"> </w:t>
      </w:r>
      <w:r>
        <w:t xml:space="preserve">apertura, ingresos, egresos, cierre, resumen; y, si el cliente realmente lo necesita, cliente fiado, saldo, abono y estado de cuenta simple.</w:t>
      </w:r>
    </w:p>
    <w:p>
      <w:pPr>
        <w:pStyle w:val="Compact"/>
        <w:numPr>
          <w:ilvl w:val="0"/>
          <w:numId w:val="1002"/>
        </w:numPr>
      </w:pPr>
      <w:r>
        <w:rPr>
          <w:b/>
          <w:bCs/>
        </w:rPr>
        <w:t xml:space="preserve">Reportes/Respaldo/Licencia:</w:t>
      </w:r>
      <w:r>
        <w:t xml:space="preserve"> </w:t>
      </w:r>
      <w:r>
        <w:t xml:space="preserve">generación simple, exportación, backup manual guiado, recordatorio por días sin respaldo, activación y renovación con modo limitado ético.</w:t>
      </w:r>
      <w:r>
        <w:t xml:space="preserve"> </w:t>
      </w:r>
      <w:hyperlink r:id="rId27">
        <w:r>
          <w:rPr>
            <w:rStyle w:val="Hyperlink"/>
          </w:rPr>
          <w:t xml:space="preserve">[18]</w:t>
        </w:r>
      </w:hyperlink>
    </w:p>
    <w:p>
      <w:pPr>
        <w:pStyle w:val="FirstParagraph"/>
      </w:pPr>
      <w:r>
        <w:rPr>
          <w:b/>
          <w:bCs/>
        </w:rPr>
        <w:t xml:space="preserve">I. Reportes clave.</w:t>
      </w:r>
      <w:r>
        <w:t xml:space="preserve"> </w:t>
      </w:r>
      <w:r>
        <w:t xml:space="preserve">Los reportes con más valor comercial real son: bajo stock, agotados, por comprar, poco movimiento, compras por período, historial de precio de compra, productos próximos a caducar, productos vencidos, pérdidas/mermas, inventario valorizado, ventas internas por día y cierre de caja. El reporte de “productos por comprar” merece diseño especial: además de filtrar por bajos o agotados, debe usar</w:t>
      </w:r>
      <w:r>
        <w:t xml:space="preserve"> </w:t>
      </w:r>
      <w:r>
        <w:rPr>
          <w:b/>
          <w:bCs/>
        </w:rPr>
        <w:t xml:space="preserve">stock mínimo</w:t>
      </w:r>
      <w:r>
        <w:t xml:space="preserve"> </w:t>
      </w:r>
      <w:r>
        <w:t xml:space="preserve">como punto de disparo y</w:t>
      </w:r>
      <w:r>
        <w:t xml:space="preserve"> </w:t>
      </w:r>
      <w:r>
        <w:rPr>
          <w:b/>
          <w:bCs/>
        </w:rPr>
        <w:t xml:space="preserve">stock objetivo</w:t>
      </w:r>
      <w:r>
        <w:t xml:space="preserve"> </w:t>
      </w:r>
      <w:r>
        <w:t xml:space="preserve">como meta de reposición; así la cantidad sugerida deja de ser un simple “mínimo menos actual” y se vuelve una orden útil. Sus columnas mínimas deberían ser producto, categoría, unidad/presentación, stock actual, stock mínimo, stock objetivo, cantidad sugerida, último costo, proveedor sugerido, fecha de reporte y observación. Debe exportar tanto a PDF listo para imprimir como a CSV/Excel para edición manual.</w:t>
      </w:r>
      <w:r>
        <w:t xml:space="preserve"> </w:t>
      </w:r>
      <w:hyperlink r:id="rId21">
        <w:r>
          <w:rPr>
            <w:rStyle w:val="Hyperlink"/>
          </w:rPr>
          <w:t xml:space="preserve">[19]</w:t>
        </w:r>
      </w:hyperlink>
    </w:p>
    <w:p>
      <w:pPr>
        <w:pStyle w:val="BodyText"/>
      </w:pPr>
      <w:r>
        <w:rPr>
          <w:b/>
          <w:bCs/>
        </w:rPr>
        <w:t xml:space="preserve">J. Experiencia de usuario.</w:t>
      </w:r>
      <w:r>
        <w:t xml:space="preserve"> </w:t>
      </w:r>
      <w:r>
        <w:t xml:space="preserve">La interfaz debe partir de un supuesto duro: muchos dueños no quieren “aprender un sistema”; quieren abrir una ventana y resolver. Por eso convienen botones grandes, lenguaje no técnico, pocos pasos, buscador siempre visible, colores suaves para bajo stock y vencimientos, ayuda contextual muy breve y acceso permanente a respaldo. La pantalla principal debería tener siete accesos máximos: Productos, Compras, Salidas o Ventas internas, Reportes, Caja, Respaldo y Configuración. En tiendas con menor cultura tecnológica, una UX sobria y poco intimidante es parte del producto, no un detalle cosmético.</w:t>
      </w:r>
      <w:r>
        <w:t xml:space="preserve"> </w:t>
      </w:r>
      <w:hyperlink r:id="rId22">
        <w:r>
          <w:rPr>
            <w:rStyle w:val="Hyperlink"/>
          </w:rPr>
          <w:t xml:space="preserve">[20]</w:t>
        </w:r>
      </w:hyperlink>
    </w:p>
    <w:bookmarkEnd w:id="32"/>
    <w:bookmarkStart w:id="35" w:name="Xcc86cb3af44d28818c67843612942269928e0fc"/>
    <w:p>
      <w:pPr>
        <w:pStyle w:val="Heading2"/>
      </w:pPr>
      <w:r>
        <w:t xml:space="preserve">Modelo de datos, evaluación de SQLite y arquitectura técnica</w:t>
      </w:r>
    </w:p>
    <w:p>
      <w:pPr>
        <w:pStyle w:val="FirstParagraph"/>
      </w:pPr>
      <w:r>
        <w:rPr>
          <w:b/>
          <w:bCs/>
        </w:rPr>
        <w:t xml:space="preserve">G. Modelo de datos propuesto.</w:t>
      </w:r>
      <w:r>
        <w:t xml:space="preserve"> </w:t>
      </w:r>
      <w:r>
        <w:t xml:space="preserve">Un modelo inicial razonable en SQLite es:</w:t>
      </w:r>
      <w:r>
        <w:t xml:space="preserve"> </w:t>
      </w:r>
      <w:r>
        <w:rPr>
          <w:rStyle w:val="VerbatimChar"/>
        </w:rPr>
        <w:t xml:space="preserve">Producto</w:t>
      </w:r>
      <w:r>
        <w:t xml:space="preserve">,</w:t>
      </w:r>
      <w:r>
        <w:t xml:space="preserve"> </w:t>
      </w:r>
      <w:r>
        <w:rPr>
          <w:rStyle w:val="VerbatimChar"/>
        </w:rPr>
        <w:t xml:space="preserve">Categoria</w:t>
      </w:r>
      <w:r>
        <w:t xml:space="preserve">,</w:t>
      </w:r>
      <w:r>
        <w:t xml:space="preserve"> </w:t>
      </w:r>
      <w:r>
        <w:rPr>
          <w:rStyle w:val="VerbatimChar"/>
        </w:rPr>
        <w:t xml:space="preserve">Marca</w:t>
      </w:r>
      <w:r>
        <w:t xml:space="preserve">,</w:t>
      </w:r>
      <w:r>
        <w:t xml:space="preserve"> </w:t>
      </w:r>
      <w:r>
        <w:rPr>
          <w:rStyle w:val="VerbatimChar"/>
        </w:rPr>
        <w:t xml:space="preserve">UnidadMedida</w:t>
      </w:r>
      <w:r>
        <w:t xml:space="preserve">,</w:t>
      </w:r>
      <w:r>
        <w:t xml:space="preserve"> </w:t>
      </w:r>
      <w:r>
        <w:rPr>
          <w:rStyle w:val="VerbatimChar"/>
        </w:rPr>
        <w:t xml:space="preserve">Proveedor</w:t>
      </w:r>
      <w:r>
        <w:t xml:space="preserve">,</w:t>
      </w:r>
      <w:r>
        <w:t xml:space="preserve"> </w:t>
      </w:r>
      <w:r>
        <w:rPr>
          <w:rStyle w:val="VerbatimChar"/>
        </w:rPr>
        <w:t xml:space="preserve">Compra</w:t>
      </w:r>
      <w:r>
        <w:t xml:space="preserve">,</w:t>
      </w:r>
      <w:r>
        <w:t xml:space="preserve"> </w:t>
      </w:r>
      <w:r>
        <w:rPr>
          <w:rStyle w:val="VerbatimChar"/>
        </w:rPr>
        <w:t xml:space="preserve">DetalleCompra</w:t>
      </w:r>
      <w:r>
        <w:t xml:space="preserve">,</w:t>
      </w:r>
      <w:r>
        <w:t xml:space="preserve"> </w:t>
      </w:r>
      <w:r>
        <w:rPr>
          <w:rStyle w:val="VerbatimChar"/>
        </w:rPr>
        <w:t xml:space="preserve">LoteProducto</w:t>
      </w:r>
      <w:r>
        <w:t xml:space="preserve">,</w:t>
      </w:r>
      <w:r>
        <w:t xml:space="preserve"> </w:t>
      </w:r>
      <w:r>
        <w:rPr>
          <w:rStyle w:val="VerbatimChar"/>
        </w:rPr>
        <w:t xml:space="preserve">VentaInterna</w:t>
      </w:r>
      <w:r>
        <w:t xml:space="preserve">,</w:t>
      </w:r>
      <w:r>
        <w:t xml:space="preserve"> </w:t>
      </w:r>
      <w:r>
        <w:rPr>
          <w:rStyle w:val="VerbatimChar"/>
        </w:rPr>
        <w:t xml:space="preserve">DetalleVentaInterna</w:t>
      </w:r>
      <w:r>
        <w:t xml:space="preserve">,</w:t>
      </w:r>
      <w:r>
        <w:t xml:space="preserve"> </w:t>
      </w:r>
      <w:r>
        <w:rPr>
          <w:rStyle w:val="VerbatimChar"/>
        </w:rPr>
        <w:t xml:space="preserve">MovimientoInventario</w:t>
      </w:r>
      <w:r>
        <w:t xml:space="preserve">,</w:t>
      </w:r>
      <w:r>
        <w:t xml:space="preserve"> </w:t>
      </w:r>
      <w:r>
        <w:rPr>
          <w:rStyle w:val="VerbatimChar"/>
        </w:rPr>
        <w:t xml:space="preserve">CajaDiaria</w:t>
      </w:r>
      <w:r>
        <w:t xml:space="preserve">,</w:t>
      </w:r>
      <w:r>
        <w:t xml:space="preserve"> </w:t>
      </w:r>
      <w:r>
        <w:rPr>
          <w:rStyle w:val="VerbatimChar"/>
        </w:rPr>
        <w:t xml:space="preserve">MovimientoCaja</w:t>
      </w:r>
      <w:r>
        <w:t xml:space="preserve">,</w:t>
      </w:r>
      <w:r>
        <w:t xml:space="preserve"> </w:t>
      </w:r>
      <w:r>
        <w:rPr>
          <w:rStyle w:val="VerbatimChar"/>
        </w:rPr>
        <w:t xml:space="preserve">ClienteFiado</w:t>
      </w:r>
      <w:r>
        <w:t xml:space="preserve">,</w:t>
      </w:r>
      <w:r>
        <w:t xml:space="preserve"> </w:t>
      </w:r>
      <w:r>
        <w:rPr>
          <w:rStyle w:val="VerbatimChar"/>
        </w:rPr>
        <w:t xml:space="preserve">CuentaPorCobrar</w:t>
      </w:r>
      <w:r>
        <w:t xml:space="preserve">,</w:t>
      </w:r>
      <w:r>
        <w:t xml:space="preserve"> </w:t>
      </w:r>
      <w:r>
        <w:rPr>
          <w:rStyle w:val="VerbatimChar"/>
        </w:rPr>
        <w:t xml:space="preserve">Abono</w:t>
      </w:r>
      <w:r>
        <w:t xml:space="preserve">,</w:t>
      </w:r>
      <w:r>
        <w:t xml:space="preserve"> </w:t>
      </w:r>
      <w:r>
        <w:rPr>
          <w:rStyle w:val="VerbatimChar"/>
        </w:rPr>
        <w:t xml:space="preserve">MermaRetiro</w:t>
      </w:r>
      <w:r>
        <w:t xml:space="preserve">,</w:t>
      </w:r>
      <w:r>
        <w:t xml:space="preserve"> </w:t>
      </w:r>
      <w:r>
        <w:rPr>
          <w:rStyle w:val="VerbatimChar"/>
        </w:rPr>
        <w:t xml:space="preserve">ConfiguracionNegocio</w:t>
      </w:r>
      <w:r>
        <w:t xml:space="preserve">,</w:t>
      </w:r>
      <w:r>
        <w:t xml:space="preserve"> </w:t>
      </w:r>
      <w:r>
        <w:rPr>
          <w:rStyle w:val="VerbatimChar"/>
        </w:rPr>
        <w:t xml:space="preserve">LicenciaSistema</w:t>
      </w:r>
      <w:r>
        <w:t xml:space="preserve"> </w:t>
      </w:r>
      <w:r>
        <w:t xml:space="preserve">y</w:t>
      </w:r>
      <w:r>
        <w:t xml:space="preserve"> </w:t>
      </w:r>
      <w:r>
        <w:rPr>
          <w:rStyle w:val="VerbatimChar"/>
        </w:rPr>
        <w:t xml:space="preserve">RespaldoSistema</w:t>
      </w:r>
      <w:r>
        <w:t xml:space="preserve">.</w:t>
      </w:r>
      <w:r>
        <w:t xml:space="preserve"> </w:t>
      </w:r>
      <w:r>
        <w:rPr>
          <w:rStyle w:val="VerbatimChar"/>
        </w:rPr>
        <w:t xml:space="preserve">Marca</w:t>
      </w:r>
      <w:r>
        <w:t xml:space="preserve"> </w:t>
      </w:r>
      <w:r>
        <w:t xml:space="preserve">debe ser entidad cuando te interese filtrar, normalizar escritura o reportar por marca; si no, puede empezar como texto.</w:t>
      </w:r>
      <w:r>
        <w:t xml:space="preserve"> </w:t>
      </w:r>
      <w:r>
        <w:rPr>
          <w:rStyle w:val="VerbatimChar"/>
        </w:rPr>
        <w:t xml:space="preserve">Proveedor</w:t>
      </w:r>
      <w:r>
        <w:t xml:space="preserve"> </w:t>
      </w:r>
      <w:r>
        <w:t xml:space="preserve">sí merece ser entidad desde la primera versión porque compras, teléfonos, observaciones y precio histórico son parte del valor del sistema.</w:t>
      </w:r>
      <w:r>
        <w:t xml:space="preserve"> </w:t>
      </w:r>
      <w:r>
        <w:rPr>
          <w:rStyle w:val="VerbatimChar"/>
        </w:rPr>
        <w:t xml:space="preserve">LoteProducto</w:t>
      </w:r>
      <w:r>
        <w:t xml:space="preserve"> </w:t>
      </w:r>
      <w:r>
        <w:t xml:space="preserve">debe existir solo para productos con trazabilidad sanitaria o comercial relevante; imponerlo a toda la tienda volvería el sistema torpe.</w:t>
      </w:r>
      <w:r>
        <w:t xml:space="preserve"> </w:t>
      </w:r>
      <w:r>
        <w:rPr>
          <w:rStyle w:val="VerbatimChar"/>
        </w:rPr>
        <w:t xml:space="preserve">VentaInterna</w:t>
      </w:r>
      <w:r>
        <w:t xml:space="preserve"> </w:t>
      </w:r>
      <w:r>
        <w:t xml:space="preserve">es valiosa si se nombra así y se acompaña de una advertencia tributaria clara;</w:t>
      </w:r>
      <w:r>
        <w:t xml:space="preserve"> </w:t>
      </w:r>
      <w:r>
        <w:rPr>
          <w:rStyle w:val="VerbatimChar"/>
        </w:rPr>
        <w:t xml:space="preserve">CajaDiaria</w:t>
      </w:r>
      <w:r>
        <w:t xml:space="preserve"> </w:t>
      </w:r>
      <w:r>
        <w:t xml:space="preserve">conviene cuando el dueño quiere disciplina sobre efectivo y/o tiene empleados;</w:t>
      </w:r>
      <w:r>
        <w:t xml:space="preserve"> </w:t>
      </w:r>
      <w:r>
        <w:rPr>
          <w:rStyle w:val="VerbatimChar"/>
        </w:rPr>
        <w:t xml:space="preserve">Fiado</w:t>
      </w:r>
      <w:r>
        <w:t xml:space="preserve"> </w:t>
      </w:r>
      <w:r>
        <w:t xml:space="preserve">aporta mucho en barrio, pero como módulo opcional porque amplía alcance y soporte.</w:t>
      </w:r>
      <w:r>
        <w:t xml:space="preserve"> </w:t>
      </w:r>
      <w:hyperlink r:id="rId21">
        <w:r>
          <w:rPr>
            <w:rStyle w:val="Hyperlink"/>
          </w:rPr>
          <w:t xml:space="preserve">[21]</w:t>
        </w:r>
      </w:hyperlink>
    </w:p>
    <w:p>
      <w:pPr>
        <w:pStyle w:val="BodyText"/>
      </w:pPr>
      <w:r>
        <w:rPr>
          <w:b/>
          <w:bCs/>
        </w:rPr>
        <w:t xml:space="preserve">M. Evaluación de SQLite.</w:t>
      </w:r>
      <w:r>
        <w:t xml:space="preserve"> </w:t>
      </w:r>
      <w:r>
        <w:t xml:space="preserve">SQLite encaja bien en este producto por cuatro motivos oficiales: es una base de datos embebida y sin servidor, funciona como archivo local, está diseñada precisamente para aplicaciones cliente y soporta copias de seguridad dedicadas; además, en modo WAL permite lecturas concurrentes con escritura, aunque sigue habiendo un solo escritor efectivo a la vez. Para una tienda de una sola computadora, eso es una ventaja, no una limitación. Donde SQLite deja de ser suficiente es en acceso remoto, varias computadoras simultáneas, varias sucursales, red compartida, permisos por rol fuertes, auditoría robusta e integración tributaria o bancaria constante. El límite real para tu nicho no será la cantidad de productos, sino la concurrencia, la necesidad de red y el salto regulatorio.</w:t>
      </w:r>
      <w:r>
        <w:t xml:space="preserve"> </w:t>
      </w:r>
      <w:hyperlink r:id="rId33">
        <w:r>
          <w:rPr>
            <w:rStyle w:val="Hyperlink"/>
          </w:rPr>
          <w:t xml:space="preserve">[22]</w:t>
        </w:r>
      </w:hyperlink>
    </w:p>
    <w:p>
      <w:pPr>
        <w:pStyle w:val="BodyText"/>
      </w:pPr>
      <w:r>
        <w:rPr>
          <w:b/>
          <w:bCs/>
        </w:rPr>
        <w:t xml:space="preserve">M. Evaluación de SQLite.</w:t>
      </w:r>
      <w:r>
        <w:t xml:space="preserve"> </w:t>
      </w:r>
      <w:r>
        <w:t xml:space="preserve">La recomendación operativa, dado el contexto de cortes eléctricos, es usar SQLite con</w:t>
      </w:r>
      <w:r>
        <w:t xml:space="preserve"> </w:t>
      </w:r>
      <w:r>
        <w:rPr>
          <w:rStyle w:val="VerbatimChar"/>
        </w:rPr>
        <w:t xml:space="preserve">foreign_keys=ON</w:t>
      </w:r>
      <w:r>
        <w:t xml:space="preserve">, transacciones estrictas en compras/ventas/ajustes,</w:t>
      </w:r>
      <w:r>
        <w:t xml:space="preserve"> </w:t>
      </w:r>
      <w:r>
        <w:rPr>
          <w:rStyle w:val="VerbatimChar"/>
        </w:rPr>
        <w:t xml:space="preserve">busy_timeout</w:t>
      </w:r>
      <w:r>
        <w:t xml:space="preserve">, y una estrategia de backup formal antes de restauraciones o cambios delicados. También conviene tratar con seriedad el riesgo de corrupción por apagones, no porque SQLite sea débil, sino porque cualquier sistema local con un solo equipo es frágil ante fallos de energía y almacenamiento; por eso el producto debe insistir en respaldos externos y permitir recuperación simple.</w:t>
      </w:r>
      <w:r>
        <w:t xml:space="preserve"> </w:t>
      </w:r>
      <w:hyperlink r:id="rId28">
        <w:r>
          <w:rPr>
            <w:rStyle w:val="Hyperlink"/>
          </w:rPr>
          <w:t xml:space="preserve">[23]</w:t>
        </w:r>
      </w:hyperlink>
    </w:p>
    <w:p>
      <w:pPr>
        <w:pStyle w:val="BodyText"/>
      </w:pPr>
      <w:r>
        <w:rPr>
          <w:b/>
          <w:bCs/>
        </w:rPr>
        <w:t xml:space="preserve">N. Arquitectura técnica JavaFX + SQLite.</w:t>
      </w:r>
      <w:r>
        <w:t xml:space="preserve"> </w:t>
      </w:r>
      <w:r>
        <w:t xml:space="preserve">La arquitectura no necesita sobreingeniería. Una base profesional y mantenible basta con cuatro capas:</w:t>
      </w:r>
      <w:r>
        <w:t xml:space="preserve"> </w:t>
      </w:r>
      <w:r>
        <w:rPr>
          <w:b/>
          <w:bCs/>
        </w:rPr>
        <w:t xml:space="preserve">dominio</w:t>
      </w:r>
      <w:r>
        <w:t xml:space="preserve"> </w:t>
      </w:r>
      <w:r>
        <w:t xml:space="preserve">para entidades y reglas;</w:t>
      </w:r>
      <w:r>
        <w:t xml:space="preserve"> </w:t>
      </w:r>
      <w:r>
        <w:rPr>
          <w:b/>
          <w:bCs/>
        </w:rPr>
        <w:t xml:space="preserve">aplicación</w:t>
      </w:r>
      <w:r>
        <w:t xml:space="preserve"> </w:t>
      </w:r>
      <w:r>
        <w:t xml:space="preserve">para casos de uso y servicios;</w:t>
      </w:r>
      <w:r>
        <w:t xml:space="preserve"> </w:t>
      </w:r>
      <w:r>
        <w:rPr>
          <w:b/>
          <w:bCs/>
        </w:rPr>
        <w:t xml:space="preserve">infraestructura</w:t>
      </w:r>
      <w:r>
        <w:t xml:space="preserve"> </w:t>
      </w:r>
      <w:r>
        <w:t xml:space="preserve">para SQLite, reportes, licencia, logs, configuración y backups; e</w:t>
      </w:r>
      <w:r>
        <w:t xml:space="preserve"> </w:t>
      </w:r>
      <w:r>
        <w:rPr>
          <w:b/>
          <w:bCs/>
        </w:rPr>
        <w:t xml:space="preserve">interfaz</w:t>
      </w:r>
      <w:r>
        <w:t xml:space="preserve"> </w:t>
      </w:r>
      <w:r>
        <w:t xml:space="preserve">para JavaFX. En el disco del cliente, la estructura visible debería ser simple: carpeta</w:t>
      </w:r>
      <w:r>
        <w:t xml:space="preserve"> </w:t>
      </w:r>
      <w:r>
        <w:rPr>
          <w:rStyle w:val="VerbatimChar"/>
        </w:rPr>
        <w:t xml:space="preserve">data</w:t>
      </w:r>
      <w:r>
        <w:t xml:space="preserve"> </w:t>
      </w:r>
      <w:r>
        <w:t xml:space="preserve">para la base;</w:t>
      </w:r>
      <w:r>
        <w:t xml:space="preserve"> </w:t>
      </w:r>
      <w:r>
        <w:rPr>
          <w:rStyle w:val="VerbatimChar"/>
        </w:rPr>
        <w:t xml:space="preserve">backups</w:t>
      </w:r>
      <w:r>
        <w:t xml:space="preserve">;</w:t>
      </w:r>
      <w:r>
        <w:t xml:space="preserve"> </w:t>
      </w:r>
      <w:r>
        <w:rPr>
          <w:rStyle w:val="VerbatimChar"/>
        </w:rPr>
        <w:t xml:space="preserve">reports</w:t>
      </w:r>
      <w:r>
        <w:t xml:space="preserve">;</w:t>
      </w:r>
      <w:r>
        <w:t xml:space="preserve"> </w:t>
      </w:r>
      <w:r>
        <w:rPr>
          <w:rStyle w:val="VerbatimChar"/>
        </w:rPr>
        <w:t xml:space="preserve">images/products</w:t>
      </w:r>
      <w:r>
        <w:t xml:space="preserve">;</w:t>
      </w:r>
      <w:r>
        <w:t xml:space="preserve"> </w:t>
      </w:r>
      <w:r>
        <w:rPr>
          <w:rStyle w:val="VerbatimChar"/>
        </w:rPr>
        <w:t xml:space="preserve">logs</w:t>
      </w:r>
      <w:r>
        <w:t xml:space="preserve">;</w:t>
      </w:r>
      <w:r>
        <w:t xml:space="preserve"> </w:t>
      </w:r>
      <w:r>
        <w:rPr>
          <w:rStyle w:val="VerbatimChar"/>
        </w:rPr>
        <w:t xml:space="preserve">config</w:t>
      </w:r>
      <w:r>
        <w:t xml:space="preserve">; y</w:t>
      </w:r>
      <w:r>
        <w:t xml:space="preserve"> </w:t>
      </w:r>
      <w:r>
        <w:rPr>
          <w:rStyle w:val="VerbatimChar"/>
        </w:rPr>
        <w:t xml:space="preserve">license</w:t>
      </w:r>
      <w:r>
        <w:t xml:space="preserve">. Las migraciones pueden resolverse con scripts SQL versionados y una tabla de versión local; no necesitas una plataforma externa. En empaquetado,</w:t>
      </w:r>
      <w:r>
        <w:t xml:space="preserve"> </w:t>
      </w:r>
      <w:r>
        <w:rPr>
          <w:rStyle w:val="VerbatimChar"/>
        </w:rPr>
        <w:t xml:space="preserve">jpackage</w:t>
      </w:r>
      <w:r>
        <w:t xml:space="preserve"> </w:t>
      </w:r>
      <w:r>
        <w:t xml:space="preserve">es la opción oficial para distribuir una app de escritorio con su runtime y no obligar al cliente a instalar Java aparte.</w:t>
      </w:r>
      <w:r>
        <w:t xml:space="preserve"> </w:t>
      </w:r>
      <w:hyperlink r:id="rId34">
        <w:r>
          <w:rPr>
            <w:rStyle w:val="Hyperlink"/>
          </w:rPr>
          <w:t xml:space="preserve">[24]</w:t>
        </w:r>
      </w:hyperlink>
    </w:p>
    <w:bookmarkEnd w:id="35"/>
    <w:bookmarkStart w:id="38" w:name="X1453fd195c9480a6d9335bc0054a942867e23fb"/>
    <w:p>
      <w:pPr>
        <w:pStyle w:val="Heading2"/>
      </w:pPr>
      <w:r>
        <w:t xml:space="preserve">Modelo comercial, competencia y transición a sistema avanzado</w:t>
      </w:r>
    </w:p>
    <w:p>
      <w:pPr>
        <w:pStyle w:val="FirstParagraph"/>
      </w:pPr>
      <w:r>
        <w:rPr>
          <w:b/>
          <w:bCs/>
        </w:rPr>
        <w:t xml:space="preserve">K. Modelo comercial y licenciamiento.</w:t>
      </w:r>
      <w:r>
        <w:t xml:space="preserve"> </w:t>
      </w:r>
      <w:r>
        <w:t xml:space="preserve">El modelo que mejor calza con este nicho no parece ser una mensualidad de infraestructura obligatoria, sino una combinación de</w:t>
      </w:r>
      <w:r>
        <w:t xml:space="preserve"> </w:t>
      </w:r>
      <w:r>
        <w:rPr>
          <w:b/>
          <w:bCs/>
        </w:rPr>
        <w:t xml:space="preserve">instalación y parametrización inicial</w:t>
      </w:r>
      <w:r>
        <w:t xml:space="preserve"> </w:t>
      </w:r>
      <w:r>
        <w:t xml:space="preserve">más</w:t>
      </w:r>
      <w:r>
        <w:t xml:space="preserve"> </w:t>
      </w:r>
      <w:r>
        <w:rPr>
          <w:b/>
          <w:bCs/>
        </w:rPr>
        <w:t xml:space="preserve">licencia local renovable</w:t>
      </w:r>
      <w:r>
        <w:t xml:space="preserve"> </w:t>
      </w:r>
      <w:r>
        <w:t xml:space="preserve">por período, idealmente anual o trimestral según caja del cliente. Éticamente, la licencia no debe secuestrar datos: si vence, lo adecuado es modo solo lectura o modo limitado para nuevas operaciones, manteniendo consulta, exportación y respaldo. Esta lógica ya existe en el mercado regional en formas distintas: licencias anuales, licencias perpetuas y servicios cloud anuales o mensuales. Tu diferenciación no debe basarse en castigo técnico, sino en soporte, claridad contractual y continuidad operativa.</w:t>
      </w:r>
      <w:r>
        <w:t xml:space="preserve"> </w:t>
      </w:r>
      <w:hyperlink r:id="rId36">
        <w:r>
          <w:rPr>
            <w:rStyle w:val="Hyperlink"/>
          </w:rPr>
          <w:t xml:space="preserve">[25]</w:t>
        </w:r>
      </w:hyperlink>
    </w:p>
    <w:p>
      <w:pPr>
        <w:pStyle w:val="BodyText"/>
      </w:pPr>
      <w:r>
        <w:rPr>
          <w:b/>
          <w:bCs/>
        </w:rPr>
        <w:t xml:space="preserve">K. Modelo comercial y licenciamiento.</w:t>
      </w:r>
      <w:r>
        <w:t xml:space="preserve"> </w:t>
      </w:r>
      <w:r>
        <w:t xml:space="preserve">Como estrategia, el paquete más sano para clientes pequeños sería algo así: “sistema local sin internet obligatorio, licencia renovable, instalación en una computadora, capacitación inicial, respaldo guiado y soporte por período”. Los textos comerciales útiles serían: “Sistema local con licencia renovable”, “Sus datos siguen disponibles aunque la licencia venza”, “No depende de internet para operar”, y “Si su negocio crece a varias computadoras o facturación electrónica, migramos a una nueva etapa”. Eso protege tu reputación y también reduce peleas posteriores.</w:t>
      </w:r>
      <w:r>
        <w:t xml:space="preserve"> </w:t>
      </w:r>
      <w:hyperlink r:id="rId36">
        <w:r>
          <w:rPr>
            <w:rStyle w:val="Hyperlink"/>
          </w:rPr>
          <w:t xml:space="preserve">[26]</w:t>
        </w:r>
      </w:hyperlink>
    </w:p>
    <w:p>
      <w:pPr>
        <w:pStyle w:val="BodyText"/>
      </w:pPr>
      <w:r>
        <w:rPr>
          <w:b/>
          <w:bCs/>
        </w:rPr>
        <w:t xml:space="preserve">Q. Investigación competitiva.</w:t>
      </w:r>
      <w:r>
        <w:t xml:space="preserve"> </w:t>
      </w:r>
      <w:r>
        <w:t xml:space="preserve">El mercado ya ofrece alternativas baratas o integrales. Entre los ejemplos revisados, WooFactura</w:t>
      </w:r>
      <w:hyperlink r:id="rId36">
        <w:r>
          <w:rPr>
            <w:rStyle w:val="Hyperlink"/>
          </w:rPr>
          <w:t xml:space="preserve">[27]</w:t>
        </w:r>
      </w:hyperlink>
      <w:r>
        <w:t xml:space="preserve"> </w:t>
      </w:r>
      <w:r>
        <w:t xml:space="preserve">ofrece inventarios y POS desde USD 160 anuales y un stack cloud orientado a facturación, inventarios y escalado; Factumarket</w:t>
      </w:r>
      <w:hyperlink r:id="rId21">
        <w:r>
          <w:rPr>
            <w:rStyle w:val="Hyperlink"/>
          </w:rPr>
          <w:t xml:space="preserve">[28]</w:t>
        </w:r>
      </w:hyperlink>
      <w:r>
        <w:t xml:space="preserve"> </w:t>
      </w:r>
      <w:r>
        <w:t xml:space="preserve">publica licencias para minimarket y licencias perpetuas base alrededor de USD 240; PCGerente</w:t>
      </w:r>
      <w:hyperlink r:id="rId30">
        <w:r>
          <w:rPr>
            <w:rStyle w:val="Hyperlink"/>
          </w:rPr>
          <w:t xml:space="preserve">[29]</w:t>
        </w:r>
      </w:hyperlink>
      <w:r>
        <w:t xml:space="preserve"> </w:t>
      </w:r>
      <w:r>
        <w:t xml:space="preserve">se posiciona como software sin mensualidades y con foco en facturación electrónica/contabilidad; Loyverse</w:t>
      </w:r>
      <w:hyperlink r:id="rId26">
        <w:r>
          <w:rPr>
            <w:rStyle w:val="Hyperlink"/>
          </w:rPr>
          <w:t xml:space="preserve">[30]</w:t>
        </w:r>
      </w:hyperlink>
      <w:r>
        <w:t xml:space="preserve"> </w:t>
      </w:r>
      <w:r>
        <w:t xml:space="preserve">usa add-ons desde USD 5 mensuales por tienda y USD 25 mensuales para inventario avanzado; y Alegra</w:t>
      </w:r>
      <w:hyperlink r:id="rId28">
        <w:r>
          <w:rPr>
            <w:rStyle w:val="Hyperlink"/>
          </w:rPr>
          <w:t xml:space="preserve">[31]</w:t>
        </w:r>
      </w:hyperlink>
      <w:r>
        <w:t xml:space="preserve"> </w:t>
      </w:r>
      <w:r>
        <w:t xml:space="preserve">aparece con precio inicial de USD 29,99 al mes en una ficha regional y con un enfoque mucho más orientado a POS, inventario, empleados, compras y multitienda. En regional también existe Sistema Monica</w:t>
      </w:r>
      <w:hyperlink r:id="rId25">
        <w:r>
          <w:rPr>
            <w:rStyle w:val="Hyperlink"/>
          </w:rPr>
          <w:t xml:space="preserve">[32]</w:t>
        </w:r>
      </w:hyperlink>
      <w:r>
        <w:t xml:space="preserve"> </w:t>
      </w:r>
      <w:r>
        <w:t xml:space="preserve">con soporte para varias computadoras y modelos de licencia anual. El hueco que queda libre no es “otro POS igual”, sino un producto local, offline, simple, de una sola PC, inventario‑primero y sin promesa tributaria desbordada.</w:t>
      </w:r>
      <w:r>
        <w:t xml:space="preserve"> </w:t>
      </w:r>
      <w:hyperlink r:id="rId36">
        <w:r>
          <w:rPr>
            <w:rStyle w:val="Hyperlink"/>
          </w:rPr>
          <w:t xml:space="preserve">[33]</w:t>
        </w:r>
      </w:hyperlink>
    </w:p>
    <w:p>
      <w:pPr>
        <w:pStyle w:val="BodyText"/>
      </w:pPr>
      <w:r>
        <w:rPr>
          <w:b/>
          <w:bCs/>
        </w:rPr>
        <w:t xml:space="preserve">L. Señales de transición a sistema avanzado.</w:t>
      </w:r>
      <w:r>
        <w:t xml:space="preserve"> </w:t>
      </w:r>
      <w:r>
        <w:t xml:space="preserve">Debes vender desde el inicio un criterio de salida. SQLite deja de ser la mejor respuesta cuando el cliente pide dos o más cajas simultáneas, varias computadoras, varias sucursales, acceso remoto, auditoría fuerte, permisos por rol, integración con SRI, lector de código de barras como requisito operativo, balanzas, tienda online, conciliación bancaria o trabajo desde móvil. Si además el negocio entra en e‑facturación con transmisión inmediata obligatoria al SRI, el salto deja de ser opcional. La etapa siguiente debería cotizarse aparte como migración a PostgreSQL más backend y, de ser necesario, mantener JavaFX como cliente o pasar a web.</w:t>
      </w:r>
      <w:r>
        <w:t xml:space="preserve"> </w:t>
      </w:r>
      <w:hyperlink r:id="rId37">
        <w:r>
          <w:rPr>
            <w:rStyle w:val="Hyperlink"/>
          </w:rPr>
          <w:t xml:space="preserve">[34]</w:t>
        </w:r>
      </w:hyperlink>
    </w:p>
    <w:p>
      <w:pPr>
        <w:pStyle w:val="BodyText"/>
      </w:pPr>
      <w:r>
        <w:rPr>
          <w:b/>
          <w:bCs/>
        </w:rPr>
        <w:t xml:space="preserve">R. Riesgos comerciales y técnicos.</w:t>
      </w:r>
      <w:r>
        <w:t xml:space="preserve"> </w:t>
      </w:r>
      <w:r>
        <w:t xml:space="preserve">Los riesgos más probables son conocidos: cliente que “quiere todo” por precio bajo; cliente que no hace respaldos y luego culpa al sistema; expectativa de facturación electrónica cuando tú vendiste solo control interno; intento de usar varias computadoras con una licencia local barata; rechazo a la renovación; y abandono del uso por falta de disciplina. Las mitigaciones correctas no son técnicas solamente. Necesitas alcance escrito, anticipo, checklist de instalación, capacitación mínima obligatoria, manual corto, mensajes claros dentro del sistema, backups evidentes, cláusula de soporte por etapa y un modo de licencia que no destruya datos. En ventas presenciales, además, conviene apoyarse en referencias, folleto simple y discurso de bajo riesgo, porque la inseguridad ha elevado la desconfianza hacia desconocidos.</w:t>
      </w:r>
      <w:r>
        <w:t xml:space="preserve"> </w:t>
      </w:r>
      <w:hyperlink r:id="rId22">
        <w:r>
          <w:rPr>
            <w:rStyle w:val="Hyperlink"/>
          </w:rPr>
          <w:t xml:space="preserve">[35]</w:t>
        </w:r>
      </w:hyperlink>
    </w:p>
    <w:bookmarkEnd w:id="38"/>
    <w:bookmarkStart w:id="41" w:name="X2ca7a78a2c8104fbdb203aaf90f0fc7b5f3bc3b"/>
    <w:p>
      <w:pPr>
        <w:pStyle w:val="Heading2"/>
      </w:pPr>
      <w:r>
        <w:t xml:space="preserve">Trabajo de campo, checklists y recomendación final</w:t>
      </w:r>
    </w:p>
    <w:p>
      <w:pPr>
        <w:pStyle w:val="FirstParagraph"/>
      </w:pPr>
      <w:r>
        <w:rPr>
          <w:b/>
          <w:bCs/>
        </w:rPr>
        <w:t xml:space="preserve">O. Preguntas de levantamiento de información.</w:t>
      </w:r>
      <w:r>
        <w:t xml:space="preserve"> </w:t>
      </w:r>
      <w:r>
        <w:t xml:space="preserve">Para una visita eficaz, pregunta: qué productos venden más y cuáles se agotan; cuántos productos activos manejan; si venden perecibles, refrigerados o congelados; si registran compras, cómo y con qué frecuencia; si sus proveedores dejan factura, nota de entrega o nada; si revisan vencimiento y daños al recibir; cómo saben hoy qué comprar; si venden fiado; si hacen cierre de caja; si usan computadora e impresora; si internet es estable o irrelevante; si quieren llevar solo stock o también caja/fiado; si alguna vez perdieron datos; si hoy tienen problemas con apagones; si emiten notas, facturas electrónicas o ambos; y si pagarían mejor un único valor inicial, una licencia renovable o soporte por evento. Para descubrir entidades, pregunta además qué cosas repiten mucho, qué buscan seguido, qué tiene fechas, qué tiene cantidades, qué cambia de precio y qué necesitan ver en reportes.</w:t>
      </w:r>
      <w:r>
        <w:t xml:space="preserve"> </w:t>
      </w:r>
      <w:hyperlink r:id="rId39">
        <w:r>
          <w:rPr>
            <w:rStyle w:val="Hyperlink"/>
          </w:rPr>
          <w:t xml:space="preserve">[36]</w:t>
        </w:r>
      </w:hyperlink>
    </w:p>
    <w:p>
      <w:pPr>
        <w:pStyle w:val="BodyText"/>
      </w:pPr>
      <w:r>
        <w:rPr>
          <w:b/>
          <w:bCs/>
        </w:rPr>
        <w:t xml:space="preserve">P. Checklist de visita a negocio.</w:t>
      </w:r>
      <w:r>
        <w:t xml:space="preserve"> </w:t>
      </w:r>
      <w:r>
        <w:t xml:space="preserve">Observa tamaño del local; una o varias cajas; existencia de refrigeradores; si hay carnes, lácteos, huevos o secos a granel; cuántos proveedores parecen operar; si hay cuaderno, Excel o sistema; si hay impresora; si el negocio mezcla dinero personal y de tienda; si se ve cultura de archivo de facturas/notas; si el dueño usa WhatsApp o redes para el negocio; si parece haber empleados además de familia; si el ambiente revela necesidad de rapidez extrema; y si el negocio pide ya facturación, varias computadoras o control por usuario. Si encuentras dos cajas activas, varios empleados, mucho producto perecible, exigencia tributaria inmediata o expectativa de multiusuario, probablemente ya no encaja en la versión local simple.</w:t>
      </w:r>
      <w:r>
        <w:t xml:space="preserve"> </w:t>
      </w:r>
      <w:hyperlink r:id="rId39">
        <w:r>
          <w:rPr>
            <w:rStyle w:val="Hyperlink"/>
          </w:rPr>
          <w:t xml:space="preserve">[37]</w:t>
        </w:r>
      </w:hyperlink>
    </w:p>
    <w:p>
      <w:pPr>
        <w:pStyle w:val="BodyText"/>
      </w:pPr>
      <w:r>
        <w:rPr>
          <w:b/>
          <w:bCs/>
        </w:rPr>
        <w:t xml:space="preserve">T. Recomendación final de alcance para la primera versión vendible.</w:t>
      </w:r>
      <w:r>
        <w:t xml:space="preserve"> </w:t>
      </w:r>
      <w:r>
        <w:t xml:space="preserve">La mejor primera versión es un producto arquetípico serio y claramente acotado, que podrías posicionar, por ejemplo, como</w:t>
      </w:r>
      <w:r>
        <w:t xml:space="preserve"> </w:t>
      </w:r>
      <w:r>
        <w:rPr>
          <w:b/>
          <w:bCs/>
        </w:rPr>
        <w:t xml:space="preserve">Control Local</w:t>
      </w:r>
      <w:r>
        <w:t xml:space="preserve"> </w:t>
      </w:r>
      <w:r>
        <w:t xml:space="preserve">y versionar en</w:t>
      </w:r>
      <w:r>
        <w:t xml:space="preserve"> </w:t>
      </w:r>
      <w:r>
        <w:rPr>
          <w:b/>
          <w:bCs/>
        </w:rPr>
        <w:t xml:space="preserve">Control Local Despensa</w:t>
      </w:r>
      <w:r>
        <w:t xml:space="preserve">,</w:t>
      </w:r>
      <w:r>
        <w:t xml:space="preserve"> </w:t>
      </w:r>
      <w:r>
        <w:rPr>
          <w:b/>
          <w:bCs/>
        </w:rPr>
        <w:t xml:space="preserve">Control Local Bazar</w:t>
      </w:r>
      <w:r>
        <w:t xml:space="preserve"> </w:t>
      </w:r>
      <w:r>
        <w:t xml:space="preserve">y</w:t>
      </w:r>
      <w:r>
        <w:t xml:space="preserve"> </w:t>
      </w:r>
      <w:r>
        <w:rPr>
          <w:b/>
          <w:bCs/>
        </w:rPr>
        <w:t xml:space="preserve">Control Local Papelería</w:t>
      </w:r>
      <w:r>
        <w:t xml:space="preserve">. Para despensa, activa por defecto productos, proveedores, compras, inventario, salidas internas, reportes, respaldo, licencia y opción de lote/vencimiento; deja caja y fiado como módulos opcionales; excluye desde el inicio nube, SRI, contabilidad, barcode, multi-PC y app móvil. Comercialmente, vende orden, reposición, reducción de pérdida y continuidad local. Técnicamente, entrega instalador nativo, carpeta de datos clara, backup de un clic y licencia ética. Estratégicamente, no intentes “regalar” un ERP: vende una primera etapa fuerte, reusable, con límites explícitos y una ruta de migración cuando el negocio realmente crezca.</w:t>
      </w:r>
      <w:r>
        <w:t xml:space="preserve"> </w:t>
      </w:r>
      <w:hyperlink r:id="rId21">
        <w:r>
          <w:rPr>
            <w:rStyle w:val="Hyperlink"/>
          </w:rPr>
          <w:t xml:space="preserve">[38]</w:t>
        </w:r>
      </w:hyperlink>
    </w:p>
    <w:p>
      <w:pPr>
        <w:pStyle w:val="BodyText"/>
      </w:pPr>
      <w:r>
        <w:rPr>
          <w:b/>
          <w:bCs/>
        </w:rPr>
        <w:t xml:space="preserve">Preguntas abiertas y limitaciones.</w:t>
      </w:r>
      <w:r>
        <w:t xml:space="preserve"> </w:t>
      </w:r>
      <w:r>
        <w:t xml:space="preserve">Hay dos puntos que requieren validación de campo o consulta documental puntual antes de cerrar requisitos finales. El primero es la situación exacta, hoy vigente, del permiso sanitario ARCSA para determinados subtipos de despensa o micromercado, porque la documentación pública consultada muestra mensajes históricos y recientes no totalmente alineados. El segundo es la operativa concreta de proveedores por rubro en Guayaquil —por ejemplo, yogur, verduras, carnes o distribuidores informales—, ya que las fuentes públicas describen patrones generales de abastecimiento, pero no contratos tipo ni rutinas homogéneas por categoría. Eso no impide construir el producto; solo significa que el modelo de datos debe ser flexible y que la plantilla comercial debe incluir una breve visita de levantamiento antes de instalar.</w:t>
      </w:r>
      <w:r>
        <w:t xml:space="preserve"> </w:t>
      </w:r>
      <w:hyperlink r:id="rId40">
        <w:r>
          <w:rPr>
            <w:rStyle w:val="Hyperlink"/>
          </w:rPr>
          <w:t xml:space="preserve">[39]</w:t>
        </w:r>
      </w:hyperlink>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[16]</w:t>
        </w:r>
      </w:hyperlink>
      <w:r>
        <w:t xml:space="preserve"> </w:t>
      </w:r>
      <w:hyperlink r:id="rId21">
        <w:r>
          <w:rPr>
            <w:rStyle w:val="Hyperlink"/>
          </w:rPr>
          <w:t xml:space="preserve">[19]</w:t>
        </w:r>
      </w:hyperlink>
      <w:r>
        <w:t xml:space="preserve"> </w:t>
      </w:r>
      <w:hyperlink r:id="rId21">
        <w:r>
          <w:rPr>
            <w:rStyle w:val="Hyperlink"/>
          </w:rPr>
          <w:t xml:space="preserve">[21]</w:t>
        </w:r>
      </w:hyperlink>
      <w:r>
        <w:t xml:space="preserve"> </w:t>
      </w:r>
      <w:hyperlink r:id="rId21">
        <w:r>
          <w:rPr>
            <w:rStyle w:val="Hyperlink"/>
          </w:rPr>
          <w:t xml:space="preserve">[28]</w:t>
        </w:r>
      </w:hyperlink>
      <w:r>
        <w:t xml:space="preserve"> </w:t>
      </w:r>
      <w:hyperlink r:id="rId21">
        <w:r>
          <w:rPr>
            <w:rStyle w:val="Hyperlink"/>
          </w:rPr>
          <w:t xml:space="preserve">[38]</w:t>
        </w:r>
      </w:hyperlink>
      <w:r>
        <w:t xml:space="preserve"> </w:t>
      </w:r>
      <w:r>
        <w:t xml:space="preserve">11 tiendas de barrio se cierran cada día en Ecuador por inseguridad, caída del consumo y el 'efecto TuTi'</w:t>
      </w:r>
    </w:p>
    <w:p>
      <w:pPr>
        <w:pStyle w:val="BodyText"/>
      </w:pPr>
      <w:hyperlink r:id="rId21">
        <w:r>
          <w:rPr>
            <w:rStyle w:val="Hyperlink"/>
          </w:rPr>
          <w:t xml:space="preserve">https://www.primicias.ec/economia/empresas/cierre-tiendas-barrio-tuti-ecuador-ventas-precios-97245/?utm_source=chatgpt.com</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[20]</w:t>
        </w:r>
      </w:hyperlink>
      <w:r>
        <w:t xml:space="preserve"> </w:t>
      </w:r>
      <w:hyperlink r:id="rId22">
        <w:r>
          <w:rPr>
            <w:rStyle w:val="Hyperlink"/>
          </w:rPr>
          <w:t xml:space="preserve">[35]</w:t>
        </w:r>
      </w:hyperlink>
      <w:r>
        <w:t xml:space="preserve"> </w:t>
      </w:r>
      <w:r>
        <w:t xml:space="preserve">Análisis situacional de las tiendas de barrio del suroeste de Quito : un estudio de caso del ámbito de distribución de la empresa Pronaca y la distribuidora Argel</w:t>
      </w:r>
    </w:p>
    <w:p>
      <w:pPr>
        <w:pStyle w:val="BodyText"/>
      </w:pPr>
      <w:hyperlink r:id="rId22">
        <w:r>
          <w:rPr>
            <w:rStyle w:val="Hyperlink"/>
          </w:rPr>
          <w:t xml:space="preserve">https://repositorio.flacsoandes.edu.ec/items/2cc5044f-6b55-47fe-b845-fb781b73901f?utm_source=chatgpt.com</w:t>
        </w:r>
      </w:hyperlink>
    </w:p>
    <w:p>
      <w:pPr>
        <w:pStyle w:val="BodyText"/>
      </w:pPr>
      <w:hyperlink r:id="rId23">
        <w:r>
          <w:rPr>
            <w:rStyle w:val="Hyperlink"/>
          </w:rPr>
          <w:t xml:space="preserve">[4]</w:t>
        </w:r>
      </w:hyperlink>
      <w:r>
        <w:t xml:space="preserve"> </w:t>
      </w:r>
      <w:r>
        <w:t xml:space="preserve">Consumo en tiendas de barrio en Ecuador se mantiene estable a pesar de la coyuntura socioeconómica del país. - dichter &amp; neira</w:t>
      </w:r>
    </w:p>
    <w:p>
      <w:pPr>
        <w:pStyle w:val="BodyText"/>
      </w:pPr>
      <w:hyperlink r:id="rId23">
        <w:r>
          <w:rPr>
            <w:rStyle w:val="Hyperlink"/>
          </w:rPr>
          <w:t xml:space="preserve">https://dichter-neira.com/consumo-en-tiendas-de-barrio-en-ecuador-se-mantiene-estable-a-pesar-de-la-coyuntura-socioeconomica-del-pais?utm_source=chatgpt.com</w:t>
        </w:r>
      </w:hyperlink>
    </w:p>
    <w:p>
      <w:pPr>
        <w:pStyle w:val="BodyText"/>
      </w:pPr>
      <w:hyperlink r:id="rId25">
        <w:r>
          <w:rPr>
            <w:rStyle w:val="Hyperlink"/>
          </w:rPr>
          <w:t xml:space="preserve">[6]</w:t>
        </w:r>
      </w:hyperlink>
      <w:r>
        <w:t xml:space="preserve"> </w:t>
      </w:r>
      <w:hyperlink r:id="rId25">
        <w:r>
          <w:rPr>
            <w:rStyle w:val="Hyperlink"/>
          </w:rPr>
          <w:t xml:space="preserve">[32]</w:t>
        </w:r>
      </w:hyperlink>
      <w:r>
        <w:t xml:space="preserve"> </w:t>
      </w:r>
      <w:r>
        <w:t xml:space="preserve">A-4712-Reglamento-para-otorgar-Permisos-de- ...</w:t>
      </w:r>
    </w:p>
    <w:p>
      <w:pPr>
        <w:pStyle w:val="BodyText"/>
      </w:pPr>
      <w:hyperlink r:id="rId25">
        <w:r>
          <w:rPr>
            <w:rStyle w:val="Hyperlink"/>
          </w:rPr>
          <w:t xml:space="preserve">https://www.controlsanitario.gob.ec/wp-content/uploads/downloads/2015/04/A-4712-Reglamento-para-otorgar-Permisos-de-funcionamiento-de-Establecimientos.pdf?utm_source=chatgpt.com</w:t>
        </w:r>
      </w:hyperlink>
    </w:p>
    <w:p>
      <w:pPr>
        <w:pStyle w:val="BodyText"/>
      </w:pPr>
      <w:hyperlink r:id="rId26">
        <w:r>
          <w:rPr>
            <w:rStyle w:val="Hyperlink"/>
          </w:rPr>
          <w:t xml:space="preserve">[7]</w:t>
        </w:r>
      </w:hyperlink>
      <w:r>
        <w:t xml:space="preserve"> </w:t>
      </w:r>
      <w:hyperlink r:id="rId26">
        <w:r>
          <w:rPr>
            <w:rStyle w:val="Hyperlink"/>
          </w:rPr>
          <w:t xml:space="preserve">[15]</w:t>
        </w:r>
      </w:hyperlink>
      <w:r>
        <w:t xml:space="preserve"> </w:t>
      </w:r>
      <w:hyperlink r:id="rId26">
        <w:r>
          <w:rPr>
            <w:rStyle w:val="Hyperlink"/>
          </w:rPr>
          <w:t xml:space="preserve">[30]</w:t>
        </w:r>
      </w:hyperlink>
      <w:r>
        <w:t xml:space="preserve"> </w:t>
      </w:r>
      <w:r>
        <w:t xml:space="preserve">https://www.controlsanitario.gob.ec/wp-content/uploads/downloads/2016/12/NTE-INEN-1334-1-Rotulado-de-Productos-Alimenticios-para-consumo-Humano-parte-1.pdf</w:t>
      </w:r>
    </w:p>
    <w:p>
      <w:pPr>
        <w:pStyle w:val="BodyText"/>
      </w:pPr>
      <w:hyperlink r:id="rId26">
        <w:r>
          <w:rPr>
            <w:rStyle w:val="Hyperlink"/>
          </w:rPr>
          <w:t xml:space="preserve">https://www.controlsanitario.gob.ec/wp-content/uploads/downloads/2016/12/NTE-INEN-1334-1-Rotulado-de-Productos-Alimenticios-para-consumo-Humano-parte-1.pdf?utm_source=chatgpt.com</w:t>
        </w:r>
      </w:hyperlink>
    </w:p>
    <w:p>
      <w:pPr>
        <w:pStyle w:val="BodyText"/>
      </w:pPr>
      <w:hyperlink r:id="rId27">
        <w:r>
          <w:rPr>
            <w:rStyle w:val="Hyperlink"/>
          </w:rPr>
          <w:t xml:space="preserve">[8]</w:t>
        </w:r>
      </w:hyperlink>
      <w:r>
        <w:t xml:space="preserve"> </w:t>
      </w:r>
      <w:hyperlink r:id="rId27">
        <w:r>
          <w:rPr>
            <w:rStyle w:val="Hyperlink"/>
          </w:rPr>
          <w:t xml:space="preserve">[18]</w:t>
        </w:r>
      </w:hyperlink>
      <w:r>
        <w:t xml:space="preserve"> </w:t>
      </w:r>
      <w:r>
        <w:t xml:space="preserve">https://www.controlsanitario.gob.ec/wp-content/uploads/downloads/2015/08/IE-E.2.2-EST-42-A1-Manual-de-Practicas-Correctas-de-Higiene.pdf</w:t>
      </w:r>
    </w:p>
    <w:p>
      <w:pPr>
        <w:pStyle w:val="BodyText"/>
      </w:pPr>
      <w:hyperlink r:id="rId27">
        <w:r>
          <w:rPr>
            <w:rStyle w:val="Hyperlink"/>
          </w:rPr>
          <w:t xml:space="preserve">https://www.controlsanitario.gob.ec/wp-content/uploads/downloads/2015/08/IE-E.2.2-EST-42-A1-Manual-de-Practicas-Correctas-de-Higiene.pdf?utm_source=chatgpt.com</w:t>
        </w:r>
      </w:hyperlink>
    </w:p>
    <w:p>
      <w:pPr>
        <w:pStyle w:val="BodyText"/>
      </w:pPr>
      <w:hyperlink r:id="rId28">
        <w:r>
          <w:rPr>
            <w:rStyle w:val="Hyperlink"/>
          </w:rPr>
          <w:t xml:space="preserve">[9]</w:t>
        </w:r>
      </w:hyperlink>
      <w:r>
        <w:t xml:space="preserve"> </w:t>
      </w:r>
      <w:hyperlink r:id="rId28">
        <w:r>
          <w:rPr>
            <w:rStyle w:val="Hyperlink"/>
          </w:rPr>
          <w:t xml:space="preserve">[12]</w:t>
        </w:r>
      </w:hyperlink>
      <w:r>
        <w:t xml:space="preserve"> </w:t>
      </w:r>
      <w:hyperlink r:id="rId28">
        <w:r>
          <w:rPr>
            <w:rStyle w:val="Hyperlink"/>
          </w:rPr>
          <w:t xml:space="preserve">[23]</w:t>
        </w:r>
      </w:hyperlink>
      <w:r>
        <w:t xml:space="preserve"> </w:t>
      </w:r>
      <w:hyperlink r:id="rId28">
        <w:r>
          <w:rPr>
            <w:rStyle w:val="Hyperlink"/>
          </w:rPr>
          <w:t xml:space="preserve">[31]</w:t>
        </w:r>
      </w:hyperlink>
      <w:r>
        <w:t xml:space="preserve"> </w:t>
      </w:r>
      <w:r>
        <w:t xml:space="preserve">How To Corrupt An SQLite Database File</w:t>
      </w:r>
    </w:p>
    <w:p>
      <w:pPr>
        <w:pStyle w:val="BodyText"/>
      </w:pPr>
      <w:hyperlink r:id="rId28">
        <w:r>
          <w:rPr>
            <w:rStyle w:val="Hyperlink"/>
          </w:rPr>
          <w:t xml:space="preserve">https://sqlite.org/howtocorrupt.html?utm_source=chatgpt.com</w:t>
        </w:r>
      </w:hyperlink>
    </w:p>
    <w:p>
      <w:pPr>
        <w:pStyle w:val="BodyText"/>
      </w:pPr>
      <w:hyperlink r:id="rId29">
        <w:r>
          <w:rPr>
            <w:rStyle w:val="Hyperlink"/>
          </w:rPr>
          <w:t xml:space="preserve">[11]</w:t>
        </w:r>
      </w:hyperlink>
      <w:r>
        <w:t xml:space="preserve"> </w:t>
      </w:r>
      <w:hyperlink r:id="rId29">
        <w:r>
          <w:rPr>
            <w:rStyle w:val="Hyperlink"/>
          </w:rPr>
          <w:t xml:space="preserve">[17]</w:t>
        </w:r>
      </w:hyperlink>
      <w:r>
        <w:t xml:space="preserve"> </w:t>
      </w:r>
      <w:r>
        <w:t xml:space="preserve">Régimen Simplificado para Emprendedores y Negocios Populares (RIMPE) - intersri - Servicio de Rentas Internas</w:t>
      </w:r>
    </w:p>
    <w:p>
      <w:pPr>
        <w:pStyle w:val="BodyText"/>
      </w:pPr>
      <w:hyperlink r:id="rId29">
        <w:r>
          <w:rPr>
            <w:rStyle w:val="Hyperlink"/>
          </w:rPr>
          <w:t xml:space="preserve">https://www.sri.gob.ec/rimpe?utm_source=chatgpt.com</w:t>
        </w:r>
      </w:hyperlink>
    </w:p>
    <w:p>
      <w:pPr>
        <w:pStyle w:val="BodyText"/>
      </w:pPr>
      <w:hyperlink r:id="rId30">
        <w:r>
          <w:rPr>
            <w:rStyle w:val="Hyperlink"/>
          </w:rPr>
          <w:t xml:space="preserve">[14]</w:t>
        </w:r>
      </w:hyperlink>
      <w:r>
        <w:t xml:space="preserve"> </w:t>
      </w:r>
      <w:hyperlink r:id="rId30">
        <w:r>
          <w:rPr>
            <w:rStyle w:val="Hyperlink"/>
          </w:rPr>
          <w:t xml:space="preserve">[29]</w:t>
        </w:r>
      </w:hyperlink>
      <w:r>
        <w:t xml:space="preserve"> </w:t>
      </w:r>
      <w:r>
        <w:t xml:space="preserve">Preguntas Frecuentes – Tasa de Habilitación – Alcaldía de Guayaquil</w:t>
      </w:r>
    </w:p>
    <w:p>
      <w:pPr>
        <w:pStyle w:val="BodyText"/>
      </w:pPr>
      <w:hyperlink r:id="rId30">
        <w:r>
          <w:rPr>
            <w:rStyle w:val="Hyperlink"/>
          </w:rPr>
          <w:t xml:space="preserve">https://guayaquil.gob.ec/preguntas-frecuentes-tasa-habilitacion/?utm_source=chatgpt.com</w:t>
        </w:r>
      </w:hyperlink>
    </w:p>
    <w:p>
      <w:pPr>
        <w:pStyle w:val="BodyText"/>
      </w:pPr>
      <w:hyperlink r:id="rId33">
        <w:r>
          <w:rPr>
            <w:rStyle w:val="Hyperlink"/>
          </w:rPr>
          <w:t xml:space="preserve">[22]</w:t>
        </w:r>
      </w:hyperlink>
      <w:r>
        <w:t xml:space="preserve"> </w:t>
      </w:r>
      <w:r>
        <w:t xml:space="preserve">SQLite Home Page</w:t>
      </w:r>
    </w:p>
    <w:p>
      <w:pPr>
        <w:pStyle w:val="BodyText"/>
      </w:pPr>
      <w:hyperlink r:id="rId33">
        <w:r>
          <w:rPr>
            <w:rStyle w:val="Hyperlink"/>
          </w:rPr>
          <w:t xml:space="preserve">https://sqlite.org/?utm_source=chatgpt.com</w:t>
        </w:r>
      </w:hyperlink>
    </w:p>
    <w:p>
      <w:pPr>
        <w:pStyle w:val="BodyText"/>
      </w:pPr>
      <w:hyperlink r:id="rId34">
        <w:r>
          <w:rPr>
            <w:rStyle w:val="Hyperlink"/>
          </w:rPr>
          <w:t xml:space="preserve">[24]</w:t>
        </w:r>
      </w:hyperlink>
      <w:r>
        <w:t xml:space="preserve"> </w:t>
      </w:r>
      <w:r>
        <w:t xml:space="preserve">The jpackage Command</w:t>
      </w:r>
    </w:p>
    <w:p>
      <w:pPr>
        <w:pStyle w:val="BodyText"/>
      </w:pPr>
      <w:hyperlink r:id="rId34">
        <w:r>
          <w:rPr>
            <w:rStyle w:val="Hyperlink"/>
          </w:rPr>
          <w:t xml:space="preserve">https://docs.oracle.com/en/java/javase/17/docs/specs/man/jpackage.html?utm_source=chatgpt.com</w:t>
        </w:r>
      </w:hyperlink>
    </w:p>
    <w:p>
      <w:pPr>
        <w:pStyle w:val="BodyText"/>
      </w:pPr>
      <w:hyperlink r:id="rId36">
        <w:r>
          <w:rPr>
            <w:rStyle w:val="Hyperlink"/>
          </w:rPr>
          <w:t xml:space="preserve">[25]</w:t>
        </w:r>
      </w:hyperlink>
      <w:r>
        <w:t xml:space="preserve"> </w:t>
      </w:r>
      <w:hyperlink r:id="rId36">
        <w:r>
          <w:rPr>
            <w:rStyle w:val="Hyperlink"/>
          </w:rPr>
          <w:t xml:space="preserve">[26]</w:t>
        </w:r>
      </w:hyperlink>
      <w:r>
        <w:t xml:space="preserve"> </w:t>
      </w:r>
      <w:hyperlink r:id="rId36">
        <w:r>
          <w:rPr>
            <w:rStyle w:val="Hyperlink"/>
          </w:rPr>
          <w:t xml:space="preserve">[27]</w:t>
        </w:r>
      </w:hyperlink>
      <w:r>
        <w:t xml:space="preserve"> </w:t>
      </w:r>
      <w:hyperlink r:id="rId36">
        <w:r>
          <w:rPr>
            <w:rStyle w:val="Hyperlink"/>
          </w:rPr>
          <w:t xml:space="preserve">[33]</w:t>
        </w:r>
      </w:hyperlink>
      <w:r>
        <w:t xml:space="preserve"> </w:t>
      </w:r>
      <w:r>
        <w:t xml:space="preserve">WooFactura: Facturación Electrónica SRI, Inventarios, POS Restaurantes y Contabilidad en Ecuador</w:t>
      </w:r>
    </w:p>
    <w:p>
      <w:pPr>
        <w:pStyle w:val="BodyText"/>
      </w:pPr>
      <w:hyperlink r:id="rId36">
        <w:r>
          <w:rPr>
            <w:rStyle w:val="Hyperlink"/>
          </w:rPr>
          <w:t xml:space="preserve">https://woofactura.ec/?utm_source=chatgpt.com</w:t>
        </w:r>
      </w:hyperlink>
    </w:p>
    <w:p>
      <w:pPr>
        <w:pStyle w:val="BodyText"/>
      </w:pPr>
      <w:hyperlink r:id="rId37">
        <w:r>
          <w:rPr>
            <w:rStyle w:val="Hyperlink"/>
          </w:rPr>
          <w:t xml:space="preserve">[34]</w:t>
        </w:r>
      </w:hyperlink>
      <w:r>
        <w:t xml:space="preserve"> </w:t>
      </w:r>
      <w:r>
        <w:t xml:space="preserve">SQLite Over a Network, Caveats and Considerations</w:t>
      </w:r>
    </w:p>
    <w:p>
      <w:pPr>
        <w:pStyle w:val="BodyText"/>
      </w:pPr>
      <w:hyperlink r:id="rId37">
        <w:r>
          <w:rPr>
            <w:rStyle w:val="Hyperlink"/>
          </w:rPr>
          <w:t xml:space="preserve">https://sqlite.org/useovernet.html?utm_source=chatgpt.com</w:t>
        </w:r>
      </w:hyperlink>
    </w:p>
    <w:p>
      <w:pPr>
        <w:pStyle w:val="BodyText"/>
      </w:pPr>
      <w:hyperlink r:id="rId39">
        <w:r>
          <w:rPr>
            <w:rStyle w:val="Hyperlink"/>
          </w:rPr>
          <w:t xml:space="preserve">[36]</w:t>
        </w:r>
      </w:hyperlink>
      <w:r>
        <w:t xml:space="preserve"> </w:t>
      </w:r>
      <w:hyperlink r:id="rId39">
        <w:r>
          <w:rPr>
            <w:rStyle w:val="Hyperlink"/>
          </w:rPr>
          <w:t xml:space="preserve">[37]</w:t>
        </w:r>
      </w:hyperlink>
      <w:r>
        <w:t xml:space="preserve"> </w:t>
      </w:r>
      <w:r>
        <w:t xml:space="preserve">Estudio – Radiografía de las tiendas ed barrio en Ecuador 2025 | Asociacion Red Ecuatoriana de Tenderos</w:t>
      </w:r>
    </w:p>
    <w:p>
      <w:pPr>
        <w:pStyle w:val="BodyText"/>
      </w:pPr>
      <w:hyperlink r:id="rId39">
        <w:r>
          <w:rPr>
            <w:rStyle w:val="Hyperlink"/>
          </w:rPr>
          <w:t xml:space="preserve">https://www.ret.ec/investigacion/?utm_source=chatgpt.com</w:t>
        </w:r>
      </w:hyperlink>
    </w:p>
    <w:p>
      <w:pPr>
        <w:pStyle w:val="BodyText"/>
      </w:pPr>
      <w:hyperlink r:id="rId40">
        <w:r>
          <w:rPr>
            <w:rStyle w:val="Hyperlink"/>
          </w:rPr>
          <w:t xml:space="preserve">[39]</w:t>
        </w:r>
      </w:hyperlink>
      <w:r>
        <w:t xml:space="preserve"> </w:t>
      </w:r>
      <w:r>
        <w:t xml:space="preserve">Tiendas, panaderías, centros de belleza… ya no necesitan ...</w:t>
      </w:r>
    </w:p>
    <w:p>
      <w:pPr>
        <w:pStyle w:val="BodyText"/>
      </w:pPr>
      <w:hyperlink r:id="rId40">
        <w:r>
          <w:rPr>
            <w:rStyle w:val="Hyperlink"/>
          </w:rPr>
          <w:t xml:space="preserve">https://www.controlsanitario.gob.ec/tiendas-panaderias-centros-de-belleza-ya-no-necesitan-permisos-de-funcionamiento/?utm_source=chatgpt.com</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dichter-neira.com/consumo-en-tiendas-de-barrio-en-ecuador-se-mantiene-estable-a-pesar-de-la-coyuntura-socioeconomica-del-pais?utm_source=chatgpt.com" TargetMode="External" /><Relationship Type="http://schemas.openxmlformats.org/officeDocument/2006/relationships/hyperlink" Id="rId34" Target="https://docs.oracle.com/en/java/javase/17/docs/specs/man/jpackage.html?utm_source=chatgpt.com" TargetMode="External" /><Relationship Type="http://schemas.openxmlformats.org/officeDocument/2006/relationships/hyperlink" Id="rId30" Target="https://guayaquil.gob.ec/preguntas-frecuentes-tasa-habilitacion/?utm_source=chatgpt.com" TargetMode="External" /><Relationship Type="http://schemas.openxmlformats.org/officeDocument/2006/relationships/hyperlink" Id="rId22" Target="https://repositorio.flacsoandes.edu.ec/items/2cc5044f-6b55-47fe-b845-fb781b73901f?utm_source=chatgpt.com" TargetMode="External" /><Relationship Type="http://schemas.openxmlformats.org/officeDocument/2006/relationships/hyperlink" Id="rId33" Target="https://sqlite.org/?utm_source=chatgpt.com" TargetMode="External" /><Relationship Type="http://schemas.openxmlformats.org/officeDocument/2006/relationships/hyperlink" Id="rId28" Target="https://sqlite.org/howtocorrupt.html?utm_source=chatgpt.com" TargetMode="External" /><Relationship Type="http://schemas.openxmlformats.org/officeDocument/2006/relationships/hyperlink" Id="rId37" Target="https://sqlite.org/useovernet.html?utm_source=chatgpt.com" TargetMode="External" /><Relationship Type="http://schemas.openxmlformats.org/officeDocument/2006/relationships/hyperlink" Id="rId36" Target="https://woofactura.ec/?utm_source=chatgpt.com" TargetMode="External" /><Relationship Type="http://schemas.openxmlformats.org/officeDocument/2006/relationships/hyperlink" Id="rId40" Target="https://www.controlsanitario.gob.ec/tiendas-panaderias-centros-de-belleza-ya-no-necesitan-permisos-de-funcionamiento/?utm_source=chatgpt.com" TargetMode="External" /><Relationship Type="http://schemas.openxmlformats.org/officeDocument/2006/relationships/hyperlink" Id="rId25" Target="https://www.controlsanitario.gob.ec/wp-content/uploads/downloads/2015/04/A-4712-Reglamento-para-otorgar-Permisos-de-funcionamiento-de-Establecimientos.pdf?utm_source=chatgpt.com" TargetMode="External" /><Relationship Type="http://schemas.openxmlformats.org/officeDocument/2006/relationships/hyperlink" Id="rId27" Target="https://www.controlsanitario.gob.ec/wp-content/uploads/downloads/2015/08/IE-E.2.2-EST-42-A1-Manual-de-Practicas-Correctas-de-Higiene.pdf?utm_source=chatgpt.com" TargetMode="External" /><Relationship Type="http://schemas.openxmlformats.org/officeDocument/2006/relationships/hyperlink" Id="rId26" Target="https://www.controlsanitario.gob.ec/wp-content/uploads/downloads/2016/12/NTE-INEN-1334-1-Rotulado-de-Productos-Alimenticios-para-consumo-Humano-parte-1.pdf?utm_source=chatgpt.com" TargetMode="External" /><Relationship Type="http://schemas.openxmlformats.org/officeDocument/2006/relationships/hyperlink" Id="rId21" Target="https://www.primicias.ec/economia/empresas/cierre-tiendas-barrio-tuti-ecuador-ventas-precios-97245/?utm_source=chatgpt.com" TargetMode="External" /><Relationship Type="http://schemas.openxmlformats.org/officeDocument/2006/relationships/hyperlink" Id="rId39" Target="https://www.ret.ec/investigacion/?utm_source=chatgpt.com" TargetMode="External" /><Relationship Type="http://schemas.openxmlformats.org/officeDocument/2006/relationships/hyperlink" Id="rId29" Target="https://www.sri.gob.ec/rimp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3" Target="https://dichter-neira.com/consumo-en-tiendas-de-barrio-en-ecuador-se-mantiene-estable-a-pesar-de-la-coyuntura-socioeconomica-del-pais?utm_source=chatgpt.com" TargetMode="External" /><Relationship Type="http://schemas.openxmlformats.org/officeDocument/2006/relationships/hyperlink" Id="rId34" Target="https://docs.oracle.com/en/java/javase/17/docs/specs/man/jpackage.html?utm_source=chatgpt.com" TargetMode="External" /><Relationship Type="http://schemas.openxmlformats.org/officeDocument/2006/relationships/hyperlink" Id="rId30" Target="https://guayaquil.gob.ec/preguntas-frecuentes-tasa-habilitacion/?utm_source=chatgpt.com" TargetMode="External" /><Relationship Type="http://schemas.openxmlformats.org/officeDocument/2006/relationships/hyperlink" Id="rId22" Target="https://repositorio.flacsoandes.edu.ec/items/2cc5044f-6b55-47fe-b845-fb781b73901f?utm_source=chatgpt.com" TargetMode="External" /><Relationship Type="http://schemas.openxmlformats.org/officeDocument/2006/relationships/hyperlink" Id="rId33" Target="https://sqlite.org/?utm_source=chatgpt.com" TargetMode="External" /><Relationship Type="http://schemas.openxmlformats.org/officeDocument/2006/relationships/hyperlink" Id="rId28" Target="https://sqlite.org/howtocorrupt.html?utm_source=chatgpt.com" TargetMode="External" /><Relationship Type="http://schemas.openxmlformats.org/officeDocument/2006/relationships/hyperlink" Id="rId37" Target="https://sqlite.org/useovernet.html?utm_source=chatgpt.com" TargetMode="External" /><Relationship Type="http://schemas.openxmlformats.org/officeDocument/2006/relationships/hyperlink" Id="rId36" Target="https://woofactura.ec/?utm_source=chatgpt.com" TargetMode="External" /><Relationship Type="http://schemas.openxmlformats.org/officeDocument/2006/relationships/hyperlink" Id="rId40" Target="https://www.controlsanitario.gob.ec/tiendas-panaderias-centros-de-belleza-ya-no-necesitan-permisos-de-funcionamiento/?utm_source=chatgpt.com" TargetMode="External" /><Relationship Type="http://schemas.openxmlformats.org/officeDocument/2006/relationships/hyperlink" Id="rId25" Target="https://www.controlsanitario.gob.ec/wp-content/uploads/downloads/2015/04/A-4712-Reglamento-para-otorgar-Permisos-de-funcionamiento-de-Establecimientos.pdf?utm_source=chatgpt.com" TargetMode="External" /><Relationship Type="http://schemas.openxmlformats.org/officeDocument/2006/relationships/hyperlink" Id="rId27" Target="https://www.controlsanitario.gob.ec/wp-content/uploads/downloads/2015/08/IE-E.2.2-EST-42-A1-Manual-de-Practicas-Correctas-de-Higiene.pdf?utm_source=chatgpt.com" TargetMode="External" /><Relationship Type="http://schemas.openxmlformats.org/officeDocument/2006/relationships/hyperlink" Id="rId26" Target="https://www.controlsanitario.gob.ec/wp-content/uploads/downloads/2016/12/NTE-INEN-1334-1-Rotulado-de-Productos-Alimenticios-para-consumo-Humano-parte-1.pdf?utm_source=chatgpt.com" TargetMode="External" /><Relationship Type="http://schemas.openxmlformats.org/officeDocument/2006/relationships/hyperlink" Id="rId21" Target="https://www.primicias.ec/economia/empresas/cierre-tiendas-barrio-tuti-ecuador-ventas-precios-97245/?utm_source=chatgpt.com" TargetMode="External" /><Relationship Type="http://schemas.openxmlformats.org/officeDocument/2006/relationships/hyperlink" Id="rId39" Target="https://www.ret.ec/investigacion/?utm_source=chatgpt.com" TargetMode="External" /><Relationship Type="http://schemas.openxmlformats.org/officeDocument/2006/relationships/hyperlink" Id="rId29" Target="https://www.sri.gob.ec/rimp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2026-05-01T08:05:52Z</dcterms:created>
  <dcterms:modified xsi:type="dcterms:W3CDTF">2026-05-01T08:05:52Z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