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Calibri" w:cs="Calibri" w:eastAsia="Calibri" w:hAnsi="Calibri"/>
          <w:b/>
          <w:bCs/>
          <w:color w:val="C89B3C"/>
          <w:spacing w:val="60"/>
          <w:sz w:val="24"/>
          <w:szCs w:val="24"/>
        </w:rPr>
        <w:t xml:space="preserve">PROJETO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2D5B8C"/>
          <w:sz w:val="72"/>
          <w:szCs w:val="72"/>
        </w:rPr>
        <w:t xml:space="preserve">InnoNFe</w:t>
      </w:r>
    </w:p>
    <w:p>
      <w:pPr>
        <w:spacing w:after="200" w:before="40"/>
      </w:pPr>
      <w:r>
        <w:rPr>
          <w:rFonts w:ascii="Calibri" w:cs="Calibri" w:eastAsia="Calibri" w:hAnsi="Calibri"/>
          <w:color w:val="1A1A2E"/>
          <w:sz w:val="30"/>
          <w:szCs w:val="30"/>
        </w:rPr>
        <w:t xml:space="preserve">Sistema de Emissão Fiscal Multiempresa</w:t>
      </w:r>
    </w:p>
    <w:p>
      <w:pPr>
        <w:pBdr>
          <w:top w:val="single" w:color="C89B3C" w:sz="12"/>
        </w:pBdr>
        <w:spacing w:after="240" w:before="4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Documento de escopo para desenvolvimento — MVP</w:t>
      </w:r>
    </w:p>
    <w:p>
      <w:pPr>
        <w:spacing w:after="120" w:line="276"/>
      </w:pPr>
      <w:r>
        <w:rPr>
          <w:rFonts w:ascii="Calibri" w:cs="Calibri" w:eastAsia="Calibri" w:hAnsi="Calibri"/>
          <w:color w:val="6B7280"/>
          <w:sz w:val="21"/>
          <w:szCs w:val="21"/>
        </w:rPr>
        <w:t xml:space="preserve">Emissão de NFC-e e NF-e para clientes do Simples Nacional, desacoplada do ERP InnoSystem.</w:t>
      </w:r>
    </w:p>
    <w:p>
      <w:pPr>
        <w:spacing w:after="40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none"/>
          <w:left w:val="single" w:color="2D5B8C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D5B8C"/>
                <w:sz w:val="20"/>
                <w:szCs w:val="20"/>
              </w:rPr>
              <w:t xml:space="preserve">Como ler este documento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Este material define o QUE o InnoNFe deve fazer e POR QUÊ, não impõe stack técnica. As decisões de linguagem, banco e framework ficam a critério do desenvolvedor. Trechos marcados como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“Fora do MVP”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são intencionalmente adiados para uma fase posterior.</w:t>
            </w:r>
          </w:p>
        </w:tc>
      </w:tr>
    </w:tbl>
    <w:p>
      <w:pPr>
        <w:spacing w:after="20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2"/>
          <w:insideV w:val="single" w:color="E2E8F0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2D5B8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960"/>
            <w:shd w:fill="2D5B8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4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Produto</w:t>
            </w:r>
          </w:p>
        </w:tc>
        <w:tc>
          <w:tcPr>
            <w:tcW w:type="dxa" w:w="696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InnoNFe — micro-SaaS fiscal, separado do InnoSystem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Público</w:t>
            </w:r>
          </w:p>
        </w:tc>
        <w:tc>
          <w:tcPr>
            <w:tcW w:type="dxa" w:w="69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Clientes InnoSystem, todos Simples Nacional (varejo de joias/semijoias/consignação)</w:t>
            </w:r>
          </w:p>
        </w:tc>
      </w:tr>
      <w:tr>
        <w:tc>
          <w:tcPr>
            <w:tcW w:type="dxa" w:w="24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Documentos (MVP)</w:t>
            </w:r>
          </w:p>
        </w:tc>
        <w:tc>
          <w:tcPr>
            <w:tcW w:type="dxa" w:w="696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NFC-e (varejo presencial) e NF-e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Contrato integradora</w:t>
            </w:r>
          </w:p>
        </w:tc>
        <w:tc>
          <w:tcPr>
            <w:tcW w:type="dxa" w:w="69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Centralizado no CNPJ do fornecedor (você), repassado aos clientes</w:t>
            </w:r>
          </w:p>
        </w:tc>
      </w:tr>
      <w:tr>
        <w:tc>
          <w:tcPr>
            <w:tcW w:type="dxa" w:w="24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Ponte de dados</w:t>
            </w:r>
          </w:p>
        </w:tc>
        <w:tc>
          <w:tcPr>
            <w:tcW w:type="dxa" w:w="696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Copia-e-cola manual na Fase 1, com evolução para automático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D5B8C"/>
          <w:sz w:val="30"/>
          <w:szCs w:val="30"/>
        </w:rPr>
        <w:t xml:space="preserve">1. Visão geral e objetivo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O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InnoSystem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é um sistema de gestão de varejo que hoje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não é fiscal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— ele não emite documentos fiscais e não deve passar a emitir.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A proposta é construir um sistema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separado e independente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, o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InnoNFe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, responsável por toda a camada fiscal.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O InnoNFe será um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SaaS multiempresa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: um único sistema atende vários clientes (cada um com seu CNPJ e certificado digital).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O fornecedor mantém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um contrato centralizado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com uma integradora fiscal (Focus NFe, Nuvem Fiscal ou PlugNotas) e repassa o serviço aos clientes finais —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modelo de receita recorrente.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C89B3C"/>
          <w:sz w:val="22"/>
          <w:szCs w:val="22"/>
        </w:rPr>
        <w:t xml:space="preserve">Objetivos de negócio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Adicionar emissão fiscal ao portfólio InnoSystem sem tornar o ERP um sistema fiscal.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Isolar o risco fiscal (legislação, certificados, SEFAZ) em um sistema dedicado e auditável.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Criar uma nova linha de receita recorrente com os clientes atuais.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Simplicidade para o operador de loja: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concluir a venda no InnoSystem e emitir a nota em poucos cliques.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D5B8C"/>
          <w:sz w:val="30"/>
          <w:szCs w:val="30"/>
        </w:rPr>
        <w:t xml:space="preserve">2. Arquitetura em alto nível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O sistema opera em três momentos. O InnoSystem gera um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“pacote de venda”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(um bloco de dados). O operador leva esse pacote ao InnoNFe. O InnoNFe traduz o pacote para o formato da integradora,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que se comunica com a SEFAZ e devolve o resultado.</w:t>
      </w:r>
    </w:p>
    <w:p>
      <w:pPr>
        <w:spacing w:after="6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2"/>
          <w:insideV w:val="single" w:color="E2E8F0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D5B8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 — InnoSystem (não-fiscal)</w:t>
            </w:r>
          </w:p>
        </w:tc>
        <w:tc>
          <w:tcPr>
            <w:tcW w:type="dxa" w:w="3120"/>
            <w:shd w:fill="2D5B8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 — InnoNFe (fiscal)</w:t>
            </w:r>
          </w:p>
        </w:tc>
        <w:tc>
          <w:tcPr>
            <w:tcW w:type="dxa" w:w="3120"/>
            <w:shd w:fill="2D5B8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 — Integradora → SEFAZ</w:t>
            </w:r>
          </w:p>
        </w:tc>
      </w:tr>
      <w:tr>
        <w:tc>
          <w:tcPr>
            <w:tcW w:type="dxa" w:w="312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Venda concluída.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Gera o pacote de venda (produtos, valores, cliente, pagamento).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Botão “Copiar dados p/ nota”.</w:t>
            </w:r>
          </w:p>
        </w:tc>
        <w:tc>
          <w:tcPr>
            <w:tcW w:type="dxa" w:w="312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Recebe o pacote (colado).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Aplica regras (CFOP/NCM/CST).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Monta o JSON no layout da integradora.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Guarda histórico e status.</w:t>
            </w:r>
          </w:p>
        </w:tc>
        <w:tc>
          <w:tcPr>
            <w:tcW w:type="dxa" w:w="312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Assina, valida e transmite à SEFAZ.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Devolve autorização (PDF/XML) ou erro.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InnoNFe exibe o resultado na tela.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none"/>
          <w:left w:val="single" w:color="C89B3C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8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89B3C"/>
                <w:sz w:val="20"/>
                <w:szCs w:val="20"/>
              </w:rPr>
              <w:t xml:space="preserve">Por que separar em dois sistemas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Desacoplamento.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 a legislação mudar, se um certificado vencer, ou se a SEFAZ cair, nada disso afeta o funcionamento do InnoSystem.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 InnoNFe pode ser atualizado, auditado e escalado de forma independente.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D5B8C"/>
          <w:sz w:val="30"/>
          <w:szCs w:val="30"/>
        </w:rPr>
        <w:t xml:space="preserve">3. Conceito central — contrato centralizado + certificado por cliente</w:t>
      </w:r>
    </w:p>
    <w:tbl>
      <w:tblPr>
        <w:tblW w:type="pct" w:w="100%"/>
        <w:tblBorders>
          <w:top w:val="none"/>
          <w:left w:val="single" w:color="9A3B2E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EC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20"/>
                <w:szCs w:val="20"/>
              </w:rPr>
              <w:t xml:space="preserve">Este é o coração do projeto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 contrato com a integradora é único e está no CNPJ do fornecedor. Porém, cada nota é emitida com o certificado digital e o CNPJ do cliente.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As integradoras suportam isso nativamente: várias empresas (multi-CNPJ) sob uma mesma conta-mãe. O InnoNFe precisa orquestrar esse cadastro e guardar os certificados com segurança.</w:t>
            </w:r>
          </w:p>
        </w:tc>
      </w:tr>
    </w:tbl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C89B3C"/>
          <w:sz w:val="22"/>
          <w:szCs w:val="22"/>
        </w:rPr>
        <w:t xml:space="preserve">Como funciona na prática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O fornecedor tem uma conta-mãe (token principal) na integradora.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Cada cliente é cadastrado como uma “empresa” dentro dessa conta, enviando o certificado A1 e os dados cadastrais (CNPJ, endereço, regime, inscrição estadual, CSC/token de NFC-e).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Ao emitir, o InnoNFe indica para qual empresa a nota pertence; a integradora usa o certificado daquele cliente.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C89B3C"/>
          <w:sz w:val="22"/>
          <w:szCs w:val="22"/>
        </w:rPr>
        <w:t xml:space="preserve">Requisitos de segurança (obrigatórios)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Cofre de certificados: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certificados A1 (.pfx) e suas senhas armazenados criptografados em repouso — nunca em texto puro, nunca versionados.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LGPD: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dados de clientes finais (CPF em notas) tratados com base legal de cumprimento de obrigação fiscal; acesso registrado (log).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Alerta de vencimento: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certificado A1 vale ~1 ano. O sistema deve avisar o cliente/fornecedor com antecedência (ex.: 30/15/7 dias).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Isolamento entre empresas: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um cliente jamais enxerga dados/notas de outro (multi-tenant com separação rígida).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D5B8C"/>
          <w:sz w:val="30"/>
          <w:szCs w:val="30"/>
        </w:rPr>
        <w:t xml:space="preserve">4. O “pacote copia-e-cola” (a ponte de dados)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Na Fase 1, o InnoSystem exibe um botão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“Copiar dados para nota”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na tela de conclusão de venda. Isso copia um bloco de texto estruturado que o operador cola em um campo do InnoNFe.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Sugere-se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JSON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: legível, fácil de validar e já no formato que a Fase 2 usará para automação.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C89B3C"/>
          <w:sz w:val="22"/>
          <w:szCs w:val="22"/>
        </w:rPr>
        <w:t xml:space="preserve">Exemplo do pacote gerado pelo InnoSystem</w:t>
      </w:r>
    </w:p>
    <w:p>
      <w:pPr>
        <w:pBdr>
          <w:top w:val="single" w:color="DDDDDD" w:sz="4" w:space="2"/>
          <w:left w:val="single" w:color="C89B3C" w:sz="18" w:space="6"/>
        </w:pBdr>
        <w:shd w:fill="F4F5F7" w:color="auto" w:val="clear"/>
        <w:spacing w:after="0" w:line="240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{</w:t>
      </w:r>
    </w:p>
    <w:p>
      <w:pPr>
        <w:pBdr>
          <w:left w:val="single" w:color="C89B3C" w:sz="18" w:space="6"/>
        </w:pBdr>
        <w:shd w:fill="F4F5F7" w:color="auto" w:val="clear"/>
        <w:spacing w:after="0" w:line="240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"origem": "InnoSystem",</w:t>
      </w:r>
    </w:p>
    <w:p>
      <w:pPr>
        <w:pBdr>
          <w:left w:val="single" w:color="C89B3C" w:sz="18" w:space="6"/>
        </w:pBdr>
        <w:shd w:fill="F4F5F7" w:color="auto" w:val="clear"/>
        <w:spacing w:after="0" w:line="240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"empresa_cnpj": "12.345.678/0001-99",</w:t>
      </w:r>
    </w:p>
    <w:p>
      <w:pPr>
        <w:pBdr>
          <w:left w:val="single" w:color="C89B3C" w:sz="18" w:space="6"/>
        </w:pBdr>
        <w:shd w:fill="F4F5F7" w:color="auto" w:val="clear"/>
        <w:spacing w:after="0" w:line="240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"venda_id": "VD-2026-004512",</w:t>
      </w:r>
    </w:p>
    <w:p>
      <w:pPr>
        <w:pBdr>
          <w:left w:val="single" w:color="C89B3C" w:sz="18" w:space="6"/>
        </w:pBdr>
        <w:shd w:fill="F4F5F7" w:color="auto" w:val="clear"/>
        <w:spacing w:after="0" w:line="240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"tipo_sugerido": "NFCE",</w:t>
      </w:r>
    </w:p>
    <w:p>
      <w:pPr>
        <w:pBdr>
          <w:left w:val="single" w:color="C89B3C" w:sz="18" w:space="6"/>
        </w:pBdr>
        <w:shd w:fill="F4F5F7" w:color="auto" w:val="clear"/>
        <w:spacing w:after="0" w:line="240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"cliente": {</w:t>
      </w:r>
    </w:p>
    <w:p>
      <w:pPr>
        <w:pBdr>
          <w:left w:val="single" w:color="C89B3C" w:sz="18" w:space="6"/>
        </w:pBdr>
        <w:shd w:fill="F4F5F7" w:color="auto" w:val="clear"/>
        <w:spacing w:after="0" w:line="240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  "cpf": "123.456.789-01",</w:t>
      </w:r>
    </w:p>
    <w:p>
      <w:pPr>
        <w:pBdr>
          <w:left w:val="single" w:color="C89B3C" w:sz="18" w:space="6"/>
        </w:pBdr>
        <w:shd w:fill="F4F5F7" w:color="auto" w:val="clear"/>
        <w:spacing w:after="0" w:line="240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  "nome": "Maria Consumidora"</w:t>
      </w:r>
    </w:p>
    <w:p>
      <w:pPr>
        <w:pBdr>
          <w:left w:val="single" w:color="C89B3C" w:sz="18" w:space="6"/>
        </w:pBdr>
        <w:shd w:fill="F4F5F7" w:color="auto" w:val="clear"/>
        <w:spacing w:after="0" w:line="240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},</w:t>
      </w:r>
    </w:p>
    <w:p>
      <w:pPr>
        <w:pBdr>
          <w:left w:val="single" w:color="C89B3C" w:sz="18" w:space="6"/>
        </w:pBdr>
        <w:shd w:fill="F4F5F7" w:color="auto" w:val="clear"/>
        <w:spacing w:after="0" w:line="240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"pagamentos": [</w:t>
      </w:r>
    </w:p>
    <w:p>
      <w:pPr>
        <w:pBdr>
          <w:left w:val="single" w:color="C89B3C" w:sz="18" w:space="6"/>
        </w:pBdr>
        <w:shd w:fill="F4F5F7" w:color="auto" w:val="clear"/>
        <w:spacing w:after="0" w:line="240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  { "forma": "PIX", "valor": 149.90 }</w:t>
      </w:r>
    </w:p>
    <w:p>
      <w:pPr>
        <w:pBdr>
          <w:left w:val="single" w:color="C89B3C" w:sz="18" w:space="6"/>
        </w:pBdr>
        <w:shd w:fill="F4F5F7" w:color="auto" w:val="clear"/>
        <w:spacing w:after="0" w:line="240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],</w:t>
      </w:r>
    </w:p>
    <w:p>
      <w:pPr>
        <w:pBdr>
          <w:left w:val="single" w:color="C89B3C" w:sz="18" w:space="6"/>
        </w:pBdr>
        <w:shd w:fill="F4F5F7" w:color="auto" w:val="clear"/>
        <w:spacing w:after="0" w:line="240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"itens": [</w:t>
      </w:r>
    </w:p>
    <w:p>
      <w:pPr>
        <w:pBdr>
          <w:left w:val="single" w:color="C89B3C" w:sz="18" w:space="6"/>
        </w:pBdr>
        <w:shd w:fill="F4F5F7" w:color="auto" w:val="clear"/>
        <w:spacing w:after="0" w:line="240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  {</w:t>
      </w:r>
    </w:p>
    <w:p>
      <w:pPr>
        <w:pBdr>
          <w:left w:val="single" w:color="C89B3C" w:sz="18" w:space="6"/>
        </w:pBdr>
        <w:shd w:fill="F4F5F7" w:color="auto" w:val="clear"/>
        <w:spacing w:after="0" w:line="240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    "codigo": "ANEL-0453",</w:t>
      </w:r>
    </w:p>
    <w:p>
      <w:pPr>
        <w:pBdr>
          <w:left w:val="single" w:color="C89B3C" w:sz="18" w:space="6"/>
        </w:pBdr>
        <w:shd w:fill="F4F5F7" w:color="auto" w:val="clear"/>
        <w:spacing w:after="0" w:line="240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    "descricao": "Anel folheado a ouro 18k - zircônia",</w:t>
      </w:r>
    </w:p>
    <w:p>
      <w:pPr>
        <w:pBdr>
          <w:left w:val="single" w:color="C89B3C" w:sz="18" w:space="6"/>
        </w:pBdr>
        <w:shd w:fill="F4F5F7" w:color="auto" w:val="clear"/>
        <w:spacing w:after="0" w:line="240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    "quantidade": 1,</w:t>
      </w:r>
    </w:p>
    <w:p>
      <w:pPr>
        <w:pBdr>
          <w:left w:val="single" w:color="C89B3C" w:sz="18" w:space="6"/>
        </w:pBdr>
        <w:shd w:fill="F4F5F7" w:color="auto" w:val="clear"/>
        <w:spacing w:after="0" w:line="240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    "valor_unitario": 149.90</w:t>
      </w:r>
    </w:p>
    <w:p>
      <w:pPr>
        <w:pBdr>
          <w:left w:val="single" w:color="C89B3C" w:sz="18" w:space="6"/>
        </w:pBdr>
        <w:shd w:fill="F4F5F7" w:color="auto" w:val="clear"/>
        <w:spacing w:after="0" w:line="240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  }</w:t>
      </w:r>
    </w:p>
    <w:p>
      <w:pPr>
        <w:pBdr>
          <w:left w:val="single" w:color="C89B3C" w:sz="18" w:space="6"/>
        </w:pBdr>
        <w:shd w:fill="F4F5F7" w:color="auto" w:val="clear"/>
        <w:spacing w:after="0" w:line="240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]</w:t>
      </w:r>
    </w:p>
    <w:p>
      <w:pPr>
        <w:pBdr>
          <w:bottom w:val="single" w:color="DDDDDD" w:sz="4" w:space="2"/>
          <w:left w:val="single" w:color="C89B3C" w:sz="18" w:space="6"/>
        </w:pBdr>
        <w:shd w:fill="F4F5F7" w:color="auto" w:val="clear"/>
        <w:spacing w:after="0" w:line="240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}</w:t>
      </w:r>
    </w:p>
    <w:p>
      <w:pPr>
        <w:spacing w:after="8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none"/>
          <w:left w:val="single" w:color="2D5B8C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D5B8C"/>
                <w:sz w:val="20"/>
                <w:szCs w:val="20"/>
              </w:rPr>
              <w:t xml:space="preserve">Ponto de atenção — o que NÃO vem no pacote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 pacote traz dados comerciais da venda. Os dados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fiscais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(CFOP, NCM, CST, origem, alíquotas) NÃO devem vir do InnoSystem — eles são resolvidos dentro do InnoNFe, pela tabela de regras fiscais (seção 5.1). Assim, o ERP permanece não-fiscal e a responsabilidade fiscal fica concentrada num só lugar.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D5B8C"/>
          <w:sz w:val="30"/>
          <w:szCs w:val="30"/>
        </w:rPr>
        <w:t xml:space="preserve">5. Módulos do MVP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Escopo enxuto.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O objetivo do MVP é: cadastrar empresas com certificado, definir regras fiscais, emitir NFC-e/NF-e a partir do pacote colado, e reprocessar notas que deram erro. Nada além disso na primeira entrega.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5.1 Cadastro de empresas, certificados e regras fiscais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Cadastro de empresa-cliente: CNPJ, razão social, endereço, inscrição estadual, regime (Simples Nacional), CSC/token de NFC-e por estado.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Upload seguro do certificado A1 (.pfx) + senha (cofre criptografado).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Tabela de regras fiscais: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define CFOP, NCM, CST/CSOSN, origem e unidade por produto ou por padrão. Permite um “padrão da empresa” e exceções por produto.</w:t>
      </w:r>
    </w:p>
    <w:tbl>
      <w:tblPr>
        <w:tblW w:type="pct" w:w="100%"/>
        <w:tblBorders>
          <w:top w:val="none"/>
          <w:left w:val="single" w:color="C89B3C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8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89B3C"/>
                <w:sz w:val="20"/>
                <w:szCs w:val="20"/>
              </w:rPr>
              <w:t xml:space="preserve">Sobre NCM e CFOP no ramo de joias/semijoias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Joia com metal precioso e bijuteria/semijoia têm NCM diferentes, e o CFOP/CST varia por estado e por regime. Esses valores devem ser configuráveis e validados junto ao contador do cliente — o sistema apenas aplica a regra cadastrada; não “adivinha” tributação.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5.2 Tela “Emitir nota”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Operador seleciona a empresa emitente e cola o pacote de venda.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InnoNFe faz parsing, aplica as regras fiscais e monta uma pré-visualização dos dados da nota.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Operador confere e clica em “Emitir”.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NFC-e é síncrona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: a resposta (autorizada ou erro) volta em segundos, na própria tela.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Resultado — sucesso: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exibe status “Autorizada”, botões de download do PDF (DANFE) e do XML, e QR Code.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Resultado — erro: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exibe a mensagem exata da SEFAZ e leva o operador ao fluxo de correção (5.3).</w:t>
      </w:r>
    </w:p>
    <w:tbl>
      <w:tblPr>
        <w:tblW w:type="pct" w:w="100%"/>
        <w:tblBorders>
          <w:top w:val="none"/>
          <w:left w:val="single" w:color="2D5B8C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D5B8C"/>
                <w:sz w:val="20"/>
                <w:szCs w:val="20"/>
              </w:rPr>
              <w:t xml:space="preserve">Diferença técnica NFC-e × NF-e (importante para o dev)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 NFC-e é processada de forma síncrona (resposta imediata) — ideal para PDV. A NF-e é assíncrona: o envio retorna um “em processamento” e o sistema precisa consultar o status depois (polling ou webhook). A tela e a máquina de status devem contemplar os dois comportamentos.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5.3 Central de documentos (consulta + reprocessamento)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Listagem de NFC-e e NF-e por empresa, com filtro por status (autorizada, erro, cancelada, em processamento) e período.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Editar e reemitir: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em caso de erro, abrir a nota, corrigir os dados na tela e reenviar sem precisar recolar o pacote.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Cancelar nota: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cancelamento com justificativa (respeitando o prazo legal), guardando o XML de cancelamento.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Download em lote: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baixar XML e/ou DANFE de várias notas de uma vez (ex.: fechamento contábil do mês).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D5B8C"/>
          <w:sz w:val="30"/>
          <w:szCs w:val="30"/>
        </w:rPr>
        <w:t xml:space="preserve">6. Fora do MVP (fases seguintes)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2"/>
          <w:insideV w:val="single" w:color="E2E8F0" w:sz="2"/>
        </w:tblBorders>
      </w:tblPr>
      <w:tblGrid>
        <w:gridCol w:w="3600"/>
        <w:gridCol w:w="900"/>
        <w:gridCol w:w="4860"/>
      </w:tblGrid>
      <w:tr>
        <w:trPr>
          <w:tblHeader/>
        </w:trPr>
        <w:tc>
          <w:tcPr>
            <w:tcW w:type="dxa" w:w="3600"/>
            <w:shd w:fill="2D5B8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Recurso</w:t>
            </w:r>
          </w:p>
        </w:tc>
        <w:tc>
          <w:tcPr>
            <w:tcW w:type="dxa" w:w="900"/>
            <w:shd w:fill="2D5B8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4860"/>
            <w:shd w:fill="2D5B8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6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Automação da ponte (sem copia-e-cola)</w:t>
            </w:r>
          </w:p>
        </w:tc>
        <w:tc>
          <w:tcPr>
            <w:tcW w:type="dxa" w:w="9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486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Botão no InnoSystem envia direto via API/link autenticado ao InnoNFe.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NF-e de devolução / estorno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4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Fluxo fiscal específico; exige referência à nota original.</w:t>
            </w:r>
          </w:p>
        </w:tc>
      </w:tr>
      <w:tr>
        <w:tc>
          <w:tcPr>
            <w:tcW w:type="dxa" w:w="36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NFS-e (serviços)</w:t>
            </w:r>
          </w:p>
        </w:tc>
        <w:tc>
          <w:tcPr>
            <w:tcW w:type="dxa" w:w="9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486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Depende de integração por município; maior complexidade.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Painel white-label para o cliente final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4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Cliente acessa suas próprias notas com sua marca.</w:t>
            </w:r>
          </w:p>
        </w:tc>
      </w:tr>
      <w:tr>
        <w:tc>
          <w:tcPr>
            <w:tcW w:type="dxa" w:w="36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Relatórios e conciliação fiscal</w:t>
            </w:r>
          </w:p>
        </w:tc>
        <w:tc>
          <w:tcPr>
            <w:tcW w:type="dxa" w:w="9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486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Dashboards, exportações contábeis, alertas.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Contingência / reenvio automático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4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Tratamento de instabilidade da SEFAZ (a integradora já ajuda aqui).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D5B8C"/>
          <w:sz w:val="30"/>
          <w:szCs w:val="30"/>
        </w:rPr>
        <w:t xml:space="preserve">7. Modelo de dados (sugestão inicial)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Estrutura mínima sugerida — o desenvolvedor pode ajustar. O foco é o multi-tenant e a rastreabilidade de cada emissão.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2"/>
          <w:insideV w:val="single" w:color="E2E8F0" w:sz="2"/>
        </w:tblBorders>
      </w:tblPr>
      <w:tblGrid>
        <w:gridCol w:w="1700"/>
        <w:gridCol w:w="4560"/>
        <w:gridCol w:w="3100"/>
      </w:tblGrid>
      <w:tr>
        <w:trPr>
          <w:tblHeader/>
        </w:trPr>
        <w:tc>
          <w:tcPr>
            <w:tcW w:type="dxa" w:w="1700"/>
            <w:shd w:fill="2D5B8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4560"/>
            <w:shd w:fill="2D5B8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Campos principais</w:t>
            </w:r>
          </w:p>
        </w:tc>
        <w:tc>
          <w:tcPr>
            <w:tcW w:type="dxa" w:w="3100"/>
            <w:shd w:fill="2D5B8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</w:tr>
      <w:tr>
        <w:tc>
          <w:tcPr>
            <w:tcW w:type="dxa" w:w="17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empresas</w:t>
            </w:r>
          </w:p>
        </w:tc>
        <w:tc>
          <w:tcPr>
            <w:tcW w:type="dxa" w:w="456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id, cnpj, razao_social, ie, regime, csc_nfce, status</w:t>
            </w:r>
          </w:p>
        </w:tc>
        <w:tc>
          <w:tcPr>
            <w:tcW w:type="dxa" w:w="31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Clientes emitentes (multi-tenant)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certificados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id, empresa_id, arquivo_cript, senha_cript, validade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Cofre de certificados A1</w:t>
            </w:r>
          </w:p>
        </w:tc>
      </w:tr>
      <w:tr>
        <w:tc>
          <w:tcPr>
            <w:tcW w:type="dxa" w:w="17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regras_fiscais</w:t>
            </w:r>
          </w:p>
        </w:tc>
        <w:tc>
          <w:tcPr>
            <w:tcW w:type="dxa" w:w="456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id, empresa_id, produto_codigo (ou padrão), cfop, ncm, cst_csosn, origem, unidade</w:t>
            </w:r>
          </w:p>
        </w:tc>
        <w:tc>
          <w:tcPr>
            <w:tcW w:type="dxa" w:w="31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Tributação aplicada na emissão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documentos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id, empresa_id, tipo (NFCE/NFE), ref, status, chave, numero, serie, xml, danfe, msg_sefaz, criado_em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Cada nota e seu ciclo de vida</w:t>
            </w:r>
          </w:p>
        </w:tc>
      </w:tr>
      <w:tr>
        <w:tc>
          <w:tcPr>
            <w:tcW w:type="dxa" w:w="17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eventos</w:t>
            </w:r>
          </w:p>
        </w:tc>
        <w:tc>
          <w:tcPr>
            <w:tcW w:type="dxa" w:w="456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id, documento_id, tipo (emissao/erro/cancelamento/reenvio), detalhe, data</w:t>
            </w:r>
          </w:p>
        </w:tc>
        <w:tc>
          <w:tcPr>
            <w:tcW w:type="dxa" w:w="31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Auditoria e histórico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usuarios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id, empresa_id (ou fornecedor), nome, papel, permissoes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Acesso e isolamento entre clientes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C89B3C"/>
          <w:sz w:val="22"/>
          <w:szCs w:val="22"/>
        </w:rPr>
        <w:t xml:space="preserve">Máquina de status do documento</w:t>
      </w:r>
    </w:p>
    <w:p>
      <w:pPr>
        <w:spacing w:after="120" w:line="276"/>
      </w:pPr>
      <w:r>
        <w:rPr>
          <w:rFonts w:ascii="Consolas" w:cs="Consolas" w:eastAsia="Consolas" w:hAnsi="Consolas"/>
          <w:color w:val="2D5B8C"/>
          <w:sz w:val="18"/>
          <w:szCs w:val="18"/>
        </w:rPr>
        <w:t xml:space="preserve">rascunho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 →  </w:t>
      </w:r>
      <w:r>
        <w:rPr>
          <w:rFonts w:ascii="Consolas" w:cs="Consolas" w:eastAsia="Consolas" w:hAnsi="Consolas"/>
          <w:color w:val="6B7280"/>
          <w:sz w:val="18"/>
          <w:szCs w:val="18"/>
        </w:rPr>
        <w:t xml:space="preserve">em_processamento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 →  </w:t>
      </w:r>
      <w:r>
        <w:rPr>
          <w:rFonts w:ascii="Consolas" w:cs="Consolas" w:eastAsia="Consolas" w:hAnsi="Consolas"/>
          <w:color w:val="1E7D46"/>
          <w:sz w:val="18"/>
          <w:szCs w:val="18"/>
        </w:rPr>
        <w:t xml:space="preserve">autorizada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  |   </w:t>
      </w:r>
      <w:r>
        <w:rPr>
          <w:rFonts w:ascii="Consolas" w:cs="Consolas" w:eastAsia="Consolas" w:hAnsi="Consolas"/>
          <w:color w:val="9A3B2E"/>
          <w:sz w:val="18"/>
          <w:szCs w:val="18"/>
        </w:rPr>
        <w:t xml:space="preserve">erro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(→ corrige → reenvia)   |   </w:t>
      </w:r>
      <w:r>
        <w:rPr>
          <w:rFonts w:ascii="Consolas" w:cs="Consolas" w:eastAsia="Consolas" w:hAnsi="Consolas"/>
          <w:color w:val="6B7280"/>
          <w:sz w:val="18"/>
          <w:szCs w:val="18"/>
        </w:rPr>
        <w:t xml:space="preserve">cancelada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D5B8C"/>
          <w:sz w:val="30"/>
          <w:szCs w:val="30"/>
        </w:rPr>
        <w:t xml:space="preserve">8. Fluxo de telas (MVP)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Login / seleção de empresa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— usuário entra e escolhe a empresa emitente (respeitando permissões).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Configurações da empresa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— certificado, dados cadastrais, CSC, tabela de regras fiscais.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Emitir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— cola o pacote, confere a pré-visualização, emite; vê sucesso (downloads) ou erro.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Central de documentos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— lista/filtra; abrir uma nota permite corrigir-e-reemitir, cancelar, baixar (individual e em lote).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D5B8C"/>
          <w:sz w:val="30"/>
          <w:szCs w:val="30"/>
        </w:rPr>
        <w:t xml:space="preserve">9. Roteiro sugerido de entregas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2"/>
          <w:insideV w:val="single" w:color="E2E8F0" w:sz="2"/>
        </w:tblBorders>
      </w:tblPr>
      <w:tblGrid>
        <w:gridCol w:w="900"/>
        <w:gridCol w:w="4300"/>
        <w:gridCol w:w="4160"/>
      </w:tblGrid>
      <w:tr>
        <w:trPr>
          <w:tblHeader/>
        </w:trPr>
        <w:tc>
          <w:tcPr>
            <w:tcW w:type="dxa" w:w="900"/>
            <w:shd w:fill="2D5B8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4300"/>
            <w:shd w:fill="2D5B8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Entrega</w:t>
            </w:r>
          </w:p>
        </w:tc>
        <w:tc>
          <w:tcPr>
            <w:tcW w:type="dxa" w:w="4160"/>
            <w:shd w:fill="2D5B8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9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</w:t>
            </w:r>
          </w:p>
        </w:tc>
        <w:tc>
          <w:tcPr>
            <w:tcW w:type="dxa" w:w="43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Cadastro de empresa + cofre de certificado</w:t>
            </w:r>
          </w:p>
        </w:tc>
        <w:tc>
          <w:tcPr>
            <w:tcW w:type="dxa" w:w="416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Uma empresa cadastrada e habilitada na integradora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Tabela de regras fiscais</w:t>
            </w:r>
          </w:p>
        </w:tc>
        <w:tc>
          <w:tcPr>
            <w:tcW w:type="dxa" w:w="4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CFOP/NCM/CST configuráveis por produto/padrão</w:t>
            </w:r>
          </w:p>
        </w:tc>
      </w:tr>
      <w:tr>
        <w:tc>
          <w:tcPr>
            <w:tcW w:type="dxa" w:w="9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</w:t>
            </w:r>
          </w:p>
        </w:tc>
        <w:tc>
          <w:tcPr>
            <w:tcW w:type="dxa" w:w="43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Tela Emitir (NFC-e síncrona)</w:t>
            </w:r>
          </w:p>
        </w:tc>
        <w:tc>
          <w:tcPr>
            <w:tcW w:type="dxa" w:w="416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Emissão real em homologação, com PDF/XML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NF-e (fluxo assíncrono + consulta de status)</w:t>
            </w:r>
          </w:p>
        </w:tc>
        <w:tc>
          <w:tcPr>
            <w:tcW w:type="dxa" w:w="4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Emissão de NF-e funcionando</w:t>
            </w:r>
          </w:p>
        </w:tc>
      </w:tr>
      <w:tr>
        <w:tc>
          <w:tcPr>
            <w:tcW w:type="dxa" w:w="9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</w:t>
            </w:r>
          </w:p>
        </w:tc>
        <w:tc>
          <w:tcPr>
            <w:tcW w:type="dxa" w:w="43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Central de documentos + reprocessar erro + cancelar</w:t>
            </w:r>
          </w:p>
        </w:tc>
        <w:tc>
          <w:tcPr>
            <w:tcW w:type="dxa" w:w="416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Ciclo de vida completo da nota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Download em lote</w:t>
            </w:r>
          </w:p>
        </w:tc>
        <w:tc>
          <w:tcPr>
            <w:tcW w:type="dxa" w:w="4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Exportação de XML/DANFE do período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D5B8C"/>
          <w:sz w:val="30"/>
          <w:szCs w:val="30"/>
        </w:rPr>
        <w:t xml:space="preserve">10. Decisões deixadas ao desenvolvedor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Escolha da integradora: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Focus NFe, Nuvem Fiscal ou PlugNotas. Todas expõem API REST/JSON, ambiente de homologação gratuito e suporte a multi-CNPJ. Critérios: cobertura nos estados dos clientes, preço no volume esperado e qualidade da documentação.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Stack: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linguagem, banco e framework a critério do dev.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Hospedagem e backup: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atenção especial ao armazenamento de certificados e à retenção legal de XML (11 anos / 132 meses).</w:t>
      </w:r>
    </w:p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none"/>
          <w:left w:val="single" w:color="C89B3C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8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89B3C"/>
                <w:sz w:val="20"/>
                <w:szCs w:val="20"/>
              </w:rPr>
              <w:t xml:space="preserve">Resumo de uma frase para o desenvolvedor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Construir um SaaS fiscal multiempresa (InnoNFe) que recebe dados de venda do InnoSystem por um pacote JSON, aplica regras fiscais próprias, emite NFC-e e NF-e via uma integradora sob contrato centralizado, e oferece uma central para consultar, corrigir-e-reemitir, cancelar e baixar documentos — mantendo o InnoSystem totalmente não-fiscal.</w:t>
            </w:r>
          </w:p>
        </w:tc>
      </w:tr>
    </w:tbl>
    <w:p>
      <w:pPr>
        <w:spacing w:after="20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Documento gerado como base de discussão — versão de escopo (MVP). Sujeito a refinamento antes do início do desenvolvimento.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D5B8C"/>
          <w:sz w:val="30"/>
          <w:szCs w:val="30"/>
        </w:rPr>
        <w:t xml:space="preserve">11. Telas do sistema — Cadastro e Configuração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Esta seção define as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duas telas iniciais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do InnoNFe, já com o layout proposto e a lista completa de campos.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O fluxo é sequencial: primeiro cadastra-se a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empresa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(Tela 1); em seguida, sua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configuração fiscal e o certificado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(Tela 2).</w:t>
      </w:r>
    </w:p>
    <w:tbl>
      <w:tblPr>
        <w:tblW w:type="pct" w:w="100%"/>
        <w:tblBorders>
          <w:top w:val="none"/>
          <w:left w:val="single" w:color="C89B3C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8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89B3C"/>
                <w:sz w:val="20"/>
                <w:szCs w:val="20"/>
              </w:rPr>
              <w:t xml:space="preserve">Orientação ao desenvolvedor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As telas de referência do sistema legado (i9) contêm dezenas de campos. As telas abaixo já são a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versão reduzida e definitiva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para o perfil atendido (pequenas empresas do Simples Nacional). Construir apenas os campos listados aqui — não replicar os campos extras das telas originais.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11.1 Tela 1 — Cadastro da empresa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Identifica o emitente das notas. Reúne dados cadastrais, endereço, contato e informações fiscais básicas.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Substitui a tela de “Empresas” do sistema legado, mantendo apenas o essencial.</w:t>
      </w:r>
    </w:p>
    <w:p>
      <w:pPr>
        <w:spacing w:after="60" w:before="60"/>
        <w:jc w:val="center"/>
      </w:pPr>
      <w:r>
        <w:drawing>
          <wp:inline distT="0" distB="0" distL="0" distR="0">
            <wp:extent cx="4095750" cy="650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Tela 1 — Cadastro da empresa (layout proposto, identidade i9).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C89B3C"/>
          <w:sz w:val="22"/>
          <w:szCs w:val="22"/>
        </w:rPr>
        <w:t xml:space="preserve">Bloco 1: Identificação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2"/>
          <w:insideV w:val="single" w:color="E2E8F0" w:sz="2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Obrigatório</w:t>
            </w:r>
          </w:p>
        </w:tc>
        <w:tc>
          <w:tcPr>
            <w:tcW w:type="dxa" w:w="496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Observação</w:t>
            </w:r>
          </w:p>
        </w:tc>
      </w:tr>
      <w:tr>
        <w:tc>
          <w:tcPr>
            <w:tcW w:type="dxa" w:w="30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Razão social</w:t>
            </w:r>
          </w:p>
        </w:tc>
        <w:tc>
          <w:tcPr>
            <w:tcW w:type="dxa" w:w="14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Nome empresarial registrado na Receita.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Nome fantasia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Nome comercial da empresa.</w:t>
            </w:r>
          </w:p>
        </w:tc>
      </w:tr>
      <w:tr>
        <w:tc>
          <w:tcPr>
            <w:tcW w:type="dxa" w:w="30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CNPJ</w:t>
            </w:r>
          </w:p>
        </w:tc>
        <w:tc>
          <w:tcPr>
            <w:tcW w:type="dxa" w:w="14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Documento do emitente; base para toda a emissão.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CNAE principal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7"/>
                <w:szCs w:val="17"/>
              </w:rPr>
              <w:t xml:space="preserve">Não</w:t>
            </w:r>
          </w:p>
        </w:tc>
        <w:tc>
          <w:tcPr>
            <w:tcW w:type="dxa" w:w="49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Código da atividade econômica.</w:t>
            </w:r>
          </w:p>
        </w:tc>
      </w:tr>
      <w:tr>
        <w:tc>
          <w:tcPr>
            <w:tcW w:type="dxa" w:w="30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Inscrição estadual</w:t>
            </w:r>
          </w:p>
        </w:tc>
        <w:tc>
          <w:tcPr>
            <w:tcW w:type="dxa" w:w="14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Obrigatória para emissão de NF-e/NFC-e.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C89B3C"/>
          <w:sz w:val="22"/>
          <w:szCs w:val="22"/>
        </w:rPr>
        <w:t xml:space="preserve">Bloco 2: Endereço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2"/>
          <w:insideV w:val="single" w:color="E2E8F0" w:sz="2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Obrigatório</w:t>
            </w:r>
          </w:p>
        </w:tc>
        <w:tc>
          <w:tcPr>
            <w:tcW w:type="dxa" w:w="496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Observação</w:t>
            </w:r>
          </w:p>
        </w:tc>
      </w:tr>
      <w:tr>
        <w:tc>
          <w:tcPr>
            <w:tcW w:type="dxa" w:w="30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CEP</w:t>
            </w:r>
          </w:p>
        </w:tc>
        <w:tc>
          <w:tcPr>
            <w:tcW w:type="dxa" w:w="14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Dispara o preenchimento automático do endereço.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Logradouro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Rua/avenida.</w:t>
            </w:r>
          </w:p>
        </w:tc>
      </w:tr>
      <w:tr>
        <w:tc>
          <w:tcPr>
            <w:tcW w:type="dxa" w:w="30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Número</w:t>
            </w:r>
          </w:p>
        </w:tc>
        <w:tc>
          <w:tcPr>
            <w:tcW w:type="dxa" w:w="14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Número do estabelecimento.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Bairro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Cidade</w:t>
            </w:r>
          </w:p>
        </w:tc>
        <w:tc>
          <w:tcPr>
            <w:tcW w:type="dxa" w:w="14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Município do emitente.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UF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Estado (seleção).</w:t>
            </w:r>
          </w:p>
        </w:tc>
      </w:tr>
      <w:tr>
        <w:tc>
          <w:tcPr>
            <w:tcW w:type="dxa" w:w="30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Complemento</w:t>
            </w:r>
          </w:p>
        </w:tc>
        <w:tc>
          <w:tcPr>
            <w:tcW w:type="dxa" w:w="14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7"/>
                <w:szCs w:val="17"/>
              </w:rPr>
              <w:t xml:space="preserve">Não</w:t>
            </w:r>
          </w:p>
        </w:tc>
        <w:tc>
          <w:tcPr>
            <w:tcW w:type="dxa" w:w="496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Sala, loja, andar, etc.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Código município (IBGE)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Automático a partir de cidade/UF.</w:t>
            </w:r>
          </w:p>
        </w:tc>
      </w:tr>
      <w:tr>
        <w:tc>
          <w:tcPr>
            <w:tcW w:type="dxa" w:w="30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Código UF</w:t>
            </w:r>
          </w:p>
        </w:tc>
        <w:tc>
          <w:tcPr>
            <w:tcW w:type="dxa" w:w="14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Automático a partir da UF.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C89B3C"/>
          <w:sz w:val="22"/>
          <w:szCs w:val="22"/>
        </w:rPr>
        <w:t xml:space="preserve">Bloco 3: Contato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2"/>
          <w:insideV w:val="single" w:color="E2E8F0" w:sz="2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Obrigatório</w:t>
            </w:r>
          </w:p>
        </w:tc>
        <w:tc>
          <w:tcPr>
            <w:tcW w:type="dxa" w:w="496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Observação</w:t>
            </w:r>
          </w:p>
        </w:tc>
      </w:tr>
      <w:tr>
        <w:tc>
          <w:tcPr>
            <w:tcW w:type="dxa" w:w="30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E-mail</w:t>
            </w:r>
          </w:p>
        </w:tc>
        <w:tc>
          <w:tcPr>
            <w:tcW w:type="dxa" w:w="14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Aparece na nota e recebe avisos do sistema.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Telefone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7"/>
                <w:szCs w:val="17"/>
              </w:rPr>
              <w:t xml:space="preserve">Não</w:t>
            </w:r>
          </w:p>
        </w:tc>
        <w:tc>
          <w:tcPr>
            <w:tcW w:type="dxa" w:w="49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Contato fixo.</w:t>
            </w:r>
          </w:p>
        </w:tc>
      </w:tr>
      <w:tr>
        <w:tc>
          <w:tcPr>
            <w:tcW w:type="dxa" w:w="30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WhatsApp</w:t>
            </w:r>
          </w:p>
        </w:tc>
        <w:tc>
          <w:tcPr>
            <w:tcW w:type="dxa" w:w="14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7"/>
                <w:szCs w:val="17"/>
              </w:rPr>
              <w:t xml:space="preserve">Não</w:t>
            </w:r>
          </w:p>
        </w:tc>
        <w:tc>
          <w:tcPr>
            <w:tcW w:type="dxa" w:w="496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Contato móvel.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C89B3C"/>
          <w:sz w:val="22"/>
          <w:szCs w:val="22"/>
        </w:rPr>
        <w:t xml:space="preserve">Bloco 4: Informações fiscais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2"/>
          <w:insideV w:val="single" w:color="E2E8F0" w:sz="2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Obrigatório</w:t>
            </w:r>
          </w:p>
        </w:tc>
        <w:tc>
          <w:tcPr>
            <w:tcW w:type="dxa" w:w="496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Observação</w:t>
            </w:r>
          </w:p>
        </w:tc>
      </w:tr>
      <w:tr>
        <w:tc>
          <w:tcPr>
            <w:tcW w:type="dxa" w:w="30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Regime de apuração</w:t>
            </w:r>
          </w:p>
        </w:tc>
        <w:tc>
          <w:tcPr>
            <w:tcW w:type="dxa" w:w="14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Fixo em Simples Nacional (perfil atendido).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Atividade preponderante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Comércio / Indústria / Serviços.</w:t>
            </w:r>
          </w:p>
        </w:tc>
      </w:tr>
      <w:tr>
        <w:tc>
          <w:tcPr>
            <w:tcW w:type="dxa" w:w="30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Empresa padrão</w:t>
            </w:r>
          </w:p>
        </w:tc>
        <w:tc>
          <w:tcPr>
            <w:tcW w:type="dxa" w:w="14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7"/>
                <w:szCs w:val="17"/>
              </w:rPr>
              <w:t xml:space="preserve">Não</w:t>
            </w:r>
          </w:p>
        </w:tc>
        <w:tc>
          <w:tcPr>
            <w:tcW w:type="dxa" w:w="496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Marca a empresa principal (matriz) do grupo.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C89B3C"/>
          <w:sz w:val="22"/>
          <w:szCs w:val="22"/>
        </w:rPr>
        <w:t xml:space="preserve">Bloco 5: Textos padrão nas notas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2"/>
          <w:insideV w:val="single" w:color="E2E8F0" w:sz="2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Obrigatório</w:t>
            </w:r>
          </w:p>
        </w:tc>
        <w:tc>
          <w:tcPr>
            <w:tcW w:type="dxa" w:w="496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Observação</w:t>
            </w:r>
          </w:p>
        </w:tc>
      </w:tr>
      <w:tr>
        <w:tc>
          <w:tcPr>
            <w:tcW w:type="dxa" w:w="30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Info. complementar NF-e</w:t>
            </w:r>
          </w:p>
        </w:tc>
        <w:tc>
          <w:tcPr>
            <w:tcW w:type="dxa" w:w="14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7"/>
                <w:szCs w:val="17"/>
              </w:rPr>
              <w:t xml:space="preserve">Não</w:t>
            </w:r>
          </w:p>
        </w:tc>
        <w:tc>
          <w:tcPr>
            <w:tcW w:type="dxa" w:w="496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Texto fixo no campo de observações da NF-e.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Info. complementar NFC-e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7"/>
                <w:szCs w:val="17"/>
              </w:rPr>
              <w:t xml:space="preserve">Não</w:t>
            </w:r>
          </w:p>
        </w:tc>
        <w:tc>
          <w:tcPr>
            <w:tcW w:type="dxa" w:w="49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Texto fixo no rodapé da NFC-e.</w:t>
            </w:r>
          </w:p>
        </w:tc>
      </w:tr>
    </w:tbl>
    <w:p>
      <w:r>
        <w:br w:type="pag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11.2 Tela 2 — Configuração fiscal e certificado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Define a tributação das notas da empresa e habilita a emissão.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Reúne, em uma só tela, três telas do sistema legado: a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Operação Fiscal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(abas Base, ICMS e CFOP), o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Certificado Digital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e as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credenciais da NFC-e (CSC)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.</w:t>
      </w:r>
    </w:p>
    <w:p>
      <w:pPr>
        <w:spacing w:after="60" w:before="60"/>
        <w:jc w:val="center"/>
      </w:pPr>
      <w:r>
        <w:drawing>
          <wp:inline distT="0" distB="0" distL="0" distR="0">
            <wp:extent cx="4095750" cy="707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Tela 2 — Configuração fiscal, certificado e NFC-e (junção de quatro telas legadas).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C89B3C"/>
          <w:sz w:val="22"/>
          <w:szCs w:val="22"/>
        </w:rPr>
        <w:t xml:space="preserve">Bloco 1: Operação fiscal › Base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2"/>
          <w:insideV w:val="single" w:color="E2E8F0" w:sz="2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Obrigatório</w:t>
            </w:r>
          </w:p>
        </w:tc>
        <w:tc>
          <w:tcPr>
            <w:tcW w:type="dxa" w:w="496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Observação</w:t>
            </w:r>
          </w:p>
        </w:tc>
      </w:tr>
      <w:tr>
        <w:tc>
          <w:tcPr>
            <w:tcW w:type="dxa" w:w="30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Nome da operação</w:t>
            </w:r>
          </w:p>
        </w:tc>
        <w:tc>
          <w:tcPr>
            <w:tcW w:type="dxa" w:w="14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Ex.: “Venda de Materiais e Serviços”.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Grupo tributário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Ex.: “Sem ST”.</w:t>
            </w:r>
          </w:p>
        </w:tc>
      </w:tr>
      <w:tr>
        <w:tc>
          <w:tcPr>
            <w:tcW w:type="dxa" w:w="30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Destino — estado</w:t>
            </w:r>
          </w:p>
        </w:tc>
        <w:tc>
          <w:tcPr>
            <w:tcW w:type="dxa" w:w="14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UF de destino da operação.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Situação do PIS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Ex.: 07 — Operação isenta da contribuição.</w:t>
            </w:r>
          </w:p>
        </w:tc>
      </w:tr>
      <w:tr>
        <w:tc>
          <w:tcPr>
            <w:tcW w:type="dxa" w:w="30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Situação do COFINS</w:t>
            </w:r>
          </w:p>
        </w:tc>
        <w:tc>
          <w:tcPr>
            <w:tcW w:type="dxa" w:w="14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Ex.: 07 — Operação isenta da contribuição.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C89B3C"/>
          <w:sz w:val="22"/>
          <w:szCs w:val="22"/>
        </w:rPr>
        <w:t xml:space="preserve">Bloco 1: Operação fiscal › ICMS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2"/>
          <w:insideV w:val="single" w:color="E2E8F0" w:sz="2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Obrigatório</w:t>
            </w:r>
          </w:p>
        </w:tc>
        <w:tc>
          <w:tcPr>
            <w:tcW w:type="dxa" w:w="496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Observação</w:t>
            </w:r>
          </w:p>
        </w:tc>
      </w:tr>
      <w:tr>
        <w:tc>
          <w:tcPr>
            <w:tcW w:type="dxa" w:w="30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Situação do ICMS (CSOSN)</w:t>
            </w:r>
          </w:p>
        </w:tc>
        <w:tc>
          <w:tcPr>
            <w:tcW w:type="dxa" w:w="14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Ex.: 102 — Tributada sem permissão de crédito.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Somar IPI na base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7"/>
                <w:szCs w:val="17"/>
              </w:rPr>
              <w:t xml:space="preserve">Não</w:t>
            </w:r>
          </w:p>
        </w:tc>
        <w:tc>
          <w:tcPr>
            <w:tcW w:type="dxa" w:w="49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Chave liga/desliga; normalmente desligada no Simples.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C89B3C"/>
          <w:sz w:val="22"/>
          <w:szCs w:val="22"/>
        </w:rPr>
        <w:t xml:space="preserve">Bloco 1: Operação fiscal › CFOP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2"/>
          <w:insideV w:val="single" w:color="E2E8F0" w:sz="2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Obrigatório</w:t>
            </w:r>
          </w:p>
        </w:tc>
        <w:tc>
          <w:tcPr>
            <w:tcW w:type="dxa" w:w="496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Observação</w:t>
            </w:r>
          </w:p>
        </w:tc>
      </w:tr>
      <w:tr>
        <w:tc>
          <w:tcPr>
            <w:tcW w:type="dxa" w:w="30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CFOP (adicionar)</w:t>
            </w:r>
          </w:p>
        </w:tc>
        <w:tc>
          <w:tcPr>
            <w:tcW w:type="dxa" w:w="14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Campo + botão “Adicionar”; aceita vários CFOPs.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Lista de CFOPs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Tabela com código e descrição; permite remover. Ex.: 5102.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C89B3C"/>
          <w:sz w:val="22"/>
          <w:szCs w:val="22"/>
        </w:rPr>
        <w:t xml:space="preserve">Bloco 2: Certificado digital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2"/>
          <w:insideV w:val="single" w:color="E2E8F0" w:sz="2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Obrigatório</w:t>
            </w:r>
          </w:p>
        </w:tc>
        <w:tc>
          <w:tcPr>
            <w:tcW w:type="dxa" w:w="496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Observação</w:t>
            </w:r>
          </w:p>
        </w:tc>
      </w:tr>
      <w:tr>
        <w:tc>
          <w:tcPr>
            <w:tcW w:type="dxa" w:w="30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Arquivo do certificado A1</w:t>
            </w:r>
          </w:p>
        </w:tc>
        <w:tc>
          <w:tcPr>
            <w:tcW w:type="dxa" w:w="14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Upload .pfx/.p12; armazenado criptografado (cofre).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Senha do certificado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Guardada em cofre; nunca exibida em texto.</w:t>
            </w:r>
          </w:p>
        </w:tc>
      </w:tr>
    </w:tbl>
    <w:tbl>
      <w:tblPr>
        <w:tblW w:type="pct" w:w="100%"/>
        <w:tblBorders>
          <w:top w:val="none"/>
          <w:left w:val="single" w:color="2D5B8C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D5B8C"/>
                <w:sz w:val="20"/>
                <w:szCs w:val="20"/>
              </w:rPr>
              <w:t xml:space="preserve">Regra de certificado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Somente modelo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A1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(arquivo). O sistema deve exibir a data de validade e alertar o vencimento com antecedência, evitando parada de emissão.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C89B3C"/>
          <w:sz w:val="22"/>
          <w:szCs w:val="22"/>
        </w:rPr>
        <w:t xml:space="preserve">Bloco 3: Credenciais e numeração da NFC-e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2"/>
          <w:insideV w:val="single" w:color="E2E8F0" w:sz="2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Obrigatório</w:t>
            </w:r>
          </w:p>
        </w:tc>
        <w:tc>
          <w:tcPr>
            <w:tcW w:type="dxa" w:w="496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Observação</w:t>
            </w:r>
          </w:p>
        </w:tc>
      </w:tr>
      <w:tr>
        <w:tc>
          <w:tcPr>
            <w:tcW w:type="dxa" w:w="30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Ambiente</w:t>
            </w:r>
          </w:p>
        </w:tc>
        <w:tc>
          <w:tcPr>
            <w:tcW w:type="dxa" w:w="14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Homologação ou Produção.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Série NFC-e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Série da numeração.</w:t>
            </w:r>
          </w:p>
        </w:tc>
      </w:tr>
      <w:tr>
        <w:tc>
          <w:tcPr>
            <w:tcW w:type="dxa" w:w="30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Início numeração NFC-e</w:t>
            </w:r>
          </w:p>
        </w:tc>
        <w:tc>
          <w:tcPr>
            <w:tcW w:type="dxa" w:w="14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Próximo número a emitir.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Tamanho impressão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7"/>
                <w:szCs w:val="17"/>
              </w:rPr>
              <w:t xml:space="preserve">Não</w:t>
            </w:r>
          </w:p>
        </w:tc>
        <w:tc>
          <w:tcPr>
            <w:tcW w:type="dxa" w:w="49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Bobina 80 mm ou 58 mm.</w:t>
            </w:r>
          </w:p>
        </w:tc>
      </w:tr>
      <w:tr>
        <w:tc>
          <w:tcPr>
            <w:tcW w:type="dxa" w:w="30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Token CSC</w:t>
            </w:r>
          </w:p>
        </w:tc>
        <w:tc>
          <w:tcPr>
            <w:tcW w:type="dxa" w:w="14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Código de Segurança do Contribuinte, gerado na SEFAZ da UF.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ID do token CSC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Identificador do CSC (ex.: 1).</w:t>
            </w:r>
          </w:p>
        </w:tc>
      </w:tr>
    </w:tbl>
    <w:tbl>
      <w:tblPr>
        <w:tblW w:type="pct" w:w="100%"/>
        <w:tblBorders>
          <w:top w:val="none"/>
          <w:left w:val="single" w:color="C89B3C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8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89B3C"/>
                <w:sz w:val="20"/>
                <w:szCs w:val="20"/>
              </w:rPr>
              <w:t xml:space="preserve">Por que o CSC fica aqui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 CSC é exclusivo da NFC-e e emitido no portal da SEFAZ de cada estado. Sem ele, a NFC-e não é autorizada. Por isso ele integra a configuração fiscal da empresa, junto do certificado.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D5B8C"/>
          <w:sz w:val="30"/>
          <w:szCs w:val="30"/>
        </w:rPr>
        <w:t xml:space="preserve">12. Ponte de dados e emissão da nota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Esta seção detalha a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ponte entre o InnoSystem (não-fiscal) e o InnoNFe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. O operador conclui a venda no InnoSystem, copia os dados com um botão, e cola no InnoNFe,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que monta a prévia e emite a nota. Fase 1 é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manual (copia-e-cola)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; a automação vem depois.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12.1 Botão “Copiar para nota fiscal” no InnoSystem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Duas telas do InnoSystem ganham um botão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“Copiar para nota fiscal”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, posicionado ao lado do botão “Voltar”. Ao clicar, ele copia para a área de transferência os dados da venda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(cliente, produtos, valores e forma de pagamento) no formato que o InnoNFe entende.</w:t>
      </w:r>
    </w:p>
    <w:p>
      <w:pPr>
        <w:spacing w:after="60" w:before="60"/>
        <w:jc w:val="center"/>
      </w:pPr>
      <w:r>
        <w:drawing>
          <wp:inline distT="0" distB="0" distL="0" distR="0">
            <wp:extent cx="47625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Tela “Geração de PDF da Venda” — botão adicionado ao lado do Voltar.</w:t>
      </w:r>
    </w:p>
    <w:p>
      <w:pPr>
        <w:spacing w:after="60" w:before="60"/>
        <w:jc w:val="center"/>
      </w:pPr>
      <w:r>
        <w:drawing>
          <wp:inline distT="0" distB="0" distL="0" distR="0">
            <wp:extent cx="47625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Tela “Produtos da Venda” — mesmo botão, ao lado do Voltar.</w:t>
      </w:r>
    </w:p>
    <w:tbl>
      <w:tblPr>
        <w:tblW w:type="pct" w:w="100%"/>
        <w:tblBorders>
          <w:top w:val="none"/>
          <w:left w:val="single" w:color="2D5B8C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D5B8C"/>
                <w:sz w:val="20"/>
                <w:szCs w:val="20"/>
              </w:rPr>
              <w:t xml:space="preserve">Observação de implementação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 botão é a única alteração no InnoSystem nesta fase — ele apenas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copia texto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. Nenhuma lógica fiscal roda no InnoSystem, preservando a separação entre os sistemas.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5"/>
          <w:szCs w:val="25"/>
        </w:rPr>
        <w:t xml:space="preserve">12.2 Tela de emissão no InnoNFe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No InnoNFe, o operador cola os dados em um campo, clica em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Processar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, e o sistema monta a prévia: dados do cliente, forma de pagamento, lista de produtos (código, nome, quantidade, valor unitário e total),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e os totais da venda. Abaixo, dois botões: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Emitir NF-e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e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Emitir NFC-e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.</w:t>
      </w:r>
    </w:p>
    <w:p>
      <w:pPr>
        <w:spacing w:after="60" w:before="60"/>
        <w:jc w:val="center"/>
      </w:pPr>
      <w:r>
        <w:drawing>
          <wp:inline distT="0" distB="0" distL="0" distR="0">
            <wp:extent cx="4000500" cy="589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Tela do InnoNFe — colar dados, processar, conferir a prévia e emitir NF-e ou NFC-e.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C89B3C"/>
          <w:sz w:val="22"/>
          <w:szCs w:val="22"/>
        </w:rPr>
        <w:t xml:space="preserve">Elementos da tela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2"/>
          <w:insideV w:val="single" w:color="E2E8F0" w:sz="2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Obrigatório</w:t>
            </w:r>
          </w:p>
        </w:tc>
        <w:tc>
          <w:tcPr>
            <w:tcW w:type="dxa" w:w="496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Observação</w:t>
            </w:r>
          </w:p>
        </w:tc>
      </w:tr>
      <w:tr>
        <w:tc>
          <w:tcPr>
            <w:tcW w:type="dxa" w:w="30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Campo de colar</w:t>
            </w:r>
          </w:p>
        </w:tc>
        <w:tc>
          <w:tcPr>
            <w:tcW w:type="dxa" w:w="14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Área de texto onde o operador cola os dados vindos do InnoSystem.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Botão Processar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Lê o texto colado e monta a prévia da nota.</w:t>
            </w:r>
          </w:p>
        </w:tc>
      </w:tr>
      <w:tr>
        <w:tc>
          <w:tcPr>
            <w:tcW w:type="dxa" w:w="30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Prévia — cliente</w:t>
            </w:r>
          </w:p>
        </w:tc>
        <w:tc>
          <w:tcPr>
            <w:tcW w:type="dxa" w:w="14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Exibe o cliente da venda.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Prévia — forma de pagamento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PIX, dinheiro, cartão, etc.</w:t>
            </w:r>
          </w:p>
        </w:tc>
      </w:tr>
      <w:tr>
        <w:tc>
          <w:tcPr>
            <w:tcW w:type="dxa" w:w="30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Prévia — tabela de produtos</w:t>
            </w:r>
          </w:p>
        </w:tc>
        <w:tc>
          <w:tcPr>
            <w:tcW w:type="dxa" w:w="14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Código, nome, quantidade, valor unitário e total por item.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Prévia — totais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Itens, desconto e total da venda.</w:t>
            </w:r>
          </w:p>
        </w:tc>
      </w:tr>
      <w:tr>
        <w:tc>
          <w:tcPr>
            <w:tcW w:type="dxa" w:w="30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Botão Emitir NF-e</w:t>
            </w:r>
          </w:p>
        </w:tc>
        <w:tc>
          <w:tcPr>
            <w:tcW w:type="dxa" w:w="14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Emite Nota Fiscal Eletrônica (modelo 55) — assíncrona.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Botão Emitir NFC-e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Emite Nota Fiscal de Consumidor (modelo 65) — síncrona, resposta imediata.</w:t>
            </w:r>
          </w:p>
        </w:tc>
      </w:tr>
    </w:tbl>
    <w:tbl>
      <w:tblPr>
        <w:tblW w:type="pct" w:w="100%"/>
        <w:tblBorders>
          <w:top w:val="none"/>
          <w:left w:val="single" w:color="C89B3C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8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89B3C"/>
                <w:sz w:val="20"/>
                <w:szCs w:val="20"/>
              </w:rPr>
              <w:t xml:space="preserve">Comportamento após emitir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NFC-e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é autorizada na hora (síncrona): o resultado aparece na própria tela. A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NF-e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é processada pela SEFAZ (assíncrona) e o status fica disponível na central de documentos. Em caso de erro, o operador corrige e reemite sem recolar os dados.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Escopo desta fase: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apenas colar, processar e emitir. Recursos como histórico, cancelamento e reenvio de erros já estão previstos na Central de Documentos (seção 5.3) e serão detalhados nas próximas telas.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D5B8C"/>
          <w:sz w:val="30"/>
          <w:szCs w:val="30"/>
        </w:rPr>
        <w:t xml:space="preserve">13. Central de documentos — consulta e ações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Depois de emitida, cada nota vive na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Central de documentos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. É onde o operador consulta, reprocessa erros, baixa arquivos, imprime e cancela.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É uma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lista única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com filtro por tipo (NF-e / NFC-e), atendendo ao ciclo de vida completo do documento.</w:t>
      </w:r>
    </w:p>
    <w:p>
      <w:pPr>
        <w:spacing w:after="60" w:before="60"/>
        <w:jc w:val="center"/>
      </w:pPr>
      <w:r>
        <w:drawing>
          <wp:inline distT="0" distB="0" distL="0" distR="0">
            <wp:extent cx="4762500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Central de documentos — lista única NF-e/NFC-e, busca e menu de ações na seleção.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C89B3C"/>
          <w:sz w:val="22"/>
          <w:szCs w:val="22"/>
        </w:rPr>
        <w:t xml:space="preserve">Filtros e busca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2"/>
          <w:insideV w:val="single" w:color="E2E8F0" w:sz="2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Obrigatório</w:t>
            </w:r>
          </w:p>
        </w:tc>
        <w:tc>
          <w:tcPr>
            <w:tcW w:type="dxa" w:w="496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Observação</w:t>
            </w:r>
          </w:p>
        </w:tc>
      </w:tr>
      <w:tr>
        <w:tc>
          <w:tcPr>
            <w:tcW w:type="dxa" w:w="30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Abas por tipo</w:t>
            </w:r>
          </w:p>
        </w:tc>
        <w:tc>
          <w:tcPr>
            <w:tcW w:type="dxa" w:w="14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7"/>
                <w:szCs w:val="17"/>
              </w:rPr>
              <w:t xml:space="preserve">Não</w:t>
            </w:r>
          </w:p>
        </w:tc>
        <w:tc>
          <w:tcPr>
            <w:tcW w:type="dxa" w:w="496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Alternam entre Todas · NF-e · NFC-e, com contador.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Nº / Chave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7"/>
                <w:szCs w:val="17"/>
              </w:rPr>
              <w:t xml:space="preserve">Não</w:t>
            </w:r>
          </w:p>
        </w:tc>
        <w:tc>
          <w:tcPr>
            <w:tcW w:type="dxa" w:w="49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Busca por número da nota ou chave de acesso.</w:t>
            </w:r>
          </w:p>
        </w:tc>
      </w:tr>
      <w:tr>
        <w:tc>
          <w:tcPr>
            <w:tcW w:type="dxa" w:w="30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7"/>
                <w:szCs w:val="17"/>
              </w:rPr>
              <w:t xml:space="preserve">Não</w:t>
            </w:r>
          </w:p>
        </w:tc>
        <w:tc>
          <w:tcPr>
            <w:tcW w:type="dxa" w:w="496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Autorizada, Erro, Cancelada, Em processamento.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Cliente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7"/>
                <w:szCs w:val="17"/>
              </w:rPr>
              <w:t xml:space="preserve">Não</w:t>
            </w:r>
          </w:p>
        </w:tc>
        <w:tc>
          <w:tcPr>
            <w:tcW w:type="dxa" w:w="49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Busca pelo nome do destinatário.</w:t>
            </w:r>
          </w:p>
        </w:tc>
      </w:tr>
      <w:tr>
        <w:tc>
          <w:tcPr>
            <w:tcW w:type="dxa" w:w="30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Período (data inicial / final)</w:t>
            </w:r>
          </w:p>
        </w:tc>
        <w:tc>
          <w:tcPr>
            <w:tcW w:type="dxa" w:w="14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Intervalo de datas de emissão.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C89B3C"/>
          <w:sz w:val="22"/>
          <w:szCs w:val="22"/>
        </w:rPr>
        <w:t xml:space="preserve">Colunas da lista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2"/>
          <w:insideV w:val="single" w:color="E2E8F0" w:sz="2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Obrigatório</w:t>
            </w:r>
          </w:p>
        </w:tc>
        <w:tc>
          <w:tcPr>
            <w:tcW w:type="dxa" w:w="496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Observação</w:t>
            </w:r>
          </w:p>
        </w:tc>
      </w:tr>
      <w:tr>
        <w:tc>
          <w:tcPr>
            <w:tcW w:type="dxa" w:w="30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Tipo</w:t>
            </w:r>
          </w:p>
        </w:tc>
        <w:tc>
          <w:tcPr>
            <w:tcW w:type="dxa" w:w="14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7"/>
                <w:szCs w:val="17"/>
              </w:rPr>
              <w:t xml:space="preserve">—</w:t>
            </w:r>
          </w:p>
        </w:tc>
        <w:tc>
          <w:tcPr>
            <w:tcW w:type="dxa" w:w="496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Selo NF-e ou NFC-e.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Número / Série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7"/>
                <w:szCs w:val="17"/>
              </w:rPr>
              <w:t xml:space="preserve">—</w:t>
            </w:r>
          </w:p>
        </w:tc>
        <w:tc>
          <w:tcPr>
            <w:tcW w:type="dxa" w:w="49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Identificação da nota.</w:t>
            </w:r>
          </w:p>
        </w:tc>
      </w:tr>
      <w:tr>
        <w:tc>
          <w:tcPr>
            <w:tcW w:type="dxa" w:w="30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Emissão</w:t>
            </w:r>
          </w:p>
        </w:tc>
        <w:tc>
          <w:tcPr>
            <w:tcW w:type="dxa" w:w="14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7"/>
                <w:szCs w:val="17"/>
              </w:rPr>
              <w:t xml:space="preserve">—</w:t>
            </w:r>
          </w:p>
        </w:tc>
        <w:tc>
          <w:tcPr>
            <w:tcW w:type="dxa" w:w="496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Data e hora.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Chave de acesso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7"/>
                <w:szCs w:val="17"/>
              </w:rPr>
              <w:t xml:space="preserve">—</w:t>
            </w:r>
          </w:p>
        </w:tc>
        <w:tc>
          <w:tcPr>
            <w:tcW w:type="dxa" w:w="49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44 dígitos (quando autorizada).</w:t>
            </w:r>
          </w:p>
        </w:tc>
      </w:tr>
      <w:tr>
        <w:tc>
          <w:tcPr>
            <w:tcW w:type="dxa" w:w="30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7"/>
                <w:szCs w:val="17"/>
              </w:rPr>
              <w:t xml:space="preserve">—</w:t>
            </w:r>
          </w:p>
        </w:tc>
        <w:tc>
          <w:tcPr>
            <w:tcW w:type="dxa" w:w="496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Com cor: verde autorizada, vermelho erro, cinza cancelada, âmbar em processamento.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Cliente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7"/>
                <w:szCs w:val="17"/>
              </w:rPr>
              <w:t xml:space="preserve">—</w:t>
            </w:r>
          </w:p>
        </w:tc>
        <w:tc>
          <w:tcPr>
            <w:tcW w:type="dxa" w:w="49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Destinatário (ou “Consumidor não identificado”).</w:t>
            </w:r>
          </w:p>
        </w:tc>
      </w:tr>
      <w:tr>
        <w:tc>
          <w:tcPr>
            <w:tcW w:type="dxa" w:w="30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Valor</w:t>
            </w:r>
          </w:p>
        </w:tc>
        <w:tc>
          <w:tcPr>
            <w:tcW w:type="dxa" w:w="14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7"/>
                <w:szCs w:val="17"/>
              </w:rPr>
              <w:t xml:space="preserve">—</w:t>
            </w:r>
          </w:p>
        </w:tc>
        <w:tc>
          <w:tcPr>
            <w:tcW w:type="dxa" w:w="496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Total da nota.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C89B3C"/>
          <w:sz w:val="22"/>
          <w:szCs w:val="22"/>
        </w:rPr>
        <w:t xml:space="preserve">Ações (menu que aparece ao selecionar) — MVP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Ao marcar uma ou mais notas, surge a barra de ações — mesmo padrão do sistema legado.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No MVP entram apenas as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ações essenciais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: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2"/>
          <w:insideV w:val="single" w:color="E2E8F0" w:sz="2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Obrigatório</w:t>
            </w:r>
          </w:p>
        </w:tc>
        <w:tc>
          <w:tcPr>
            <w:tcW w:type="dxa" w:w="496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Observação</w:t>
            </w:r>
          </w:p>
        </w:tc>
      </w:tr>
      <w:tr>
        <w:tc>
          <w:tcPr>
            <w:tcW w:type="dxa" w:w="30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Reprocessar</w:t>
            </w:r>
          </w:p>
        </w:tc>
        <w:tc>
          <w:tcPr>
            <w:tcW w:type="dxa" w:w="14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Reenvia à SEFAZ uma nota que deu erro (após corrigir os dados).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Baixar XML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Baixa o XML da nota autorizada.</w:t>
            </w:r>
          </w:p>
        </w:tc>
      </w:tr>
      <w:tr>
        <w:tc>
          <w:tcPr>
            <w:tcW w:type="dxa" w:w="30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Imprimir DANFE</w:t>
            </w:r>
          </w:p>
        </w:tc>
        <w:tc>
          <w:tcPr>
            <w:tcW w:type="dxa" w:w="14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Gera o DANFE/DANFCE para impressão.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Baixar em lote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Baixa XML/DANFE de várias notas de uma vez (fechamento contábil).</w:t>
            </w:r>
          </w:p>
        </w:tc>
      </w:tr>
      <w:tr>
        <w:tc>
          <w:tcPr>
            <w:tcW w:type="dxa" w:w="30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Cancelar</w:t>
            </w:r>
          </w:p>
        </w:tc>
        <w:tc>
          <w:tcPr>
            <w:tcW w:type="dxa" w:w="14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Cancela a nota, com justificativa e dentro do prazo legal.</w:t>
            </w:r>
          </w:p>
        </w:tc>
      </w:tr>
    </w:tbl>
    <w:tbl>
      <w:tblPr>
        <w:tblW w:type="pct" w:w="100%"/>
        <w:tblBorders>
          <w:top w:val="none"/>
          <w:left w:val="single" w:color="C89B3C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8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89B3C"/>
                <w:sz w:val="20"/>
                <w:szCs w:val="20"/>
              </w:rPr>
              <w:t xml:space="preserve">Reprocessar erro — fluxo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Notas com status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Erro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trazem a mensagem da SEFAZ. O operador abre a nota, corrige o dado apontado e usa Reprocessar — sem recolar os dados da venda. É o coração da recuperação de falhas do MVP.</w:t>
            </w:r>
          </w:p>
        </w:tc>
      </w:tr>
    </w:tbl>
    <w:tbl>
      <w:tblPr>
        <w:tblW w:type="pct" w:w="100%"/>
        <w:tblBorders>
          <w:top w:val="none"/>
          <w:left w:val="single" w:color="2D5B8C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D5B8C"/>
                <w:sz w:val="20"/>
                <w:szCs w:val="20"/>
              </w:rPr>
              <w:t xml:space="preserve">Ações fora do MVP (fase 2)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 sistema legado oferece ainda: carta de correção, cancelamento por substituição, envio por e-mail/WhatsApp, duplicar nota, enviar contingência, imprimir simplificada 80 mm, etiquetas e “ir para a venda”. Ficam para fases seguintes.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D5B8C"/>
          <w:sz w:val="30"/>
          <w:szCs w:val="30"/>
        </w:rPr>
        <w:t xml:space="preserve">14. Inutilização de numeração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Quando um número (ou faixa) da sequência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não é utilizado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— por exemplo, um salto por falha no sistema — é preciso comunicar à SEFAZ que aqueles números nunca virarão nota.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Essa é a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inutilização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, disponível para NF-e e NFC-e.</w:t>
      </w:r>
    </w:p>
    <w:p>
      <w:pPr>
        <w:spacing w:after="60" w:before="60"/>
        <w:jc w:val="center"/>
      </w:pPr>
      <w:r>
        <w:drawing>
          <wp:inline distT="0" distB="0" distL="0" distR="0">
            <wp:extent cx="4000500" cy="444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Inutilização — informa a faixa de numeração e a justificativa enviada à SEFAZ.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C89B3C"/>
          <w:sz w:val="22"/>
          <w:szCs w:val="22"/>
        </w:rPr>
        <w:t xml:space="preserve">Campos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2"/>
          <w:insideV w:val="single" w:color="E2E8F0" w:sz="2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Obrigatório</w:t>
            </w:r>
          </w:p>
        </w:tc>
        <w:tc>
          <w:tcPr>
            <w:tcW w:type="dxa" w:w="496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Observação</w:t>
            </w:r>
          </w:p>
        </w:tc>
      </w:tr>
      <w:tr>
        <w:tc>
          <w:tcPr>
            <w:tcW w:type="dxa" w:w="30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Tipo de documento</w:t>
            </w:r>
          </w:p>
        </w:tc>
        <w:tc>
          <w:tcPr>
            <w:tcW w:type="dxa" w:w="14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NF-e (55) ou NFC-e (65).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Empresa emissora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Empresa dona da numeração.</w:t>
            </w:r>
          </w:p>
        </w:tc>
      </w:tr>
      <w:tr>
        <w:tc>
          <w:tcPr>
            <w:tcW w:type="dxa" w:w="30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Série</w:t>
            </w:r>
          </w:p>
        </w:tc>
        <w:tc>
          <w:tcPr>
            <w:tcW w:type="dxa" w:w="14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Série da numeração a inutilizar.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Número inicial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Primeiro número da faixa.</w:t>
            </w:r>
          </w:p>
        </w:tc>
      </w:tr>
      <w:tr>
        <w:tc>
          <w:tcPr>
            <w:tcW w:type="dxa" w:w="30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Número final</w:t>
            </w:r>
          </w:p>
        </w:tc>
        <w:tc>
          <w:tcPr>
            <w:tcW w:type="dxa" w:w="14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Último número da faixa (igual ao inicial para um só número).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Justificativa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17"/>
                <w:szCs w:val="17"/>
              </w:rPr>
              <w:t xml:space="preserve">Sim</w:t>
            </w:r>
          </w:p>
        </w:tc>
        <w:tc>
          <w:tcPr>
            <w:tcW w:type="dxa" w:w="49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Motivo; mínimo de 15 caracteres exigido pela SEFAZ.</w:t>
            </w:r>
          </w:p>
        </w:tc>
      </w:tr>
    </w:tbl>
    <w:tbl>
      <w:tblPr>
        <w:tblW w:type="pct" w:w="100%"/>
        <w:tblBorders>
          <w:top w:val="none"/>
          <w:left w:val="single" w:color="9A3B2E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EC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B2E"/>
                <w:sz w:val="20"/>
                <w:szCs w:val="20"/>
              </w:rPr>
              <w:t xml:space="preserve">Atenção — ação irreversível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Após confirmada pela SEFAZ, a faixa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não pode mais ser emitida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. Usar apenas para números que de fato não foram e não serão utilizados.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D5B8C"/>
          <w:sz w:val="30"/>
          <w:szCs w:val="30"/>
        </w:rPr>
        <w:t xml:space="preserve">15. Relatórios fiscais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O sistema terá uma área de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relatórios fiscais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. Não é necessário desenhar cada relatório agora — esta seção apenas registra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quais devem existir, para não serem esquecidos no planejamento.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2"/>
          <w:insideV w:val="single" w:color="E2E8F0" w:sz="2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40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Obrigatório</w:t>
            </w:r>
          </w:p>
        </w:tc>
        <w:tc>
          <w:tcPr>
            <w:tcW w:type="dxa" w:w="4960"/>
            <w:shd w:fill="2D5B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Observação</w:t>
            </w:r>
          </w:p>
        </w:tc>
      </w:tr>
      <w:tr>
        <w:tc>
          <w:tcPr>
            <w:tcW w:type="dxa" w:w="30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NF-e emitidas</w:t>
            </w:r>
          </w:p>
        </w:tc>
        <w:tc>
          <w:tcPr>
            <w:tcW w:type="dxa" w:w="14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7"/>
                <w:szCs w:val="17"/>
              </w:rPr>
              <w:t xml:space="preserve">—</w:t>
            </w:r>
          </w:p>
        </w:tc>
        <w:tc>
          <w:tcPr>
            <w:tcW w:type="dxa" w:w="496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Listagem de NF-e por período/empresa/status.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NFC-e emitidas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7"/>
                <w:szCs w:val="17"/>
              </w:rPr>
              <w:t xml:space="preserve">—</w:t>
            </w:r>
          </w:p>
        </w:tc>
        <w:tc>
          <w:tcPr>
            <w:tcW w:type="dxa" w:w="49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Listagem de NFC-e por período/empresa/status.</w:t>
            </w:r>
          </w:p>
        </w:tc>
      </w:tr>
      <w:tr>
        <w:tc>
          <w:tcPr>
            <w:tcW w:type="dxa" w:w="30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Faturamento fiscal</w:t>
            </w:r>
          </w:p>
        </w:tc>
        <w:tc>
          <w:tcPr>
            <w:tcW w:type="dxa" w:w="14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7"/>
                <w:szCs w:val="17"/>
              </w:rPr>
              <w:t xml:space="preserve">—</w:t>
            </w:r>
          </w:p>
        </w:tc>
        <w:tc>
          <w:tcPr>
            <w:tcW w:type="dxa" w:w="496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Total emitido por período (base para conferência).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NF-e itens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7"/>
                <w:szCs w:val="17"/>
              </w:rPr>
              <w:t xml:space="preserve">—</w:t>
            </w:r>
          </w:p>
        </w:tc>
        <w:tc>
          <w:tcPr>
            <w:tcW w:type="dxa" w:w="49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Detalhe por item das notas (produto, quantidade, valor).</w:t>
            </w:r>
          </w:p>
        </w:tc>
      </w:tr>
      <w:tr>
        <w:tc>
          <w:tcPr>
            <w:tcW w:type="dxa" w:w="30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NF-e analítica</w:t>
            </w:r>
          </w:p>
        </w:tc>
        <w:tc>
          <w:tcPr>
            <w:tcW w:type="dxa" w:w="140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7"/>
                <w:szCs w:val="17"/>
              </w:rPr>
              <w:t xml:space="preserve">—</w:t>
            </w:r>
          </w:p>
        </w:tc>
        <w:tc>
          <w:tcPr>
            <w:tcW w:type="dxa" w:w="4960"/>
            <w:shd w:fill="EEF3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Visão detalhada nota a nota.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Notas canceladas/inutilizadas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7"/>
                <w:szCs w:val="17"/>
              </w:rPr>
              <w:t xml:space="preserve">—</w:t>
            </w:r>
          </w:p>
        </w:tc>
        <w:tc>
          <w:tcPr>
            <w:tcW w:type="dxa" w:w="49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Controle de cancelamentos e inutilizações no período.</w:t>
            </w:r>
          </w:p>
        </w:tc>
      </w:tr>
    </w:tbl>
    <w:tbl>
      <w:tblPr>
        <w:tblW w:type="pct" w:w="100%"/>
        <w:tblBorders>
          <w:top w:val="none"/>
          <w:left w:val="single" w:color="2D5B8C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D5B8C"/>
                <w:sz w:val="20"/>
                <w:szCs w:val="20"/>
              </w:rPr>
              <w:t xml:space="preserve">Nota de escopo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Os relatórios acima são um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lembrete de requisito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, não fazem parte do MVP inicial de emissão. Serão detalhados (colunas, filtros, exportação) quando entrarmos nesta etapa.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Página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2D5B8C"/>
        <w:sz w:val="16"/>
        <w:szCs w:val="16"/>
      </w:rPr>
      <w:t xml:space="preserve">Projeto InnoNFe</w:t>
    </w:r>
    <w:r>
      <w:rPr>
        <w:rFonts w:ascii="Calibri" w:cs="Calibri" w:eastAsia="Calibri" w:hAnsi="Calibri"/>
        <w:color w:val="6B7280"/>
        <w:sz w:val="16"/>
        <w:szCs w:val="16"/>
      </w:rPr>
      <w:t xml:space="preserve">	Escopo MVP —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C89B3C"/>
      </w:r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  <w:rPr>
        <w:b/>
        <w:bCs/>
        <w:color w:val="2D5B8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eead254c1391e5f317fff39d36c8cbaf3e52732.png"/><Relationship Id="rId10" Type="http://schemas.openxmlformats.org/officeDocument/2006/relationships/image" Target="media/d1229dedd15fa256ad63466cdde5d7182e53a47b.png"/><Relationship Id="rId11" Type="http://schemas.openxmlformats.org/officeDocument/2006/relationships/image" Target="media/38552ba37e3dd0ea7d2d92f0bd24bed8dbf64f58.png"/><Relationship Id="rId12" Type="http://schemas.openxmlformats.org/officeDocument/2006/relationships/image" Target="media/c9d64a0ab8d36e58f11096fb95ffa119f907757a.png"/><Relationship Id="rId13" Type="http://schemas.openxmlformats.org/officeDocument/2006/relationships/image" Target="media/888558f46c7a9fb4ed9b39f34dbd9a3626eb93e5.png"/><Relationship Id="rId14" Type="http://schemas.openxmlformats.org/officeDocument/2006/relationships/image" Target="media/f9e57a9b6d65da5b678d79a5b0f1ea42c48291a7.png"/><Relationship Id="rId15" Type="http://schemas.openxmlformats.org/officeDocument/2006/relationships/image" Target="media/412a9deb3c48a064ea05cdd5b4dd139d76629602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InnoNFe — Escopo MVP</dc:title>
  <dc:creator>InnoSystem</dc:creator>
  <cp:lastModifiedBy>Un-named</cp:lastModifiedBy>
  <cp:revision>1</cp:revision>
  <dcterms:created xsi:type="dcterms:W3CDTF">2026-07-02T20:04:17.709Z</dcterms:created>
  <dcterms:modified xsi:type="dcterms:W3CDTF">2026-07-02T20:04:17.719Z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