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27126683"/>
        <w:docPartObj>
          <w:docPartGallery w:val="Cover Pages"/>
          <w:docPartUnique/>
        </w:docPartObj>
      </w:sdtPr>
      <w:sdtContent>
        <w:p w:rsidR="00150639" w:rsidRDefault="00150639"/>
        <w:p w:rsidR="00E97DFB" w:rsidRDefault="00150639">
          <w:pPr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wp:positionH relativeFrom="margin">
                      <wp:posOffset>412235</wp:posOffset>
                    </wp:positionH>
                    <wp:positionV relativeFrom="page">
                      <wp:posOffset>5771072</wp:posOffset>
                    </wp:positionV>
                    <wp:extent cx="4692770" cy="6720840"/>
                    <wp:effectExtent l="0" t="0" r="12700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9277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0639" w:rsidRDefault="00150639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Relatório: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Radartona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Desafio 2 – Acurácia de radares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ahmad forhat, carolina tomomi majima, marcos flávio fiuza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32.45pt;margin-top:454.4pt;width:369.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" filled="f" stroked="f" strokeweight=".5pt">
                    <v:textbox style="mso-fit-shape-to-text:t" inset="0,0,0,0">
                      <w:txbxContent>
                        <w:p w:rsidR="00150639" w:rsidRDefault="00150639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Relatório: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Radartona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Desafio 2 – Acurácia de radares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ahmad forhat, carolina tomomi majima, marcos flávio fiuza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50639" w:rsidRDefault="0015063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9OoN1q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50639" w:rsidRDefault="00150639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:rsidR="00E97DFB" w:rsidRPr="00E97DFB" w:rsidRDefault="00150639">
          <w:pPr>
            <w:ind w:firstLine="0"/>
            <w:jc w:val="left"/>
          </w:pPr>
        </w:p>
      </w:sdtContent>
    </w:sdt>
    <w:sdt>
      <w:sdtPr>
        <w:id w:val="686333876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2"/>
          <w:szCs w:val="22"/>
          <w:lang w:eastAsia="en-US"/>
        </w:rPr>
      </w:sdtEndPr>
      <w:sdtContent>
        <w:p w:rsidR="00E97DFB" w:rsidRDefault="00E97DFB">
          <w:pPr>
            <w:pStyle w:val="CabealhodoSumrio"/>
          </w:pPr>
          <w:r>
            <w:t>Sumário</w:t>
          </w:r>
        </w:p>
        <w:p w:rsidR="009A3DD3" w:rsidRDefault="00E97DF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r>
            <w:rPr>
              <w:rFonts w:asciiTheme="majorHAnsi" w:hAnsiTheme="majorHAnsi"/>
              <w:sz w:val="24"/>
            </w:rPr>
            <w:fldChar w:fldCharType="begin"/>
          </w:r>
          <w:r>
            <w:rPr>
              <w:rFonts w:asciiTheme="majorHAnsi" w:hAnsiTheme="majorHAnsi"/>
              <w:sz w:val="24"/>
            </w:rPr>
            <w:instrText xml:space="preserve"> TOC \o "1-3" \h \z \u </w:instrText>
          </w:r>
          <w:r>
            <w:rPr>
              <w:rFonts w:asciiTheme="majorHAnsi" w:hAnsiTheme="majorHAnsi"/>
              <w:sz w:val="24"/>
            </w:rPr>
            <w:fldChar w:fldCharType="separate"/>
          </w:r>
          <w:hyperlink w:anchor="_Toc24274800" w:history="1">
            <w:r w:rsidR="009A3DD3" w:rsidRPr="00C33EA4">
              <w:rPr>
                <w:rStyle w:val="Hyperlink"/>
                <w:rFonts w:cs="Arial"/>
                <w:noProof/>
              </w:rPr>
              <w:t>Introdução</w:t>
            </w:r>
            <w:r w:rsidR="009A3DD3">
              <w:rPr>
                <w:noProof/>
                <w:webHidden/>
              </w:rPr>
              <w:tab/>
            </w:r>
            <w:r w:rsidR="009A3DD3">
              <w:rPr>
                <w:noProof/>
                <w:webHidden/>
              </w:rPr>
              <w:fldChar w:fldCharType="begin"/>
            </w:r>
            <w:r w:rsidR="009A3DD3">
              <w:rPr>
                <w:noProof/>
                <w:webHidden/>
              </w:rPr>
              <w:instrText xml:space="preserve"> PAGEREF _Toc24274800 \h </w:instrText>
            </w:r>
            <w:r w:rsidR="009A3DD3">
              <w:rPr>
                <w:noProof/>
                <w:webHidden/>
              </w:rPr>
            </w:r>
            <w:r w:rsidR="009A3DD3">
              <w:rPr>
                <w:noProof/>
                <w:webHidden/>
              </w:rPr>
              <w:fldChar w:fldCharType="separate"/>
            </w:r>
            <w:r w:rsidR="009A3DD3">
              <w:rPr>
                <w:noProof/>
                <w:webHidden/>
              </w:rPr>
              <w:t>2</w:t>
            </w:r>
            <w:r w:rsidR="009A3DD3"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74801" w:history="1">
            <w:r w:rsidRPr="00C33EA4">
              <w:rPr>
                <w:rStyle w:val="Hyperlink"/>
                <w:rFonts w:cs="Arial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2" w:history="1">
            <w:r w:rsidRPr="00C33EA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Hora do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3" w:history="1">
            <w:r w:rsidRPr="00C33EA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4" w:history="1">
            <w:r w:rsidRPr="00C33EA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74805" w:history="1">
            <w:r w:rsidRPr="00C33EA4">
              <w:rPr>
                <w:rStyle w:val="Hyperlink"/>
                <w:rFonts w:cs="Arial"/>
                <w:noProof/>
              </w:rPr>
              <w:t>Análises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6" w:history="1">
            <w:r w:rsidRPr="00C33EA4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Hora do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7" w:history="1">
            <w:r w:rsidRPr="00C33EA4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2"/>
            <w:tabs>
              <w:tab w:val="left" w:pos="1100"/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24274808" w:history="1">
            <w:r w:rsidRPr="00C33EA4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C33EA4">
              <w:rPr>
                <w:rStyle w:val="Hyperlink"/>
                <w:noProof/>
              </w:rPr>
              <w:t>Tipo de lote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3DD3" w:rsidRDefault="009A3DD3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eastAsia="pt-BR"/>
            </w:rPr>
          </w:pPr>
          <w:hyperlink w:anchor="_Toc24274809" w:history="1">
            <w:r w:rsidRPr="00C33EA4">
              <w:rPr>
                <w:rStyle w:val="Hyperlink"/>
                <w:rFonts w:cs="Arial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_Toc24274809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DFB" w:rsidRDefault="00E97DFB">
          <w:r>
            <w:rPr>
              <w:rFonts w:asciiTheme="majorHAnsi" w:hAnsiTheme="majorHAnsi" w:cstheme="majorHAnsi"/>
              <w:sz w:val="24"/>
              <w:szCs w:val="24"/>
            </w:rPr>
            <w:fldChar w:fldCharType="end"/>
          </w:r>
        </w:p>
      </w:sdtContent>
    </w:sdt>
    <w:p w:rsidR="00E97DFB" w:rsidRDefault="00E97DFB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</w:p>
    <w:p w:rsidR="00E97DFB" w:rsidRDefault="00E97DFB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612AF5" w:rsidRPr="000479FC" w:rsidRDefault="00150639" w:rsidP="003E10B9">
      <w:pPr>
        <w:pStyle w:val="Ttulo1"/>
        <w:spacing w:line="360" w:lineRule="auto"/>
        <w:rPr>
          <w:rFonts w:ascii="Arial" w:hAnsi="Arial" w:cs="Arial"/>
        </w:rPr>
      </w:pPr>
      <w:bookmarkStart w:id="0" w:name="_Toc24274800"/>
      <w:r w:rsidRPr="000479FC">
        <w:rPr>
          <w:rFonts w:ascii="Arial" w:hAnsi="Arial" w:cs="Arial"/>
        </w:rPr>
        <w:lastRenderedPageBreak/>
        <w:t>Introdução</w:t>
      </w:r>
      <w:bookmarkEnd w:id="0"/>
    </w:p>
    <w:p w:rsidR="00150639" w:rsidRPr="000479FC" w:rsidRDefault="00150639" w:rsidP="003E10B9">
      <w:pPr>
        <w:spacing w:line="360" w:lineRule="auto"/>
        <w:ind w:firstLine="708"/>
        <w:rPr>
          <w:rFonts w:cs="Arial"/>
        </w:rPr>
      </w:pPr>
      <w:r w:rsidRPr="000479FC">
        <w:rPr>
          <w:rFonts w:cs="Arial"/>
        </w:rPr>
        <w:t>Com base no</w:t>
      </w:r>
      <w:r w:rsidR="000479FC" w:rsidRPr="000479FC">
        <w:rPr>
          <w:rFonts w:cs="Arial"/>
        </w:rPr>
        <w:t xml:space="preserve"> banco de </w:t>
      </w:r>
      <w:r w:rsidRPr="000479FC">
        <w:rPr>
          <w:rFonts w:cs="Arial"/>
        </w:rPr>
        <w:t xml:space="preserve">dados </w:t>
      </w:r>
      <w:r w:rsidR="000479FC" w:rsidRPr="000479FC">
        <w:rPr>
          <w:rFonts w:cs="Arial"/>
        </w:rPr>
        <w:t xml:space="preserve">disponibilizados a respeito dos radares de São Paulo, direcionamos as análise e métodos utilizados a fim de </w:t>
      </w:r>
      <w:r w:rsidR="00E20375">
        <w:rPr>
          <w:rFonts w:cs="Arial"/>
        </w:rPr>
        <w:t>decifrar</w:t>
      </w:r>
      <w:r w:rsidR="000479FC" w:rsidRPr="000479FC">
        <w:rPr>
          <w:rFonts w:cs="Arial"/>
        </w:rPr>
        <w:t xml:space="preserve"> como o Desafio 2 – Acurácia de radares pode responder à pergunta “Como podemos usar de forma inovadora a amostra da base de dados de radar de São Paulo de forma a melhoras sua utilidade e demonstrar potenciais de usos e análise para uma mobilidade mais inteligente e segura? ”.</w:t>
      </w:r>
    </w:p>
    <w:p w:rsidR="005D1384" w:rsidRDefault="005D1384" w:rsidP="003E10B9">
      <w:pPr>
        <w:spacing w:line="360" w:lineRule="auto"/>
        <w:ind w:firstLine="0"/>
        <w:rPr>
          <w:rFonts w:cs="Arial"/>
        </w:rPr>
      </w:pPr>
      <w:r>
        <w:rPr>
          <w:rFonts w:cs="Arial"/>
        </w:rPr>
        <w:tab/>
        <w:t>Para isso, analisa-se variáveis que podem influenciar na acurácia dos radares</w:t>
      </w:r>
      <w:r w:rsidRPr="009C1A30">
        <w:rPr>
          <w:rFonts w:cs="Arial"/>
        </w:rPr>
        <w:t>, como horário do dia, inferindo luminosidade, contagem de veículos (fluxo)</w:t>
      </w:r>
      <w:r w:rsidR="006A557E">
        <w:rPr>
          <w:rFonts w:cs="Arial"/>
        </w:rPr>
        <w:t>,</w:t>
      </w:r>
      <w:r w:rsidRPr="009C1A30">
        <w:rPr>
          <w:rFonts w:cs="Arial"/>
        </w:rPr>
        <w:t xml:space="preserve"> tipo de radar</w:t>
      </w:r>
      <w:r w:rsidR="006A557E">
        <w:rPr>
          <w:rFonts w:cs="Arial"/>
        </w:rPr>
        <w:t xml:space="preserve"> e tipo de lote</w:t>
      </w:r>
      <w:r w:rsidRPr="009C1A30">
        <w:rPr>
          <w:rFonts w:cs="Arial"/>
        </w:rPr>
        <w:t>.</w:t>
      </w:r>
      <w:r>
        <w:rPr>
          <w:rFonts w:cs="Arial"/>
        </w:rPr>
        <w:t xml:space="preserve"> Com isso, pode-se ter tomadas de decisão mais assertivas acerca dos tipos de especificações a serem consideradas para instalação e manutenção dos radares, bem como fornecedores.</w:t>
      </w:r>
    </w:p>
    <w:p w:rsidR="002F1DEC" w:rsidRDefault="002F1DEC">
      <w:pPr>
        <w:ind w:firstLine="0"/>
        <w:jc w:val="left"/>
        <w:rPr>
          <w:rFonts w:eastAsiaTheme="majorEastAsia" w:cs="Arial"/>
          <w:color w:val="2E74B5" w:themeColor="accent1" w:themeShade="BF"/>
          <w:sz w:val="32"/>
          <w:szCs w:val="32"/>
        </w:rPr>
      </w:pPr>
      <w:r>
        <w:rPr>
          <w:rFonts w:cs="Arial"/>
        </w:rPr>
        <w:br w:type="page"/>
      </w:r>
    </w:p>
    <w:p w:rsidR="00161C01" w:rsidRDefault="00161C01" w:rsidP="003E10B9">
      <w:pPr>
        <w:pStyle w:val="Ttulo1"/>
        <w:spacing w:line="360" w:lineRule="auto"/>
        <w:rPr>
          <w:rFonts w:ascii="Arial" w:hAnsi="Arial" w:cs="Arial"/>
        </w:rPr>
      </w:pPr>
      <w:bookmarkStart w:id="1" w:name="_Toc24274801"/>
      <w:r w:rsidRPr="003E10B9">
        <w:rPr>
          <w:rFonts w:ascii="Arial" w:hAnsi="Arial" w:cs="Arial"/>
        </w:rPr>
        <w:lastRenderedPageBreak/>
        <w:t>Metodologia</w:t>
      </w:r>
      <w:bookmarkEnd w:id="1"/>
    </w:p>
    <w:p w:rsidR="006D3ED8" w:rsidRDefault="006D3ED8" w:rsidP="006D3ED8">
      <w:pPr>
        <w:spacing w:line="360" w:lineRule="auto"/>
      </w:pPr>
      <w:r w:rsidRPr="006D3ED8"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758980</wp:posOffset>
            </wp:positionV>
            <wp:extent cx="5400040" cy="2367699"/>
            <wp:effectExtent l="0" t="0" r="0" b="0"/>
            <wp:wrapTopAndBottom/>
            <wp:docPr id="11" name="Imagem 11" descr="C:\Users\Carolina Majima\Downloads\LocRad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Carolina Majima\Downloads\LocRada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6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Como uma solução de contorno para o problema da eficácia dos índices de leitura</w:t>
      </w:r>
      <w:r w:rsidR="00951E7A">
        <w:t xml:space="preserve"> através dos radares, tem-se a F</w:t>
      </w:r>
      <w:r>
        <w:t>igura 1 abaixo, onde mostra a</w:t>
      </w:r>
      <w:r w:rsidR="00951E7A">
        <w:t xml:space="preserve"> localidade de todos os radares em</w:t>
      </w:r>
      <w:r>
        <w:t xml:space="preserve"> São Paulo.</w:t>
      </w:r>
    </w:p>
    <w:p w:rsidR="006D3ED8" w:rsidRDefault="006D3ED8" w:rsidP="006D3ED8">
      <w:pPr>
        <w:spacing w:line="360" w:lineRule="auto"/>
      </w:pPr>
    </w:p>
    <w:p w:rsidR="00FC142A" w:rsidRDefault="006D3ED8" w:rsidP="006D3ED8">
      <w:pPr>
        <w:spacing w:line="360" w:lineRule="auto"/>
      </w:pPr>
      <w:r>
        <w:t>Para solucionar e direcionar esforços de equipe de forma eficiente, utilizar</w:t>
      </w:r>
      <w:r w:rsidR="00951E7A">
        <w:t>ia</w:t>
      </w:r>
      <w:r>
        <w:t xml:space="preserve"> indicadores de índice de leituras ótimos para definir quais parâmetros não estão dentro das especificações técnicas do aceitável, e assim já sinalizar </w:t>
      </w:r>
      <w:r w:rsidR="00FC142A">
        <w:t>a</w:t>
      </w:r>
      <w:r>
        <w:t xml:space="preserve">onde </w:t>
      </w:r>
      <w:r w:rsidR="00FC142A">
        <w:t>e quais radares precisam de manutenção ou calibração. Essa metodologia compreenderia tanto radares com motivos de desligamento, quanto</w:t>
      </w:r>
      <w:r w:rsidR="006A557E">
        <w:t xml:space="preserve"> com índice de leituras baixo, sendo estas, sinalizadas quanto ao nível de urgência e filtros de controle.</w:t>
      </w:r>
    </w:p>
    <w:p w:rsidR="00FC142A" w:rsidRDefault="00951E7A" w:rsidP="006D3ED8">
      <w:pPr>
        <w:spacing w:line="360" w:lineRule="auto"/>
      </w:pPr>
      <w:r>
        <w:t xml:space="preserve">Com o </w:t>
      </w:r>
      <w:r w:rsidR="006A557E">
        <w:t>banco de dados</w:t>
      </w:r>
      <w:r>
        <w:t xml:space="preserve"> mais </w:t>
      </w:r>
      <w:r w:rsidR="006A557E">
        <w:t>completo</w:t>
      </w:r>
      <w:r>
        <w:t>, consegue-se ter um mapeamento fidedigno e, portanto, um maior planejamento em relação às políticas públicas, assim como, oferecer de forma mais segura e eficaz soluções para casos de veículos roubados e/ou clonados.</w:t>
      </w:r>
    </w:p>
    <w:p w:rsidR="00FC142A" w:rsidRPr="006D3ED8" w:rsidRDefault="00FC142A" w:rsidP="006D3ED8">
      <w:pPr>
        <w:spacing w:line="360" w:lineRule="auto"/>
      </w:pPr>
      <w:r>
        <w:t xml:space="preserve">Para entender quais os parâmetros por trás dos índices de leitura, realizou-se um estudo onde consegue-se mapear em quais condições a operação é precária e agir a fim de mitigar essas varáveis focando na melhoria contínua das especificações dos equipamentos. </w:t>
      </w:r>
    </w:p>
    <w:p w:rsidR="000479FC" w:rsidRPr="003E10B9" w:rsidRDefault="00161C01" w:rsidP="006D3ED8">
      <w:pPr>
        <w:spacing w:line="360" w:lineRule="auto"/>
        <w:ind w:firstLine="0"/>
        <w:rPr>
          <w:rFonts w:cs="Arial"/>
        </w:rPr>
      </w:pPr>
      <w:r w:rsidRPr="003E10B9">
        <w:rPr>
          <w:rFonts w:cs="Arial"/>
        </w:rPr>
        <w:tab/>
        <w:t>Para</w:t>
      </w:r>
      <w:r w:rsidR="00577A65" w:rsidRPr="003E10B9">
        <w:rPr>
          <w:rFonts w:cs="Arial"/>
        </w:rPr>
        <w:t xml:space="preserve"> análise da influência</w:t>
      </w:r>
      <w:r w:rsidRPr="003E10B9">
        <w:rPr>
          <w:rFonts w:cs="Arial"/>
        </w:rPr>
        <w:t xml:space="preserve"> das variáveis consideradas nesse estudo, realizou-se o cruzamento d</w:t>
      </w:r>
      <w:r w:rsidR="00577A65" w:rsidRPr="003E10B9">
        <w:rPr>
          <w:rFonts w:cs="Arial"/>
        </w:rPr>
        <w:t xml:space="preserve">os dados afim de entendermos o impacto no índice de leitura dos radares. </w:t>
      </w:r>
    </w:p>
    <w:p w:rsidR="00577A65" w:rsidRPr="003E10B9" w:rsidRDefault="00577A65" w:rsidP="003E10B9">
      <w:pPr>
        <w:spacing w:line="360" w:lineRule="auto"/>
        <w:ind w:firstLine="0"/>
        <w:rPr>
          <w:rFonts w:cs="Arial"/>
        </w:rPr>
      </w:pPr>
      <w:r w:rsidRPr="003E10B9">
        <w:rPr>
          <w:rFonts w:cs="Arial"/>
        </w:rPr>
        <w:tab/>
        <w:t>Primeiramente, considerou-se o índice de leitura como um p</w:t>
      </w:r>
      <w:r w:rsidR="00951E7A">
        <w:rPr>
          <w:rFonts w:cs="Arial"/>
        </w:rPr>
        <w:t>arâmetro do eixo das ordenadas, como sendo um dos principais parâmetros de acurácia dos radares.</w:t>
      </w:r>
    </w:p>
    <w:p w:rsidR="003E10B9" w:rsidRPr="003E10B9" w:rsidRDefault="003E10B9" w:rsidP="003E10B9">
      <w:pPr>
        <w:pStyle w:val="Ttulo2"/>
        <w:numPr>
          <w:ilvl w:val="0"/>
          <w:numId w:val="1"/>
        </w:numPr>
        <w:spacing w:line="360" w:lineRule="auto"/>
      </w:pPr>
      <w:bookmarkStart w:id="2" w:name="_Toc24274802"/>
      <w:r>
        <w:lastRenderedPageBreak/>
        <w:t>Hora do dia</w:t>
      </w:r>
      <w:bookmarkEnd w:id="2"/>
    </w:p>
    <w:p w:rsidR="00577A65" w:rsidRDefault="00577A65" w:rsidP="003E10B9">
      <w:pPr>
        <w:spacing w:line="360" w:lineRule="auto"/>
        <w:ind w:firstLine="708"/>
        <w:rPr>
          <w:rFonts w:cs="Arial"/>
        </w:rPr>
      </w:pPr>
      <w:r w:rsidRPr="003E10B9">
        <w:rPr>
          <w:rFonts w:cs="Arial"/>
        </w:rPr>
        <w:t xml:space="preserve">Dado que a hora do dia pode influenciar diretamente no fluxo de carros, gerando uma </w:t>
      </w:r>
      <w:r w:rsidR="003E10B9" w:rsidRPr="003E10B9">
        <w:rPr>
          <w:rFonts w:cs="Arial"/>
        </w:rPr>
        <w:t>sobreposição de informações, comparou-se o índice de leitura antes e depois do dia 1</w:t>
      </w:r>
      <w:r w:rsidR="00A11859">
        <w:rPr>
          <w:rFonts w:cs="Arial"/>
        </w:rPr>
        <w:t>8</w:t>
      </w:r>
      <w:r w:rsidR="003E10B9" w:rsidRPr="003E10B9">
        <w:rPr>
          <w:rFonts w:cs="Arial"/>
        </w:rPr>
        <w:t xml:space="preserve"> de fevereiro de 2018, dado que, no ano em questão, o horário d</w:t>
      </w:r>
      <w:r w:rsidR="00A11859">
        <w:rPr>
          <w:rFonts w:cs="Arial"/>
        </w:rPr>
        <w:t>e verão chegou ao fim no dia 17</w:t>
      </w:r>
      <w:r w:rsidR="003E10B9" w:rsidRPr="003E10B9">
        <w:rPr>
          <w:rFonts w:cs="Arial"/>
        </w:rPr>
        <w:t xml:space="preserve"> de fevereiro de 2018 às 23h59.</w:t>
      </w:r>
    </w:p>
    <w:p w:rsidR="003E10B9" w:rsidRDefault="003E10B9" w:rsidP="00F34992">
      <w:pPr>
        <w:pStyle w:val="Ttulo2"/>
        <w:numPr>
          <w:ilvl w:val="0"/>
          <w:numId w:val="1"/>
        </w:numPr>
        <w:spacing w:line="360" w:lineRule="auto"/>
      </w:pPr>
      <w:bookmarkStart w:id="3" w:name="_Toc24274803"/>
      <w:r>
        <w:t>Tipo de radar</w:t>
      </w:r>
      <w:bookmarkEnd w:id="3"/>
    </w:p>
    <w:p w:rsidR="003E10B9" w:rsidRDefault="003E10B9" w:rsidP="002F1DEC">
      <w:pPr>
        <w:spacing w:line="360" w:lineRule="auto"/>
      </w:pPr>
      <w:r>
        <w:t>Para essa análise, a metod</w:t>
      </w:r>
      <w:r w:rsidR="00F34992">
        <w:t xml:space="preserve">ologia utilizada foi categorizar os radares sendo barreira eletrônica, fixo grupo </w:t>
      </w:r>
      <w:proofErr w:type="gramStart"/>
      <w:r w:rsidR="00F34992">
        <w:t>A, fixo</w:t>
      </w:r>
      <w:proofErr w:type="gramEnd"/>
      <w:r w:rsidR="00F34992">
        <w:t xml:space="preserve"> grupo B ou fixo grupo C. Assim, podemos aferir se o tipo de radar influencia tanto no índice de leitura </w:t>
      </w:r>
      <w:r w:rsidR="002C262F">
        <w:t>como na quantidade de carros a depender da hora do dia.</w:t>
      </w:r>
    </w:p>
    <w:p w:rsidR="002C262F" w:rsidRDefault="002C262F" w:rsidP="002F1DEC">
      <w:pPr>
        <w:pStyle w:val="Ttulo2"/>
        <w:numPr>
          <w:ilvl w:val="0"/>
          <w:numId w:val="1"/>
        </w:numPr>
        <w:spacing w:line="360" w:lineRule="auto"/>
      </w:pPr>
      <w:bookmarkStart w:id="4" w:name="_Toc24274804"/>
      <w:r>
        <w:t>Tipo de fornecedor</w:t>
      </w:r>
      <w:bookmarkEnd w:id="4"/>
    </w:p>
    <w:p w:rsidR="004A329F" w:rsidRDefault="002F1DEC" w:rsidP="002F1DEC">
      <w:pPr>
        <w:spacing w:line="360" w:lineRule="auto"/>
      </w:pPr>
      <w:r>
        <w:t>A tabela consultada para o desenvolvimento da análise do tipo de fornecedor diz respeito aos quatro diferentes lotes na base de radares. O intuito desse estudo é entender se, de acordo com as especificações técnicas dos radares de cada tipo de fornecedor, há diferença significativa na eficácia do índice de leitura.</w:t>
      </w:r>
    </w:p>
    <w:p w:rsidR="002F1DEC" w:rsidRDefault="002F1DEC">
      <w:pPr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2F1DEC" w:rsidRDefault="002F1DEC" w:rsidP="002F1DEC">
      <w:pPr>
        <w:pStyle w:val="Ttulo1"/>
        <w:rPr>
          <w:rFonts w:ascii="Arial" w:hAnsi="Arial" w:cs="Arial"/>
        </w:rPr>
      </w:pPr>
      <w:bookmarkStart w:id="5" w:name="_Toc24274805"/>
      <w:r w:rsidRPr="002F1DEC">
        <w:rPr>
          <w:rFonts w:ascii="Arial" w:hAnsi="Arial" w:cs="Arial"/>
        </w:rPr>
        <w:lastRenderedPageBreak/>
        <w:t>Análises</w:t>
      </w:r>
      <w:bookmarkEnd w:id="5"/>
    </w:p>
    <w:p w:rsidR="00660682" w:rsidRPr="00660682" w:rsidRDefault="00660682" w:rsidP="00660682"/>
    <w:p w:rsidR="002C262F" w:rsidRDefault="00660682" w:rsidP="00DE6556">
      <w:pPr>
        <w:pStyle w:val="Ttulo2"/>
        <w:numPr>
          <w:ilvl w:val="0"/>
          <w:numId w:val="2"/>
        </w:numPr>
        <w:spacing w:line="360" w:lineRule="auto"/>
      </w:pPr>
      <w:bookmarkStart w:id="6" w:name="_Toc24274806"/>
      <w:r>
        <w:t>Hora do dia</w:t>
      </w:r>
      <w:bookmarkEnd w:id="6"/>
    </w:p>
    <w:p w:rsidR="00601DBE" w:rsidRPr="00660682" w:rsidRDefault="00601DBE" w:rsidP="00601DBE">
      <w:pPr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258793</wp:posOffset>
            </wp:positionV>
            <wp:extent cx="5400040" cy="334264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áfic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0682">
        <w:t>Com a análise do fluxo de carros disposta no Gráfico 1 abaixo, temos:</w:t>
      </w:r>
    </w:p>
    <w:p w:rsidR="00660682" w:rsidRDefault="00660682" w:rsidP="00DE6556">
      <w:pPr>
        <w:spacing w:line="360" w:lineRule="auto"/>
      </w:pPr>
      <w:r>
        <w:t xml:space="preserve">Sendo que alinha azul representa o fluxo de </w:t>
      </w:r>
      <w:r w:rsidR="00A11859">
        <w:t>veículos do dia 1 ao dia 17</w:t>
      </w:r>
      <w:r>
        <w:t xml:space="preserve"> de fevereiro e a linha vermelha indica o flux</w:t>
      </w:r>
      <w:r w:rsidR="00A11859">
        <w:t>o de veículos a partir do dia 18</w:t>
      </w:r>
      <w:r>
        <w:t xml:space="preserve"> de fevereiro. Com isso, tem-se que o perfil da contagem por horário permanece o mesmo durante os horários do dia, diferindo apenas a quantidade de veículos.</w:t>
      </w:r>
    </w:p>
    <w:p w:rsidR="00DE6556" w:rsidRDefault="00DE6556" w:rsidP="00DE6556">
      <w:pPr>
        <w:spacing w:line="360" w:lineRule="auto"/>
        <w:ind w:firstLine="0"/>
      </w:pPr>
      <w:r>
        <w:tab/>
        <w:t xml:space="preserve">Para a influência da luminosidade, aferimos o índice de leitura </w:t>
      </w:r>
      <w:r w:rsidRPr="00DE6556">
        <w:rPr>
          <w:i/>
        </w:rPr>
        <w:t>versus</w:t>
      </w:r>
      <w:r>
        <w:t xml:space="preserve"> o horário do dia, Gráfico 2. </w:t>
      </w:r>
    </w:p>
    <w:p w:rsidR="00DE6556" w:rsidRDefault="00601DBE" w:rsidP="00DE6556">
      <w:pPr>
        <w:spacing w:line="360" w:lineRule="auto"/>
        <w:ind w:firstLine="0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3333115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áfic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556" w:rsidRDefault="00DE6556" w:rsidP="00DE6556">
      <w:pPr>
        <w:spacing w:line="360" w:lineRule="auto"/>
        <w:ind w:firstLine="708"/>
      </w:pPr>
      <w:r>
        <w:t xml:space="preserve">Na mesma lógica usada anteriormente, a legenda com linha azul indica as leituras durante o horário de verão, e a vermelha, sem horário de verão. </w:t>
      </w:r>
    </w:p>
    <w:p w:rsidR="00021B8A" w:rsidRDefault="00021B8A" w:rsidP="00DE6556">
      <w:pPr>
        <w:spacing w:line="360" w:lineRule="auto"/>
        <w:ind w:firstLine="708"/>
      </w:pPr>
      <w:r>
        <w:t xml:space="preserve">Esse deslocamento indica que, por exemplo, às </w:t>
      </w:r>
      <w:r w:rsidR="0089670B">
        <w:t>10</w:t>
      </w:r>
      <w:r>
        <w:t xml:space="preserve">h, </w:t>
      </w:r>
      <w:r w:rsidR="007F2418">
        <w:t>tem-se um aumento</w:t>
      </w:r>
      <w:r w:rsidR="0089670B">
        <w:t xml:space="preserve"> expressivo</w:t>
      </w:r>
      <w:r w:rsidR="007F2418">
        <w:t xml:space="preserve"> </w:t>
      </w:r>
      <w:r w:rsidR="00133218">
        <w:t xml:space="preserve">do fluxo de veículos no período com horário de verão, e o índice de leitura </w:t>
      </w:r>
      <w:r w:rsidR="0089670B">
        <w:t>é semelhante</w:t>
      </w:r>
      <w:r w:rsidR="00133218">
        <w:t xml:space="preserve"> nesse período. Se observa então que, </w:t>
      </w:r>
      <w:r w:rsidR="0039302F">
        <w:t>o que influi na eficácia do índice de le</w:t>
      </w:r>
      <w:r w:rsidR="0089670B">
        <w:t xml:space="preserve">itura </w:t>
      </w:r>
      <w:r w:rsidR="0089670B" w:rsidRPr="0089670B">
        <w:rPr>
          <w:b/>
        </w:rPr>
        <w:t>não</w:t>
      </w:r>
      <w:r w:rsidR="0089670B">
        <w:t xml:space="preserve"> é o fluxo de veículos. </w:t>
      </w:r>
    </w:p>
    <w:p w:rsidR="0089670B" w:rsidRDefault="0089670B" w:rsidP="00DE6556">
      <w:pPr>
        <w:spacing w:line="360" w:lineRule="auto"/>
        <w:ind w:firstLine="708"/>
      </w:pPr>
      <w:r>
        <w:t>Observa-se, no entanto, o deslocamento horizontal no Gráfico 2 pode indicar a influência da luminosidade no índice de leitura, entretanto, precisa-se analisar uma amostra maior para avaliar o período inteiro do horário de verão</w:t>
      </w:r>
      <w:r w:rsidRPr="0089670B">
        <w:rPr>
          <w:i/>
        </w:rPr>
        <w:t xml:space="preserve"> versus </w:t>
      </w:r>
      <w:r>
        <w:t>o período do ano sem o horário de verão.</w:t>
      </w:r>
    </w:p>
    <w:p w:rsidR="00A11859" w:rsidRDefault="00A11859" w:rsidP="00F702FC">
      <w:pPr>
        <w:spacing w:line="360" w:lineRule="auto"/>
        <w:ind w:firstLine="708"/>
      </w:pPr>
    </w:p>
    <w:p w:rsidR="00A11859" w:rsidRDefault="00A11859" w:rsidP="00F702FC">
      <w:pPr>
        <w:pStyle w:val="Ttulo2"/>
        <w:numPr>
          <w:ilvl w:val="0"/>
          <w:numId w:val="2"/>
        </w:numPr>
        <w:spacing w:line="360" w:lineRule="auto"/>
      </w:pPr>
      <w:bookmarkStart w:id="7" w:name="_Toc24274807"/>
      <w:r>
        <w:t>Tipo de radar</w:t>
      </w:r>
      <w:bookmarkEnd w:id="7"/>
    </w:p>
    <w:p w:rsidR="00E13DA0" w:rsidRDefault="00E13DA0" w:rsidP="00F702FC">
      <w:pPr>
        <w:spacing w:line="360" w:lineRule="auto"/>
      </w:pPr>
      <w:r>
        <w:t xml:space="preserve">A análise voltada ao radar </w:t>
      </w:r>
      <w:r w:rsidR="00F702FC">
        <w:t>sugere quais dentre os tipos – barreira eletrônica, Grupo fixo A, Grupo fixo B e Grupo fixo C – é mais eficiente para o índice de leitura. Esse dado gera a discussão sobre qual melhor tipo de radar a ser implantado, e sobre o custo-benefício de cada um deles.</w:t>
      </w:r>
    </w:p>
    <w:p w:rsidR="00F702FC" w:rsidRDefault="00F702FC" w:rsidP="00F702FC">
      <w:pPr>
        <w:spacing w:line="360" w:lineRule="auto"/>
      </w:pPr>
      <w:r>
        <w:t xml:space="preserve">No Gráfico 3 a seguir, tem-se o índice de leitura </w:t>
      </w:r>
      <w:r w:rsidRPr="00F702FC">
        <w:rPr>
          <w:i/>
        </w:rPr>
        <w:t>versus</w:t>
      </w:r>
      <w:r>
        <w:t xml:space="preserve"> a</w:t>
      </w:r>
      <w:r w:rsidR="006F762C">
        <w:t xml:space="preserve"> hora do dia, onde a linha azul</w:t>
      </w:r>
      <w:r>
        <w:t xml:space="preserve"> representa a</w:t>
      </w:r>
      <w:r w:rsidR="006F762C">
        <w:t xml:space="preserve"> </w:t>
      </w:r>
      <w:r w:rsidR="006F762C" w:rsidRPr="006F762C">
        <w:rPr>
          <w:b/>
          <w:color w:val="2F5496" w:themeColor="accent5" w:themeShade="BF"/>
        </w:rPr>
        <w:t>Barreira eletrônica</w:t>
      </w:r>
      <w:r w:rsidR="006F762C">
        <w:t xml:space="preserve">, a linha vermelha o </w:t>
      </w:r>
      <w:r w:rsidR="006F762C" w:rsidRPr="006F762C">
        <w:rPr>
          <w:b/>
          <w:color w:val="FF0000"/>
        </w:rPr>
        <w:t>Grupo fixo A</w:t>
      </w:r>
      <w:r w:rsidR="006F762C">
        <w:t xml:space="preserve">, a linha amarela o </w:t>
      </w:r>
      <w:r w:rsidR="006F762C" w:rsidRPr="006F762C">
        <w:rPr>
          <w:b/>
          <w:color w:val="FFD966" w:themeColor="accent4" w:themeTint="99"/>
        </w:rPr>
        <w:t>Grupo fixo B</w:t>
      </w:r>
      <w:r w:rsidR="006F762C">
        <w:t xml:space="preserve"> e a linha verde o </w:t>
      </w:r>
      <w:r w:rsidR="006F762C" w:rsidRPr="006F762C">
        <w:rPr>
          <w:b/>
          <w:color w:val="70AD47" w:themeColor="accent6"/>
        </w:rPr>
        <w:t>Grupo fixo C</w:t>
      </w:r>
      <w:r w:rsidR="006F762C">
        <w:t xml:space="preserve">. </w:t>
      </w:r>
      <w:r>
        <w:t xml:space="preserve"> </w:t>
      </w:r>
    </w:p>
    <w:p w:rsidR="00A11859" w:rsidRDefault="00601DBE" w:rsidP="0016692C">
      <w:pPr>
        <w:spacing w:line="360" w:lineRule="auto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3342640"/>
            <wp:effectExtent l="0" t="0" r="0" b="0"/>
            <wp:wrapTopAndBottom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c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762C">
        <w:t xml:space="preserve">Assim, </w:t>
      </w:r>
      <w:r w:rsidR="0016692C">
        <w:t xml:space="preserve">consegue-se aferir que, o Grupo fixo A apresenta o </w:t>
      </w:r>
      <w:r w:rsidR="0016692C" w:rsidRPr="0016692C">
        <w:rPr>
          <w:b/>
        </w:rPr>
        <w:t>pior</w:t>
      </w:r>
      <w:r w:rsidR="0016692C">
        <w:t xml:space="preserve"> desempenho em termos de índice de leitura, o Grupo fixo B apresenta o melhor desempenho durante o dia e o Grupo fixo C apresenta a melhor sensibilidade noturna.</w:t>
      </w:r>
    </w:p>
    <w:p w:rsidR="009F4723" w:rsidRDefault="009F4723" w:rsidP="0016692C">
      <w:pPr>
        <w:spacing w:line="360" w:lineRule="auto"/>
      </w:pPr>
    </w:p>
    <w:p w:rsidR="009F4723" w:rsidRDefault="009F4723" w:rsidP="006A557E">
      <w:pPr>
        <w:pStyle w:val="Ttulo2"/>
        <w:numPr>
          <w:ilvl w:val="0"/>
          <w:numId w:val="2"/>
        </w:numPr>
        <w:spacing w:line="360" w:lineRule="auto"/>
      </w:pPr>
      <w:bookmarkStart w:id="8" w:name="_Toc24274808"/>
      <w:r>
        <w:t>Tipo de lote</w:t>
      </w:r>
      <w:bookmarkEnd w:id="8"/>
    </w:p>
    <w:p w:rsidR="009F4723" w:rsidRDefault="00601DBE" w:rsidP="006A557E">
      <w:pPr>
        <w:spacing w:line="360" w:lineRule="auto"/>
      </w:pPr>
      <w:r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867170</wp:posOffset>
            </wp:positionV>
            <wp:extent cx="3952875" cy="2438400"/>
            <wp:effectExtent l="0" t="0" r="9525" b="0"/>
            <wp:wrapTopAndBottom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c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57E">
        <w:t>A fim de auxiliar na tomada de decisão para entender qual a melhor empresa que oferece a solução que atende conforme as especificações por variáveis tratadas nesse relatório tem-se, atualmente, a análise das atuais concessionárias.</w:t>
      </w:r>
    </w:p>
    <w:p w:rsidR="00601DBE" w:rsidRDefault="00601DBE" w:rsidP="006A557E">
      <w:pPr>
        <w:spacing w:line="360" w:lineRule="auto"/>
        <w:rPr>
          <w:noProof/>
          <w:lang w:eastAsia="pt-BR"/>
        </w:rPr>
      </w:pPr>
    </w:p>
    <w:p w:rsidR="006A557E" w:rsidRDefault="006A557E" w:rsidP="006A557E">
      <w:pPr>
        <w:spacing w:line="360" w:lineRule="auto"/>
      </w:pPr>
      <w:r>
        <w:t xml:space="preserve">No Gráfico 4, a linha azul representa o </w:t>
      </w:r>
      <w:r w:rsidRPr="006A557E">
        <w:rPr>
          <w:b/>
          <w:color w:val="4472C4" w:themeColor="accent5"/>
        </w:rPr>
        <w:t>lote 1</w:t>
      </w:r>
      <w:r>
        <w:t xml:space="preserve">, vermelha o </w:t>
      </w:r>
      <w:r w:rsidRPr="006A557E">
        <w:rPr>
          <w:b/>
          <w:color w:val="FF0000"/>
        </w:rPr>
        <w:t>lote 2</w:t>
      </w:r>
      <w:r>
        <w:t xml:space="preserve">, amarela o </w:t>
      </w:r>
      <w:r w:rsidRPr="006A557E">
        <w:rPr>
          <w:b/>
          <w:color w:val="FFC000" w:themeColor="accent4"/>
        </w:rPr>
        <w:t>lote 3</w:t>
      </w:r>
      <w:r>
        <w:t xml:space="preserve"> e verde o </w:t>
      </w:r>
      <w:r w:rsidRPr="006A557E">
        <w:rPr>
          <w:b/>
          <w:color w:val="70AD47" w:themeColor="accent6"/>
        </w:rPr>
        <w:t>lote 4</w:t>
      </w:r>
      <w:r>
        <w:t>.</w:t>
      </w:r>
    </w:p>
    <w:p w:rsidR="00053AD0" w:rsidRDefault="00053AD0" w:rsidP="006A557E">
      <w:pPr>
        <w:spacing w:line="360" w:lineRule="auto"/>
      </w:pPr>
    </w:p>
    <w:p w:rsidR="00053AD0" w:rsidRDefault="00053AD0" w:rsidP="006A557E">
      <w:pPr>
        <w:spacing w:line="360" w:lineRule="auto"/>
      </w:pPr>
      <w:r>
        <w:t xml:space="preserve">Como conclusão dessa variável, tem-se que o lote </w:t>
      </w:r>
      <w:r w:rsidR="00176082">
        <w:t xml:space="preserve">1 </w:t>
      </w:r>
      <w:r>
        <w:t xml:space="preserve">apresenta o pior desempenho independente da luminosidade </w:t>
      </w:r>
      <w:r w:rsidR="00EB40DC">
        <w:t>em relação aos outros lotes.</w:t>
      </w:r>
    </w:p>
    <w:p w:rsidR="005C3800" w:rsidRDefault="005C3800" w:rsidP="006A557E">
      <w:pPr>
        <w:spacing w:line="360" w:lineRule="auto"/>
      </w:pPr>
      <w:r>
        <w:t>Para fins de entender se há correlação entre a quantidade predominante de equipamento utilizado por cada tipo de lote, pl</w:t>
      </w:r>
      <w:bookmarkStart w:id="9" w:name="_GoBack"/>
      <w:bookmarkEnd w:id="9"/>
      <w:r>
        <w:t>otamos o Gráfico 5 abaixo.</w:t>
      </w:r>
    </w:p>
    <w:p w:rsidR="005C3800" w:rsidRDefault="005C3800" w:rsidP="006A557E">
      <w:pPr>
        <w:spacing w:line="360" w:lineRule="auto"/>
      </w:pPr>
      <w:r>
        <w:rPr>
          <w:noProof/>
          <w:lang w:eastAsia="pt-BR"/>
        </w:rPr>
        <w:drawing>
          <wp:inline distT="0" distB="0" distL="0" distR="0" wp14:anchorId="0423B2CC" wp14:editId="4D36EE6D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C3800" w:rsidRDefault="005C3800" w:rsidP="006A557E">
      <w:pPr>
        <w:spacing w:line="360" w:lineRule="auto"/>
      </w:pPr>
      <w:r>
        <w:t>Portanto, no eixo das ordenadas o tipo de equipamento, sendo: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0: Barreira eletrônica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1: Grupo fixo A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2: Grupo fixo B</w:t>
      </w:r>
    </w:p>
    <w:p w:rsidR="005C3800" w:rsidRDefault="005C3800" w:rsidP="005C3800">
      <w:pPr>
        <w:pStyle w:val="PargrafodaLista"/>
        <w:numPr>
          <w:ilvl w:val="0"/>
          <w:numId w:val="3"/>
        </w:numPr>
        <w:spacing w:line="360" w:lineRule="auto"/>
      </w:pPr>
      <w:r>
        <w:t>3: Grupo fixo C</w:t>
      </w:r>
    </w:p>
    <w:p w:rsidR="005C3800" w:rsidRDefault="005C3800" w:rsidP="005C3800">
      <w:pPr>
        <w:spacing w:line="360" w:lineRule="auto"/>
      </w:pPr>
      <w:r>
        <w:t>No eixo das abscissas, tem-se: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1: Lote 1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2: Lote 2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3: Lote 3</w:t>
      </w:r>
    </w:p>
    <w:p w:rsidR="005C3800" w:rsidRDefault="005C3800" w:rsidP="005C3800">
      <w:pPr>
        <w:pStyle w:val="PargrafodaLista"/>
        <w:numPr>
          <w:ilvl w:val="0"/>
          <w:numId w:val="4"/>
        </w:numPr>
        <w:spacing w:line="360" w:lineRule="auto"/>
      </w:pPr>
      <w:r>
        <w:t>4: Lote 4</w:t>
      </w:r>
    </w:p>
    <w:p w:rsidR="006A557E" w:rsidRDefault="005C3800" w:rsidP="006A557E">
      <w:pPr>
        <w:spacing w:line="360" w:lineRule="auto"/>
      </w:pPr>
      <w:r>
        <w:t>Nota-se a predominância do uso do equipamento Grupo fixo A, representado nas áreas da linha 1. Com isso, conclui-se que, atualmente, o equipamento de radar mais usado é aquele que tem o pior desempenho, independente da hora do dia.</w:t>
      </w:r>
    </w:p>
    <w:p w:rsidR="001C574D" w:rsidRDefault="001C574D">
      <w:pPr>
        <w:ind w:firstLine="0"/>
        <w:jc w:val="left"/>
      </w:pPr>
      <w:r>
        <w:br w:type="page"/>
      </w:r>
    </w:p>
    <w:p w:rsidR="001C574D" w:rsidRDefault="00183055" w:rsidP="00183055">
      <w:pPr>
        <w:pStyle w:val="Ttulo1"/>
        <w:spacing w:line="360" w:lineRule="auto"/>
        <w:rPr>
          <w:rFonts w:ascii="Arial" w:hAnsi="Arial" w:cs="Arial"/>
        </w:rPr>
      </w:pPr>
      <w:bookmarkStart w:id="10" w:name="_Toc24274809"/>
      <w:r w:rsidRPr="00183055">
        <w:rPr>
          <w:rFonts w:ascii="Arial" w:hAnsi="Arial" w:cs="Arial"/>
        </w:rPr>
        <w:lastRenderedPageBreak/>
        <w:t>Considerações finais</w:t>
      </w:r>
      <w:bookmarkEnd w:id="10"/>
    </w:p>
    <w:p w:rsidR="00183055" w:rsidRPr="00183055" w:rsidRDefault="00183055" w:rsidP="00183055"/>
    <w:p w:rsidR="00183055" w:rsidRDefault="00183055" w:rsidP="00183055">
      <w:pPr>
        <w:spacing w:line="360" w:lineRule="auto"/>
      </w:pPr>
      <w:r>
        <w:t>Para ter outro principal parâmetro analisado a respeito da acurácia dos radares, que faz referência a precisão dos dados coletados, precisa-se corrigir a eficácia dos radares a fim d</w:t>
      </w:r>
      <w:r w:rsidR="004D03D4">
        <w:t>e ter um espaço amostral maior. No</w:t>
      </w:r>
      <w:r>
        <w:t xml:space="preserve"> atual contexto, a análise da precisão dos d</w:t>
      </w:r>
      <w:r w:rsidR="004D03D4">
        <w:t xml:space="preserve">ados poderia vir maquiada pelas variáveis que influenciam no percentual </w:t>
      </w:r>
      <w:r>
        <w:t>de dados captados pelos radares.</w:t>
      </w:r>
    </w:p>
    <w:p w:rsidR="004D03D4" w:rsidRDefault="004D03D4" w:rsidP="00183055">
      <w:pPr>
        <w:spacing w:line="360" w:lineRule="auto"/>
      </w:pPr>
      <w:r>
        <w:t xml:space="preserve">Para caminhar </w:t>
      </w:r>
      <w:r w:rsidR="00460B11">
        <w:t xml:space="preserve">rumo a uma análise de dados mais consistente, uma alternativa é vincular </w:t>
      </w:r>
      <w:r w:rsidR="00CE78D3">
        <w:t xml:space="preserve">a base de dados em tempo real do </w:t>
      </w:r>
      <w:proofErr w:type="spellStart"/>
      <w:r w:rsidR="00CE78D3">
        <w:t>Waze</w:t>
      </w:r>
      <w:proofErr w:type="spellEnd"/>
      <w:r w:rsidR="00CE78D3">
        <w:t xml:space="preserve">, onde seria captado a velocidade instantânea através do </w:t>
      </w:r>
      <w:proofErr w:type="spellStart"/>
      <w:r w:rsidR="00CE78D3">
        <w:t>Waze</w:t>
      </w:r>
      <w:proofErr w:type="spellEnd"/>
      <w:r w:rsidR="00CE78D3">
        <w:t xml:space="preserve"> naquele instante que passa pelo radar </w:t>
      </w:r>
      <w:r w:rsidR="00CE78D3" w:rsidRPr="00CE78D3">
        <w:rPr>
          <w:i/>
        </w:rPr>
        <w:t>versus</w:t>
      </w:r>
      <w:r w:rsidR="00CE78D3">
        <w:t xml:space="preserve"> o que o radar registra. Divergências sugerem erros de leitura </w:t>
      </w:r>
      <w:r w:rsidR="00B24478">
        <w:t>do radar em relação ao veículo.</w:t>
      </w:r>
    </w:p>
    <w:p w:rsidR="00B24478" w:rsidRDefault="00B24478" w:rsidP="00183055">
      <w:pPr>
        <w:spacing w:line="360" w:lineRule="auto"/>
      </w:pPr>
      <w:r>
        <w:t>Portanto, o presente relatório fornece parâmetros para uma tomada de decisão mais assertiva acerca dos atuais equipamentos de fiscalização, bem como a eficácia dos radares no geral das empresas concessionárias</w:t>
      </w:r>
      <w:r w:rsidR="0029392A">
        <w:t xml:space="preserve"> e</w:t>
      </w:r>
      <w:r>
        <w:t xml:space="preserve"> o estabelecimento de especificações técnicas devido a influência da luminosidade.</w:t>
      </w:r>
      <w:r w:rsidR="0029392A">
        <w:t xml:space="preserve"> Sendo que, o estudo também fornece base para entender o custo-benefício no caso a implantação de novos radares.</w:t>
      </w:r>
    </w:p>
    <w:p w:rsidR="00B24478" w:rsidRPr="00183055" w:rsidRDefault="00B24478" w:rsidP="00183055">
      <w:pPr>
        <w:spacing w:line="360" w:lineRule="auto"/>
      </w:pPr>
    </w:p>
    <w:sectPr w:rsidR="00B24478" w:rsidRPr="00183055" w:rsidSect="001506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8EC" w:rsidRDefault="006858EC" w:rsidP="000479FC">
      <w:pPr>
        <w:spacing w:after="0" w:line="240" w:lineRule="auto"/>
      </w:pPr>
      <w:r>
        <w:separator/>
      </w:r>
    </w:p>
  </w:endnote>
  <w:endnote w:type="continuationSeparator" w:id="0">
    <w:p w:rsidR="006858EC" w:rsidRDefault="006858EC" w:rsidP="0004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8EC" w:rsidRDefault="006858EC" w:rsidP="000479FC">
      <w:pPr>
        <w:spacing w:after="0" w:line="240" w:lineRule="auto"/>
      </w:pPr>
      <w:r>
        <w:separator/>
      </w:r>
    </w:p>
  </w:footnote>
  <w:footnote w:type="continuationSeparator" w:id="0">
    <w:p w:rsidR="006858EC" w:rsidRDefault="006858EC" w:rsidP="0004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65831"/>
    <w:multiLevelType w:val="hybridMultilevel"/>
    <w:tmpl w:val="26F036FC"/>
    <w:lvl w:ilvl="0" w:tplc="B0F42C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7A66F0"/>
    <w:multiLevelType w:val="hybridMultilevel"/>
    <w:tmpl w:val="A8D6C53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1C5D5F"/>
    <w:multiLevelType w:val="hybridMultilevel"/>
    <w:tmpl w:val="B6C88C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15D4C76"/>
    <w:multiLevelType w:val="hybridMultilevel"/>
    <w:tmpl w:val="8306E358"/>
    <w:lvl w:ilvl="0" w:tplc="C83A1128">
      <w:start w:val="1"/>
      <w:numFmt w:val="decimal"/>
      <w:lvlText w:val="%1."/>
      <w:lvlJc w:val="left"/>
      <w:pPr>
        <w:ind w:left="1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4" w:hanging="360"/>
      </w:pPr>
    </w:lvl>
    <w:lvl w:ilvl="2" w:tplc="0416001B" w:tentative="1">
      <w:start w:val="1"/>
      <w:numFmt w:val="lowerRoman"/>
      <w:lvlText w:val="%3."/>
      <w:lvlJc w:val="right"/>
      <w:pPr>
        <w:ind w:left="3214" w:hanging="180"/>
      </w:pPr>
    </w:lvl>
    <w:lvl w:ilvl="3" w:tplc="0416000F" w:tentative="1">
      <w:start w:val="1"/>
      <w:numFmt w:val="decimal"/>
      <w:lvlText w:val="%4."/>
      <w:lvlJc w:val="left"/>
      <w:pPr>
        <w:ind w:left="3934" w:hanging="360"/>
      </w:pPr>
    </w:lvl>
    <w:lvl w:ilvl="4" w:tplc="04160019" w:tentative="1">
      <w:start w:val="1"/>
      <w:numFmt w:val="lowerLetter"/>
      <w:lvlText w:val="%5."/>
      <w:lvlJc w:val="left"/>
      <w:pPr>
        <w:ind w:left="4654" w:hanging="360"/>
      </w:pPr>
    </w:lvl>
    <w:lvl w:ilvl="5" w:tplc="0416001B" w:tentative="1">
      <w:start w:val="1"/>
      <w:numFmt w:val="lowerRoman"/>
      <w:lvlText w:val="%6."/>
      <w:lvlJc w:val="right"/>
      <w:pPr>
        <w:ind w:left="5374" w:hanging="180"/>
      </w:pPr>
    </w:lvl>
    <w:lvl w:ilvl="6" w:tplc="0416000F" w:tentative="1">
      <w:start w:val="1"/>
      <w:numFmt w:val="decimal"/>
      <w:lvlText w:val="%7."/>
      <w:lvlJc w:val="left"/>
      <w:pPr>
        <w:ind w:left="6094" w:hanging="360"/>
      </w:pPr>
    </w:lvl>
    <w:lvl w:ilvl="7" w:tplc="04160019" w:tentative="1">
      <w:start w:val="1"/>
      <w:numFmt w:val="lowerLetter"/>
      <w:lvlText w:val="%8."/>
      <w:lvlJc w:val="left"/>
      <w:pPr>
        <w:ind w:left="6814" w:hanging="360"/>
      </w:pPr>
    </w:lvl>
    <w:lvl w:ilvl="8" w:tplc="0416001B" w:tentative="1">
      <w:start w:val="1"/>
      <w:numFmt w:val="lowerRoman"/>
      <w:lvlText w:val="%9."/>
      <w:lvlJc w:val="right"/>
      <w:pPr>
        <w:ind w:left="753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39"/>
    <w:rsid w:val="00021B8A"/>
    <w:rsid w:val="000479FC"/>
    <w:rsid w:val="00053AD0"/>
    <w:rsid w:val="000E577B"/>
    <w:rsid w:val="00133218"/>
    <w:rsid w:val="001357AF"/>
    <w:rsid w:val="00150639"/>
    <w:rsid w:val="00161C01"/>
    <w:rsid w:val="0016692C"/>
    <w:rsid w:val="00176082"/>
    <w:rsid w:val="00183055"/>
    <w:rsid w:val="001C574D"/>
    <w:rsid w:val="0029392A"/>
    <w:rsid w:val="002C262F"/>
    <w:rsid w:val="002F1DEC"/>
    <w:rsid w:val="0039302F"/>
    <w:rsid w:val="003D73A5"/>
    <w:rsid w:val="003E10B9"/>
    <w:rsid w:val="00460B11"/>
    <w:rsid w:val="004A329F"/>
    <w:rsid w:val="004D03D4"/>
    <w:rsid w:val="00577A65"/>
    <w:rsid w:val="005C3800"/>
    <w:rsid w:val="005D1384"/>
    <w:rsid w:val="00600F30"/>
    <w:rsid w:val="00601DBE"/>
    <w:rsid w:val="00612AF5"/>
    <w:rsid w:val="00660682"/>
    <w:rsid w:val="006858EC"/>
    <w:rsid w:val="006A557E"/>
    <w:rsid w:val="006D3ED8"/>
    <w:rsid w:val="006F762C"/>
    <w:rsid w:val="007F2418"/>
    <w:rsid w:val="0089670B"/>
    <w:rsid w:val="00951E7A"/>
    <w:rsid w:val="009A3DD3"/>
    <w:rsid w:val="009C1A30"/>
    <w:rsid w:val="009F4723"/>
    <w:rsid w:val="00A11859"/>
    <w:rsid w:val="00B24478"/>
    <w:rsid w:val="00CE78D3"/>
    <w:rsid w:val="00DE6556"/>
    <w:rsid w:val="00E13DA0"/>
    <w:rsid w:val="00E20375"/>
    <w:rsid w:val="00E97DFB"/>
    <w:rsid w:val="00EB40DC"/>
    <w:rsid w:val="00F34992"/>
    <w:rsid w:val="00F702FC"/>
    <w:rsid w:val="00FC1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C9453"/>
  <w15:chartTrackingRefBased/>
  <w15:docId w15:val="{6BBB72B9-884E-4974-ABF1-082C77EF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92"/>
    <w:pPr>
      <w:ind w:firstLine="709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047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E10B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E10B9"/>
    <w:rPr>
      <w:rFonts w:ascii="Arial" w:eastAsiaTheme="majorEastAsia" w:hAnsi="Arial" w:cstheme="majorBidi"/>
      <w:color w:val="2E74B5" w:themeColor="accent1" w:themeShade="BF"/>
      <w:sz w:val="28"/>
      <w:szCs w:val="26"/>
    </w:rPr>
  </w:style>
  <w:style w:type="paragraph" w:styleId="SemEspaamento">
    <w:name w:val="No Spacing"/>
    <w:link w:val="SemEspaamentoChar"/>
    <w:uiPriority w:val="1"/>
    <w:qFormat/>
    <w:rsid w:val="00150639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150639"/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47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79FC"/>
  </w:style>
  <w:style w:type="paragraph" w:styleId="Rodap">
    <w:name w:val="footer"/>
    <w:basedOn w:val="Normal"/>
    <w:link w:val="RodapChar"/>
    <w:uiPriority w:val="99"/>
    <w:unhideWhenUsed/>
    <w:rsid w:val="000479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79FC"/>
  </w:style>
  <w:style w:type="character" w:customStyle="1" w:styleId="Ttulo1Char">
    <w:name w:val="Título 1 Char"/>
    <w:basedOn w:val="Fontepargpadro"/>
    <w:link w:val="Ttulo1"/>
    <w:uiPriority w:val="9"/>
    <w:rsid w:val="000479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E10B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0682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7DFB"/>
    <w:pPr>
      <w:ind w:firstLine="0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97DFB"/>
    <w:pPr>
      <w:spacing w:before="360" w:after="0"/>
      <w:jc w:val="left"/>
    </w:pPr>
    <w:rPr>
      <w:rFonts w:cstheme="majorHAnsi"/>
      <w:b/>
      <w:bCs/>
      <w:cap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97DFB"/>
    <w:pPr>
      <w:spacing w:before="240" w:after="0"/>
      <w:jc w:val="left"/>
    </w:pPr>
    <w:rPr>
      <w:rFonts w:asciiTheme="minorHAnsi" w:hAnsiTheme="minorHAnsi"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97DFB"/>
    <w:pPr>
      <w:spacing w:after="0"/>
      <w:ind w:left="22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97DFB"/>
    <w:pPr>
      <w:spacing w:after="0"/>
      <w:ind w:left="44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97DFB"/>
    <w:pPr>
      <w:spacing w:after="0"/>
      <w:ind w:left="66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97DFB"/>
    <w:pPr>
      <w:spacing w:after="0"/>
      <w:ind w:left="88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97DFB"/>
    <w:pPr>
      <w:spacing w:after="0"/>
      <w:ind w:left="11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97DFB"/>
    <w:pPr>
      <w:spacing w:after="0"/>
      <w:ind w:left="132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97DFB"/>
    <w:pPr>
      <w:spacing w:after="0"/>
      <w:ind w:left="15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Tipo de equipamento </a:t>
            </a:r>
            <a:r>
              <a:rPr lang="en-US" i="1"/>
              <a:t>versus</a:t>
            </a:r>
            <a:r>
              <a:rPr lang="en-US"/>
              <a:t> Lote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ubbleChart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Tipo de equipamento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Planilha1!$A$2:$A$17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</c:numCache>
            </c:numRef>
          </c:xVal>
          <c:yVal>
            <c:numRef>
              <c:f>Planilha1!$B$2:$B$17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0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0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0</c:v>
                </c:pt>
                <c:pt idx="13">
                  <c:v>1</c:v>
                </c:pt>
                <c:pt idx="14">
                  <c:v>2</c:v>
                </c:pt>
                <c:pt idx="15">
                  <c:v>3</c:v>
                </c:pt>
              </c:numCache>
            </c:numRef>
          </c:yVal>
          <c:bubbleSize>
            <c:numRef>
              <c:f>Planilha1!$C$2:$C$17</c:f>
              <c:numCache>
                <c:formatCode>General</c:formatCode>
                <c:ptCount val="16"/>
                <c:pt idx="0">
                  <c:v>77</c:v>
                </c:pt>
                <c:pt idx="1">
                  <c:v>131</c:v>
                </c:pt>
                <c:pt idx="2">
                  <c:v>62</c:v>
                </c:pt>
                <c:pt idx="3">
                  <c:v>10</c:v>
                </c:pt>
                <c:pt idx="4">
                  <c:v>114</c:v>
                </c:pt>
                <c:pt idx="5">
                  <c:v>140</c:v>
                </c:pt>
                <c:pt idx="6">
                  <c:v>65</c:v>
                </c:pt>
                <c:pt idx="7">
                  <c:v>48</c:v>
                </c:pt>
                <c:pt idx="8">
                  <c:v>42</c:v>
                </c:pt>
                <c:pt idx="9">
                  <c:v>206</c:v>
                </c:pt>
                <c:pt idx="10">
                  <c:v>78</c:v>
                </c:pt>
                <c:pt idx="11">
                  <c:v>43</c:v>
                </c:pt>
                <c:pt idx="12">
                  <c:v>56</c:v>
                </c:pt>
                <c:pt idx="13">
                  <c:v>165</c:v>
                </c:pt>
                <c:pt idx="14">
                  <c:v>35</c:v>
                </c:pt>
                <c:pt idx="15">
                  <c:v>26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0-429D-4543-BB5C-99B7197F2A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619083984"/>
        <c:axId val="619084816"/>
      </c:bubbleChart>
      <c:valAx>
        <c:axId val="61908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084816"/>
        <c:crosses val="autoZero"/>
        <c:crossBetween val="midCat"/>
      </c:valAx>
      <c:valAx>
        <c:axId val="619084816"/>
        <c:scaling>
          <c:orientation val="minMax"/>
          <c:max val="4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619083984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>
          <a:alpha val="75000"/>
        </a:schemeClr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>
            <a:alpha val="50000"/>
          </a:schemeClr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ABC8AF-FF89-4E7E-AAC5-FF2F8C83F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10</Pages>
  <Words>1287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Relatório: Radartona</vt:lpstr>
    </vt:vector>
  </TitlesOfParts>
  <Company/>
  <LinksUpToDate>false</LinksUpToDate>
  <CharactersWithSpaces>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Relatório: Radartona</dc:title>
  <dc:subject>Desafio 2 – Acurácia de radares</dc:subject>
  <dc:creator>ahmad forhat, carolina tomomi majima, marcos flávio fiuza</dc:creator>
  <cp:keywords/>
  <dc:description/>
  <cp:lastModifiedBy>carolina majima</cp:lastModifiedBy>
  <cp:revision>5</cp:revision>
  <dcterms:created xsi:type="dcterms:W3CDTF">2019-11-10T03:42:00Z</dcterms:created>
  <dcterms:modified xsi:type="dcterms:W3CDTF">2019-11-10T14:34:00Z</dcterms:modified>
</cp:coreProperties>
</file>