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>
          <w:rFonts w:ascii="Proxima Nova" w:cs="Proxima Nova" w:eastAsia="Proxima Nova" w:hAnsi="Proxima Nova"/>
        </w:rPr>
      </w:pPr>
      <w:bookmarkStart w:colFirst="0" w:colLast="0" w:name="_1yid89v8dvbu" w:id="0"/>
      <w:bookmarkEnd w:id="0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Pre-Workshop Materials</w:t>
      </w:r>
    </w:p>
    <w:p w:rsidR="00000000" w:rsidDel="00000000" w:rsidP="00000000" w:rsidRDefault="00000000" w:rsidRPr="00000000" w14:paraId="00000003">
      <w:pPr>
        <w:pStyle w:val="Heading3"/>
        <w:rPr>
          <w:rFonts w:ascii="Proxima Nova" w:cs="Proxima Nova" w:eastAsia="Proxima Nova" w:hAnsi="Proxima Nova"/>
        </w:rPr>
      </w:pPr>
      <w:bookmarkStart w:colFirst="0" w:colLast="0" w:name="_kd62dzkyok1x" w:id="1"/>
      <w:bookmarkEnd w:id="1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Here are some pre-workshop materials to get your neurons firing 🔥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4"/>
        <w:rPr>
          <w:rFonts w:ascii="Proxima Nova" w:cs="Proxima Nova" w:eastAsia="Proxima Nova" w:hAnsi="Proxima Nova"/>
          <w:b w:val="1"/>
        </w:rPr>
      </w:pPr>
      <w:bookmarkStart w:colFirst="0" w:colLast="0" w:name="_rgzce6sgmv1j" w:id="2"/>
      <w:bookmarkEnd w:id="2"/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Click the images below to view the web page.</w:t>
      </w:r>
    </w:p>
    <w:p w:rsidR="00000000" w:rsidDel="00000000" w:rsidP="00000000" w:rsidRDefault="00000000" w:rsidRPr="00000000" w14:paraId="00000005">
      <w:pPr>
        <w:pStyle w:val="Heading4"/>
        <w:rPr>
          <w:rFonts w:ascii="Proxima Nova" w:cs="Proxima Nova" w:eastAsia="Proxima Nova" w:hAnsi="Proxima Nova"/>
          <w:shd w:fill="d9d2e9" w:val="clear"/>
        </w:rPr>
      </w:pPr>
      <w:bookmarkStart w:colFirst="0" w:colLast="0" w:name="_eu86nb3lmqi4" w:id="3"/>
      <w:bookmarkEnd w:id="3"/>
      <w:r w:rsidDel="00000000" w:rsidR="00000000" w:rsidRPr="00000000">
        <w:rPr>
          <w:rFonts w:ascii="Proxima Nova" w:cs="Proxima Nova" w:eastAsia="Proxima Nova" w:hAnsi="Proxima Nova"/>
          <w:shd w:fill="d9d2e9" w:val="clear"/>
          <w:rtl w:val="0"/>
        </w:rPr>
        <w:t xml:space="preserve">If there’s a specific challenge you’d like to address in the session please email </w:t>
      </w:r>
      <w:hyperlink r:id="rId6">
        <w:r w:rsidDel="00000000" w:rsidR="00000000" w:rsidRPr="00000000">
          <w:rPr>
            <w:rFonts w:ascii="Proxima Nova" w:cs="Proxima Nova" w:eastAsia="Proxima Nova" w:hAnsi="Proxima Nova"/>
            <w:color w:val="1155cc"/>
            <w:u w:val="single"/>
            <w:shd w:fill="d9d2e9" w:val="clear"/>
            <w:rtl w:val="0"/>
          </w:rPr>
          <w:t xml:space="preserve">abadesi@hustlecrew.co</w:t>
        </w:r>
      </w:hyperlink>
      <w:r w:rsidDel="00000000" w:rsidR="00000000" w:rsidRPr="00000000">
        <w:rPr>
          <w:rFonts w:ascii="Proxima Nova" w:cs="Proxima Nova" w:eastAsia="Proxima Nova" w:hAnsi="Proxima Nova"/>
          <w:shd w:fill="d9d2e9" w:val="clear"/>
          <w:rtl w:val="0"/>
        </w:rPr>
        <w:t xml:space="preserve"> thanks!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3"/>
        <w:gridCol w:w="4513"/>
        <w:tblGridChange w:id="0">
          <w:tblGrid>
            <w:gridCol w:w="4513"/>
            <w:gridCol w:w="4513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ind w:left="0" w:firstLine="0"/>
              <w:rPr/>
            </w:pPr>
            <w:hyperlink r:id="rId7">
              <w:r w:rsidDel="00000000" w:rsidR="00000000" w:rsidRPr="00000000">
                <w:rPr>
                  <w:color w:val="1155cc"/>
                  <w:u w:val="single"/>
                </w:rPr>
                <w:drawing>
                  <wp:inline distB="114300" distT="114300" distL="114300" distR="114300">
                    <wp:extent cx="2724150" cy="1752600"/>
                    <wp:effectExtent b="0" l="0" r="0" t="0"/>
                    <wp:docPr id="4" name="image4.png"/>
                    <a:graphic>
                      <a:graphicData uri="http://schemas.openxmlformats.org/drawingml/2006/picture">
                        <pic:pic>
                          <pic:nvPicPr>
                            <pic:cNvPr id="0" name="image4.png"/>
                            <pic:cNvPicPr preferRelativeResize="0"/>
                          </pic:nvPicPr>
                          <pic:blipFill>
                            <a:blip r:embed="rId8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724150" cy="1752600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hyperlink r:id="rId9">
              <w:r w:rsidDel="00000000" w:rsidR="00000000" w:rsidRPr="00000000">
                <w:rPr>
                  <w:rFonts w:ascii="Proxima Nova" w:cs="Proxima Nova" w:eastAsia="Proxima Nova" w:hAnsi="Proxima Nova"/>
                  <w:color w:val="1155cc"/>
                  <w:u w:val="single"/>
                </w:rPr>
                <w:drawing>
                  <wp:inline distB="114300" distT="114300" distL="114300" distR="114300">
                    <wp:extent cx="2724150" cy="1574800"/>
                    <wp:effectExtent b="0" l="0" r="0" t="0"/>
                    <wp:docPr id="3" name="image2.png"/>
                    <a:graphic>
                      <a:graphicData uri="http://schemas.openxmlformats.org/drawingml/2006/picture">
                        <pic:pic>
                          <pic:nvPicPr>
                            <pic:cNvPr id="0" name="image2.png"/>
                            <pic:cNvPicPr preferRelativeResize="0"/>
                          </pic:nvPicPr>
                          <pic:blipFill>
                            <a:blip r:embed="rId10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724150" cy="1574800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How Culture Drives Behaviour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Reading time: 12 mins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Rethinking thinking: how the brain works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Watch time: 6 mins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hyperlink r:id="rId11">
              <w:r w:rsidDel="00000000" w:rsidR="00000000" w:rsidRPr="00000000">
                <w:rPr>
                  <w:rFonts w:ascii="Proxima Nova" w:cs="Proxima Nova" w:eastAsia="Proxima Nova" w:hAnsi="Proxima Nova"/>
                  <w:color w:val="1155cc"/>
                  <w:u w:val="single"/>
                </w:rPr>
                <w:drawing>
                  <wp:inline distB="114300" distT="114300" distL="114300" distR="114300">
                    <wp:extent cx="2724150" cy="1981200"/>
                    <wp:effectExtent b="0" l="0" r="0" t="0"/>
                    <wp:docPr id="5" name="image3.png"/>
                    <a:graphic>
                      <a:graphicData uri="http://schemas.openxmlformats.org/drawingml/2006/picture">
                        <pic:pic>
                          <pic:nvPicPr>
                            <pic:cNvPr id="0" name="image3.png"/>
                            <pic:cNvPicPr preferRelativeResize="0"/>
                          </pic:nvPicPr>
                          <pic:blipFill>
                            <a:blip r:embed="rId12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724150" cy="1981200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hyperlink r:id="rId13">
              <w:r w:rsidDel="00000000" w:rsidR="00000000" w:rsidRPr="00000000">
                <w:rPr>
                  <w:rFonts w:ascii="Proxima Nova" w:cs="Proxima Nova" w:eastAsia="Proxima Nova" w:hAnsi="Proxima Nova"/>
                  <w:color w:val="1155cc"/>
                  <w:u w:val="single"/>
                </w:rPr>
                <w:drawing>
                  <wp:inline distB="114300" distT="114300" distL="114300" distR="114300">
                    <wp:extent cx="2724150" cy="1409700"/>
                    <wp:effectExtent b="0" l="0" r="0" t="0"/>
                    <wp:docPr id="2" name="image1.png"/>
                    <a:graphic>
                      <a:graphicData uri="http://schemas.openxmlformats.org/drawingml/2006/picture">
                        <pic:pic>
                          <pic:nvPicPr>
                            <pic:cNvPr id="0" name="image1.png"/>
                            <pic:cNvPicPr preferRelativeResize="0"/>
                          </pic:nvPicPr>
                          <pic:blipFill>
                            <a:blip r:embed="rId14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724150" cy="1409700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Understanding My Privilege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Watch time: 13 mins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TED talk on why it’s so hard to discuss race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Watch time: 12 mins</w:t>
            </w:r>
          </w:p>
        </w:tc>
      </w:tr>
    </w:tbl>
    <w:p w:rsidR="00000000" w:rsidDel="00000000" w:rsidP="00000000" w:rsidRDefault="00000000" w:rsidRPr="00000000" w14:paraId="00000015">
      <w:pPr>
        <w:rPr>
          <w:rFonts w:ascii="Proxima Nova" w:cs="Proxima Nova" w:eastAsia="Proxima Nova" w:hAnsi="Proxima Nov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Agenda:</w:t>
      </w:r>
    </w:p>
    <w:p w:rsidR="00000000" w:rsidDel="00000000" w:rsidP="00000000" w:rsidRDefault="00000000" w:rsidRPr="00000000" w14:paraId="00000017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38.4583901773533"/>
        <w:gridCol w:w="1638.4583901773533"/>
        <w:gridCol w:w="5753.083219645294"/>
        <w:tblGridChange w:id="0">
          <w:tblGrid>
            <w:gridCol w:w="1638.4583901773533"/>
            <w:gridCol w:w="1638.4583901773533"/>
            <w:gridCol w:w="5753.083219645294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Start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End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  <w:b w:val="1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b w:val="1"/>
                <w:rtl w:val="0"/>
              </w:rPr>
              <w:t xml:space="preserve">Details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2.00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2.10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Check-in, Intros, Expectations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2.10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2.45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Discussing types of bias we find in the workplace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2.45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3.00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“Trusted Ten” activity and discussion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3.00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3.15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Inventory of identity activity and discussion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3.00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3.15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Sociology 101: Cycle of socialization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3.15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3.30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Anthropology 101: Iceberg model of culture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3.30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3.45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SPACE2 Model for anti-bias and anti-racism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3.45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4.00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roxima Nova" w:cs="Proxima Nova" w:eastAsia="Proxima Nova" w:hAnsi="Proxima Nova"/>
              </w:rPr>
            </w:pPr>
            <w:r w:rsidDel="00000000" w:rsidR="00000000" w:rsidRPr="00000000">
              <w:rPr>
                <w:rFonts w:ascii="Proxima Nova" w:cs="Proxima Nova" w:eastAsia="Proxima Nova" w:hAnsi="Proxima Nova"/>
                <w:rtl w:val="0"/>
              </w:rPr>
              <w:t xml:space="preserve">Q&amp;A, Statement of Accountability, Feedback </w:t>
            </w:r>
            <w:hyperlink r:id="rId15">
              <w:r w:rsidDel="00000000" w:rsidR="00000000" w:rsidRPr="00000000">
                <w:rPr>
                  <w:rFonts w:ascii="Proxima Nova" w:cs="Proxima Nova" w:eastAsia="Proxima Nova" w:hAnsi="Proxima Nova"/>
                  <w:color w:val="1155cc"/>
                  <w:u w:val="single"/>
                  <w:rtl w:val="0"/>
                </w:rPr>
                <w:t xml:space="preserve">https://bit.ly/hustlecrewvirtualfeedback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More content: </w:t>
      </w:r>
    </w:p>
    <w:p w:rsidR="00000000" w:rsidDel="00000000" w:rsidP="00000000" w:rsidRDefault="00000000" w:rsidRPr="00000000" w14:paraId="00000035">
      <w:pPr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TED Talk: </w:t>
      </w:r>
      <w:hyperlink r:id="rId16">
        <w:r w:rsidDel="00000000" w:rsidR="00000000" w:rsidRPr="00000000">
          <w:rPr>
            <w:rFonts w:ascii="Proxima Nova" w:cs="Proxima Nova" w:eastAsia="Proxima Nova" w:hAnsi="Proxima Nova"/>
            <w:color w:val="1155cc"/>
            <w:u w:val="single"/>
            <w:rtl w:val="0"/>
          </w:rPr>
          <w:t xml:space="preserve">Lessons on internalized racism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ind w:left="144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How to respond when underrepresented folks say problematic things about privilege and structural oppression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YouTube: </w:t>
      </w:r>
      <w:hyperlink r:id="rId17">
        <w:r w:rsidDel="00000000" w:rsidR="00000000" w:rsidRPr="00000000">
          <w:rPr>
            <w:rFonts w:ascii="Proxima Nova" w:cs="Proxima Nova" w:eastAsia="Proxima Nova" w:hAnsi="Proxima Nova"/>
            <w:color w:val="1155cc"/>
            <w:u w:val="single"/>
            <w:rtl w:val="0"/>
          </w:rPr>
          <w:t xml:space="preserve">Bell Hooks on Cultural Criticism and Transformation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ind w:left="144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How pop culture socializes us into roles that discriminate </w:t>
      </w:r>
      <w:r w:rsidDel="00000000" w:rsidR="00000000" w:rsidRPr="00000000">
        <w:rPr>
          <w:rtl w:val="0"/>
        </w:rPr>
      </w:r>
    </w:p>
    <w:sectPr>
      <w:headerReference r:id="rId18" w:type="default"/>
      <w:pgSz w:h="16838" w:w="11906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jc w:val="center"/>
      <w:rPr/>
    </w:pPr>
    <w:hyperlink r:id="rId1">
      <w:r w:rsidDel="00000000" w:rsidR="00000000" w:rsidRPr="00000000">
        <w:rPr>
          <w:color w:val="1155cc"/>
          <w:u w:val="single"/>
        </w:rPr>
        <w:drawing>
          <wp:inline distB="114300" distT="114300" distL="114300" distR="114300">
            <wp:extent cx="1057275" cy="105727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</w:hyperlink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youtube.com/watch?v=XlRxqC0Sze4" TargetMode="External"/><Relationship Id="rId10" Type="http://schemas.openxmlformats.org/officeDocument/2006/relationships/image" Target="media/image2.png"/><Relationship Id="rId13" Type="http://schemas.openxmlformats.org/officeDocument/2006/relationships/hyperlink" Target="https://youtu.be/MbdxeFcQtaU" TargetMode="Externa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d.ted.com/lessons/rethinking-thinking-trevor-maber" TargetMode="External"/><Relationship Id="rId15" Type="http://schemas.openxmlformats.org/officeDocument/2006/relationships/hyperlink" Target="https://bit.ly/hustlecrewvirtualfeedback" TargetMode="External"/><Relationship Id="rId14" Type="http://schemas.openxmlformats.org/officeDocument/2006/relationships/image" Target="media/image1.png"/><Relationship Id="rId17" Type="http://schemas.openxmlformats.org/officeDocument/2006/relationships/hyperlink" Target="https://www.youtube.com/watch?v=KLMVqnyTo_0" TargetMode="External"/><Relationship Id="rId16" Type="http://schemas.openxmlformats.org/officeDocument/2006/relationships/hyperlink" Target="https://www.youtube.com/watch?v=HF5K3J_Z8nk" TargetMode="External"/><Relationship Id="rId5" Type="http://schemas.openxmlformats.org/officeDocument/2006/relationships/styles" Target="styles.xml"/><Relationship Id="rId6" Type="http://schemas.openxmlformats.org/officeDocument/2006/relationships/hyperlink" Target="mailto:abadesi@hustlecrew.co" TargetMode="External"/><Relationship Id="rId18" Type="http://schemas.openxmlformats.org/officeDocument/2006/relationships/header" Target="header1.xml"/><Relationship Id="rId7" Type="http://schemas.openxmlformats.org/officeDocument/2006/relationships/hyperlink" Target="https://www.youtube.com/watch?v=l-Yy6poJ2zs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hyperlink" Target="http://www.hustlecrew.co" TargetMode="External"/><Relationship Id="rId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