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84208" w14:textId="0702119B" w:rsidR="00ED1C1F" w:rsidRPr="00CF0235" w:rsidRDefault="00ED1C1F" w:rsidP="005A5241">
      <w:pPr>
        <w:pStyle w:val="Title"/>
        <w:jc w:val="center"/>
        <w:rPr>
          <w:lang w:val="en-US"/>
        </w:rPr>
      </w:pPr>
      <w:r w:rsidRPr="00CF0235">
        <w:rPr>
          <w:lang w:val="en-US"/>
        </w:rPr>
        <w:t>Website Planning Document – Web Site “</w:t>
      </w:r>
      <w:proofErr w:type="spellStart"/>
      <w:r w:rsidR="00120B28">
        <w:rPr>
          <w:lang w:val="en-US"/>
        </w:rPr>
        <w:t>IntegraDeline</w:t>
      </w:r>
      <w:proofErr w:type="spellEnd"/>
      <w:r w:rsidRPr="00CF0235">
        <w:rPr>
          <w:lang w:val="en-US"/>
        </w:rPr>
        <w:t>”</w:t>
      </w:r>
    </w:p>
    <w:p w14:paraId="7F423224" w14:textId="02799B14" w:rsidR="00ED1C1F" w:rsidRPr="00CF0235" w:rsidRDefault="00ED1C1F" w:rsidP="00C8147A">
      <w:pPr>
        <w:pStyle w:val="Heading2"/>
        <w:numPr>
          <w:ilvl w:val="0"/>
          <w:numId w:val="17"/>
        </w:numPr>
        <w:ind w:left="426"/>
        <w:rPr>
          <w:lang w:val="en-US"/>
        </w:rPr>
      </w:pPr>
      <w:r w:rsidRPr="00CF0235">
        <w:rPr>
          <w:lang w:val="en-US"/>
        </w:rPr>
        <w:t>Statement of Purpose &amp; Goals</w:t>
      </w:r>
    </w:p>
    <w:p w14:paraId="298A7907" w14:textId="066B60B9" w:rsidR="00ED1C1F" w:rsidRPr="00CF0235" w:rsidRDefault="00ED1C1F" w:rsidP="00ED1C1F">
      <w:pPr>
        <w:rPr>
          <w:lang w:val="en-US"/>
        </w:rPr>
      </w:pPr>
      <w:r w:rsidRPr="00ED1C1F">
        <w:rPr>
          <w:b/>
          <w:bCs/>
          <w:lang w:val="en-US"/>
        </w:rPr>
        <w:t>Purpose:</w:t>
      </w:r>
      <w:r w:rsidRPr="00ED1C1F">
        <w:rPr>
          <w:lang w:val="en-US"/>
        </w:rPr>
        <w:br/>
      </w:r>
      <w:r w:rsidR="00120B28" w:rsidRPr="00120B28">
        <w:rPr>
          <w:lang w:val="en-US"/>
        </w:rPr>
        <w:t xml:space="preserve">To establish a digital platform that positions </w:t>
      </w:r>
      <w:proofErr w:type="spellStart"/>
      <w:r w:rsidR="00120B28" w:rsidRPr="00120B28">
        <w:rPr>
          <w:lang w:val="en-US"/>
        </w:rPr>
        <w:t>IntegraDeline</w:t>
      </w:r>
      <w:proofErr w:type="spellEnd"/>
      <w:r w:rsidR="00120B28" w:rsidRPr="00120B28">
        <w:rPr>
          <w:lang w:val="en-US"/>
        </w:rPr>
        <w:t xml:space="preserve"> as a leading provider of industrial automation, specialized software development, and electronic design solutions, delivering integrated systems that connect engineering, innovation, and operational efficiency.</w:t>
      </w:r>
    </w:p>
    <w:p w14:paraId="4051D563" w14:textId="7A39E8C7" w:rsidR="00ED1C1F" w:rsidRPr="00ED1C1F" w:rsidRDefault="00ED1C1F" w:rsidP="00ED1C1F">
      <w:pPr>
        <w:rPr>
          <w:lang w:val="en-US"/>
        </w:rPr>
      </w:pPr>
      <w:proofErr w:type="spellStart"/>
      <w:r w:rsidRPr="00CF0235">
        <w:rPr>
          <w:b/>
          <w:bCs/>
          <w:lang w:val="en-US"/>
        </w:rPr>
        <w:t>Objetives</w:t>
      </w:r>
      <w:proofErr w:type="spellEnd"/>
      <w:r w:rsidRPr="00ED1C1F">
        <w:rPr>
          <w:b/>
          <w:bCs/>
          <w:lang w:val="en-US"/>
        </w:rPr>
        <w:t xml:space="preserve"> (SMART):</w:t>
      </w: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2653"/>
        <w:gridCol w:w="4544"/>
        <w:gridCol w:w="1297"/>
      </w:tblGrid>
      <w:tr w:rsidR="00147748" w:rsidRPr="00CF0235" w14:paraId="702A9E99" w14:textId="77777777" w:rsidTr="002C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</w:tcPr>
          <w:p w14:paraId="57CBF27F" w14:textId="2E1346AC" w:rsidR="00147748" w:rsidRPr="00CF0235" w:rsidRDefault="00147748" w:rsidP="00147748">
            <w:pPr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Objectives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22CBAD" w14:textId="348B0E53" w:rsidR="00147748" w:rsidRPr="00CF0235" w:rsidRDefault="00147748" w:rsidP="00147748">
            <w:pPr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Metrics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EC8803" w14:textId="55B157D3" w:rsidR="00147748" w:rsidRPr="00CF0235" w:rsidRDefault="00147748" w:rsidP="00147748">
            <w:pPr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Timeframes</w:t>
            </w:r>
          </w:p>
        </w:tc>
      </w:tr>
      <w:tr w:rsidR="00147748" w:rsidRPr="00CF0235" w14:paraId="01F363B0" w14:textId="77777777" w:rsidTr="002C0B22">
        <w:tc>
          <w:tcPr>
            <w:tcW w:w="0" w:type="auto"/>
            <w:vAlign w:val="center"/>
          </w:tcPr>
          <w:p w14:paraId="17F36EFC" w14:textId="1D6B91AA" w:rsidR="00147748" w:rsidRPr="00227DD6" w:rsidRDefault="00C34703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Increase brand visibility in the industrial sector</w:t>
            </w:r>
          </w:p>
        </w:tc>
        <w:tc>
          <w:tcPr>
            <w:tcW w:w="0" w:type="auto"/>
            <w:vAlign w:val="center"/>
          </w:tcPr>
          <w:p w14:paraId="70F575DD" w14:textId="4F25428D" w:rsidR="00147748" w:rsidRPr="00227DD6" w:rsidRDefault="00C34703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Reach ≥ 20,000 monthly website visits and achieve a 50 % growth in professional interactions (LinkedIn, direct inquiries)</w:t>
            </w:r>
          </w:p>
        </w:tc>
        <w:tc>
          <w:tcPr>
            <w:tcW w:w="0" w:type="auto"/>
            <w:vAlign w:val="center"/>
          </w:tcPr>
          <w:p w14:paraId="13B78198" w14:textId="2BD93986" w:rsidR="00147748" w:rsidRPr="00227DD6" w:rsidRDefault="00147748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6 months</w:t>
            </w:r>
          </w:p>
        </w:tc>
      </w:tr>
      <w:tr w:rsidR="00147748" w:rsidRPr="00CF0235" w14:paraId="4DC30C92" w14:textId="77777777" w:rsidTr="002C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vAlign w:val="center"/>
          </w:tcPr>
          <w:p w14:paraId="445236FD" w14:textId="05972946" w:rsidR="00147748" w:rsidRPr="00227DD6" w:rsidRDefault="00D65E15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Generate business opportunities through the website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14723C" w14:textId="147AB2C4" w:rsidR="00147748" w:rsidRPr="00227DD6" w:rsidRDefault="00D65E15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Conversion rate ≥ 8 % from contact forms or technical inquiries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F37F9" w14:textId="5D64F32C" w:rsidR="00147748" w:rsidRPr="00227DD6" w:rsidRDefault="00147748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12 months</w:t>
            </w:r>
          </w:p>
        </w:tc>
      </w:tr>
      <w:tr w:rsidR="00147748" w:rsidRPr="00CF0235" w14:paraId="3D290ED7" w14:textId="77777777" w:rsidTr="002C0B22">
        <w:tc>
          <w:tcPr>
            <w:tcW w:w="0" w:type="auto"/>
            <w:vAlign w:val="center"/>
          </w:tcPr>
          <w:p w14:paraId="5E52DF87" w14:textId="2ECFA1A7" w:rsidR="00147748" w:rsidRPr="00227DD6" w:rsidRDefault="005416EB" w:rsidP="009D1748">
            <w:pPr>
              <w:rPr>
                <w:lang w:val="en-US"/>
              </w:rPr>
            </w:pPr>
            <w:proofErr w:type="gramStart"/>
            <w:r w:rsidRPr="00227DD6">
              <w:rPr>
                <w:lang w:val="en-US"/>
              </w:rPr>
              <w:t>Promote</w:t>
            </w:r>
            <w:proofErr w:type="gramEnd"/>
            <w:r w:rsidRPr="00227DD6">
              <w:rPr>
                <w:lang w:val="en-US"/>
              </w:rPr>
              <w:t xml:space="preserve"> digital integration in industrial environments</w:t>
            </w:r>
          </w:p>
        </w:tc>
        <w:tc>
          <w:tcPr>
            <w:tcW w:w="0" w:type="auto"/>
            <w:vAlign w:val="center"/>
          </w:tcPr>
          <w:p w14:paraId="2C56248C" w14:textId="2464F135" w:rsidR="00147748" w:rsidRPr="00227DD6" w:rsidRDefault="005416EB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Deliver ≥ 15 customized industrial automation or software projects</w:t>
            </w:r>
          </w:p>
        </w:tc>
        <w:tc>
          <w:tcPr>
            <w:tcW w:w="0" w:type="auto"/>
            <w:vAlign w:val="center"/>
          </w:tcPr>
          <w:p w14:paraId="7FC4D4EA" w14:textId="68450859" w:rsidR="00147748" w:rsidRPr="00227DD6" w:rsidRDefault="00147748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12 months</w:t>
            </w:r>
          </w:p>
        </w:tc>
      </w:tr>
      <w:tr w:rsidR="00147748" w:rsidRPr="00CF0235" w14:paraId="0C7125B7" w14:textId="77777777" w:rsidTr="002C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vAlign w:val="center"/>
          </w:tcPr>
          <w:p w14:paraId="58836F3E" w14:textId="263FE762" w:rsidR="00147748" w:rsidRPr="00227DD6" w:rsidRDefault="00A32886" w:rsidP="009D1748">
            <w:pPr>
              <w:rPr>
                <w:lang w:val="en-US"/>
              </w:rPr>
            </w:pPr>
            <w:proofErr w:type="gramStart"/>
            <w:r w:rsidRPr="00227DD6">
              <w:rPr>
                <w:lang w:val="en-US"/>
              </w:rPr>
              <w:t>Strengthen</w:t>
            </w:r>
            <w:proofErr w:type="gramEnd"/>
            <w:r w:rsidRPr="00227DD6">
              <w:rPr>
                <w:lang w:val="en-US"/>
              </w:rPr>
              <w:t xml:space="preserve"> technical and educational presence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F8274" w14:textId="6498F87E" w:rsidR="00147748" w:rsidRPr="00227DD6" w:rsidRDefault="00A32886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Publish ≥ 24 technical articles or case studies on the blog (2/month) with NPS ≥ 75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4C6952" w14:textId="19911983" w:rsidR="00147748" w:rsidRPr="00227DD6" w:rsidRDefault="00A32886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12 months</w:t>
            </w:r>
          </w:p>
        </w:tc>
      </w:tr>
      <w:tr w:rsidR="00A32886" w:rsidRPr="00EB09DB" w14:paraId="3701E105" w14:textId="77777777" w:rsidTr="002C0B22">
        <w:tc>
          <w:tcPr>
            <w:tcW w:w="0" w:type="auto"/>
            <w:vAlign w:val="center"/>
          </w:tcPr>
          <w:p w14:paraId="6DE34B5D" w14:textId="55E6217F" w:rsidR="00A32886" w:rsidRPr="00227DD6" w:rsidRDefault="00EB09DB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Optimize performance and user experience</w:t>
            </w:r>
          </w:p>
        </w:tc>
        <w:tc>
          <w:tcPr>
            <w:tcW w:w="0" w:type="auto"/>
            <w:vAlign w:val="center"/>
          </w:tcPr>
          <w:p w14:paraId="43CF107E" w14:textId="5424723D" w:rsidR="00A32886" w:rsidRPr="00227DD6" w:rsidRDefault="00EB09DB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Website load time &lt; 3 s and bounce rate ≤ 35 %</w:t>
            </w:r>
          </w:p>
        </w:tc>
        <w:tc>
          <w:tcPr>
            <w:tcW w:w="0" w:type="auto"/>
            <w:vAlign w:val="center"/>
          </w:tcPr>
          <w:p w14:paraId="79B88637" w14:textId="2060FBDB" w:rsidR="00A32886" w:rsidRPr="00227DD6" w:rsidRDefault="00EB09DB" w:rsidP="009D1748">
            <w:pPr>
              <w:rPr>
                <w:lang w:val="en-US"/>
              </w:rPr>
            </w:pPr>
            <w:r w:rsidRPr="00227DD6">
              <w:rPr>
                <w:lang w:val="en-US"/>
              </w:rPr>
              <w:t>3 months</w:t>
            </w:r>
          </w:p>
        </w:tc>
      </w:tr>
    </w:tbl>
    <w:p w14:paraId="17ED3A7B" w14:textId="77777777" w:rsidR="002D1C48" w:rsidRPr="00CF0235" w:rsidRDefault="002D1C48" w:rsidP="002D1C48">
      <w:pPr>
        <w:rPr>
          <w:lang w:val="en-US"/>
        </w:rPr>
      </w:pPr>
    </w:p>
    <w:p w14:paraId="0A0D4190" w14:textId="065D514C" w:rsidR="00ED1C1F" w:rsidRPr="00CF0235" w:rsidRDefault="00ED1C1F" w:rsidP="00C8147A">
      <w:pPr>
        <w:pStyle w:val="Heading2"/>
        <w:numPr>
          <w:ilvl w:val="0"/>
          <w:numId w:val="17"/>
        </w:numPr>
        <w:ind w:left="426"/>
        <w:rPr>
          <w:lang w:val="en-US"/>
        </w:rPr>
      </w:pPr>
      <w:r w:rsidRPr="00CF0235">
        <w:rPr>
          <w:lang w:val="en-US"/>
        </w:rPr>
        <w:t>Definition of the Target Audience</w:t>
      </w:r>
    </w:p>
    <w:p w14:paraId="3998F1C0" w14:textId="2E963C3E" w:rsidR="00ED1C1F" w:rsidRDefault="00E50359" w:rsidP="00374461">
      <w:pPr>
        <w:rPr>
          <w:rFonts w:ascii="Calibri" w:hAnsi="Calibri" w:cs="Calibri"/>
          <w:color w:val="000000"/>
          <w:lang w:val="en-US"/>
        </w:rPr>
      </w:pPr>
      <w:r w:rsidRPr="00E50359">
        <w:rPr>
          <w:rFonts w:ascii="Calibri" w:hAnsi="Calibri" w:cs="Calibri"/>
          <w:color w:val="000000"/>
          <w:lang w:val="en-US"/>
        </w:rPr>
        <w:t>The website targets companies and professionals seeking innovative, reliable, and efficient industrial solutions, integrating automation systems, custom software, and electronic design to optimize operations and drive digital transformation.</w:t>
      </w:r>
    </w:p>
    <w:p w14:paraId="7F253372" w14:textId="77777777" w:rsidR="003E0CE2" w:rsidRPr="00CF0235" w:rsidRDefault="003E0CE2" w:rsidP="00374461">
      <w:pPr>
        <w:rPr>
          <w:lang w:val="en-US"/>
        </w:rPr>
      </w:pPr>
    </w:p>
    <w:tbl>
      <w:tblPr>
        <w:tblW w:w="0" w:type="auto"/>
        <w:tblBorders>
          <w:top w:val="single" w:sz="6" w:space="0" w:color="AEAAAA" w:themeColor="background2" w:themeShade="BF"/>
          <w:left w:val="single" w:sz="6" w:space="0" w:color="AEAAAA" w:themeColor="background2" w:themeShade="BF"/>
          <w:bottom w:val="single" w:sz="6" w:space="0" w:color="AEAAAA" w:themeColor="background2" w:themeShade="BF"/>
          <w:right w:val="single" w:sz="6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197"/>
        <w:gridCol w:w="2275"/>
        <w:gridCol w:w="2614"/>
      </w:tblGrid>
      <w:tr w:rsidR="00502492" w:rsidRPr="00CF0235" w14:paraId="305352D4" w14:textId="77777777" w:rsidTr="00FF227B">
        <w:trPr>
          <w:tblHeader/>
        </w:trPr>
        <w:tc>
          <w:tcPr>
            <w:tcW w:w="2402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F34AF" w14:textId="0AD2009B" w:rsidR="00ED1C1F" w:rsidRPr="00ED1C1F" w:rsidRDefault="004C4353" w:rsidP="00597A2E">
            <w:pPr>
              <w:spacing w:after="0" w:line="240" w:lineRule="auto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Segments</w:t>
            </w:r>
          </w:p>
        </w:tc>
        <w:tc>
          <w:tcPr>
            <w:tcW w:w="1197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4E090" w14:textId="5717FA68" w:rsidR="00ED1C1F" w:rsidRPr="00ED1C1F" w:rsidRDefault="004C4353" w:rsidP="00597A2E">
            <w:pPr>
              <w:spacing w:after="0" w:line="240" w:lineRule="auto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Age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7B6A0" w14:textId="77CF73F7" w:rsidR="00ED1C1F" w:rsidRPr="00ED1C1F" w:rsidRDefault="004C4353" w:rsidP="00597A2E">
            <w:pPr>
              <w:spacing w:after="0" w:line="240" w:lineRule="auto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Profession</w:t>
            </w:r>
            <w:r w:rsidR="00ED1C1F" w:rsidRPr="00ED1C1F">
              <w:rPr>
                <w:b/>
                <w:bCs/>
                <w:lang w:val="en-US"/>
              </w:rPr>
              <w:t xml:space="preserve"> / </w:t>
            </w:r>
            <w:r w:rsidR="00597A2E" w:rsidRPr="00CF0235">
              <w:rPr>
                <w:b/>
                <w:bCs/>
                <w:lang w:val="en-US"/>
              </w:rPr>
              <w:t>Lifestyle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5E874" w14:textId="7EDE4067" w:rsidR="00ED1C1F" w:rsidRPr="00CF0235" w:rsidRDefault="00597A2E" w:rsidP="00597A2E">
            <w:pPr>
              <w:spacing w:after="0" w:line="240" w:lineRule="auto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Key needs</w:t>
            </w:r>
          </w:p>
        </w:tc>
      </w:tr>
      <w:tr w:rsidR="00502492" w:rsidRPr="00120B28" w14:paraId="592805C0" w14:textId="77777777" w:rsidTr="00FF227B">
        <w:tc>
          <w:tcPr>
            <w:tcW w:w="2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D5AB2" w14:textId="62351B0F" w:rsidR="00ED1C1F" w:rsidRPr="00391CCC" w:rsidRDefault="00FF227B" w:rsidP="00380D43">
            <w:pPr>
              <w:spacing w:after="0" w:line="240" w:lineRule="auto"/>
              <w:rPr>
                <w:lang w:val="en-US"/>
              </w:rPr>
            </w:pPr>
            <w:r w:rsidRPr="00391CCC">
              <w:rPr>
                <w:lang w:val="en-US"/>
              </w:rPr>
              <w:t>Industrial Engineers &amp; Automation Specialists</w:t>
            </w:r>
          </w:p>
        </w:tc>
        <w:tc>
          <w:tcPr>
            <w:tcW w:w="1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D23AC" w14:textId="12E5FB3B" w:rsidR="00ED1C1F" w:rsidRPr="00391CCC" w:rsidRDefault="00FF227B" w:rsidP="00380D43">
            <w:pPr>
              <w:spacing w:after="0" w:line="240" w:lineRule="auto"/>
              <w:rPr>
                <w:lang w:val="en-US"/>
              </w:rPr>
            </w:pPr>
            <w:r w:rsidRPr="00391CCC">
              <w:rPr>
                <w:lang w:val="en-US"/>
              </w:rPr>
              <w:t xml:space="preserve">25 </w:t>
            </w:r>
            <w:r w:rsidR="0081775F">
              <w:rPr>
                <w:lang w:val="en-US"/>
              </w:rPr>
              <w:t>-</w:t>
            </w:r>
            <w:r w:rsidRPr="00391CCC">
              <w:rPr>
                <w:lang w:val="en-US"/>
              </w:rPr>
              <w:t xml:space="preserve"> 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E627D" w14:textId="17B78203" w:rsidR="00ED1C1F" w:rsidRPr="00391CCC" w:rsidRDefault="00391CCC" w:rsidP="00380D43">
            <w:pPr>
              <w:spacing w:after="0" w:line="240" w:lineRule="auto"/>
              <w:rPr>
                <w:lang w:val="en-US"/>
              </w:rPr>
            </w:pPr>
            <w:r w:rsidRPr="00391CCC">
              <w:rPr>
                <w:lang w:val="en-US"/>
              </w:rPr>
              <w:t>Manufacturing, process control, industrial maintenance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5298E" w14:textId="79C16EBD" w:rsidR="00ED1C1F" w:rsidRPr="00391CCC" w:rsidRDefault="00391CCC" w:rsidP="00380D43">
            <w:pPr>
              <w:spacing w:after="0" w:line="240" w:lineRule="auto"/>
              <w:rPr>
                <w:lang w:val="en-US"/>
              </w:rPr>
            </w:pPr>
            <w:r w:rsidRPr="00391CCC">
              <w:rPr>
                <w:lang w:val="en-US"/>
              </w:rPr>
              <w:t>Scalable automation solutions, PLC/SCADA integration, system optimization</w:t>
            </w:r>
          </w:p>
        </w:tc>
      </w:tr>
      <w:tr w:rsidR="00502492" w:rsidRPr="00120B28" w14:paraId="4BA279A1" w14:textId="77777777" w:rsidTr="00FF227B">
        <w:tc>
          <w:tcPr>
            <w:tcW w:w="2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1766E" w14:textId="5B1B1712" w:rsidR="00ED1C1F" w:rsidRPr="00FC291F" w:rsidRDefault="0081775F" w:rsidP="00380D43">
            <w:pPr>
              <w:spacing w:after="0" w:line="240" w:lineRule="auto"/>
              <w:rPr>
                <w:lang w:val="en-US"/>
              </w:rPr>
            </w:pPr>
            <w:r w:rsidRPr="00FC291F">
              <w:rPr>
                <w:lang w:val="en-US"/>
              </w:rPr>
              <w:t>Software &amp; IT Managers</w:t>
            </w:r>
          </w:p>
        </w:tc>
        <w:tc>
          <w:tcPr>
            <w:tcW w:w="1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95870" w14:textId="577F84F1" w:rsidR="00ED1C1F" w:rsidRPr="00FC291F" w:rsidRDefault="00ED1C1F" w:rsidP="00380D43">
            <w:pPr>
              <w:spacing w:after="0" w:line="240" w:lineRule="auto"/>
              <w:rPr>
                <w:lang w:val="en-US"/>
              </w:rPr>
            </w:pPr>
            <w:r w:rsidRPr="00FC291F">
              <w:rPr>
                <w:lang w:val="en-US"/>
              </w:rPr>
              <w:t>2</w:t>
            </w:r>
            <w:r w:rsidR="0081775F" w:rsidRPr="00FC291F">
              <w:rPr>
                <w:lang w:val="en-US"/>
              </w:rPr>
              <w:t xml:space="preserve">5 </w:t>
            </w:r>
            <w:r w:rsidRPr="00FC291F">
              <w:rPr>
                <w:lang w:val="en-US"/>
              </w:rPr>
              <w:noBreakHyphen/>
            </w:r>
            <w:r w:rsidR="0081775F" w:rsidRPr="00FC291F">
              <w:rPr>
                <w:lang w:val="en-US"/>
              </w:rPr>
              <w:t xml:space="preserve"> </w:t>
            </w:r>
            <w:r w:rsidRPr="00FC291F">
              <w:rPr>
                <w:lang w:val="en-US"/>
              </w:rPr>
              <w:t>5</w:t>
            </w:r>
            <w:r w:rsidR="0081775F" w:rsidRPr="00FC291F">
              <w:rPr>
                <w:lang w:val="en-US"/>
              </w:rPr>
              <w:t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2B1E8" w14:textId="7A757F81" w:rsidR="00ED1C1F" w:rsidRPr="00FC291F" w:rsidRDefault="00FC291F" w:rsidP="00380D43">
            <w:pPr>
              <w:spacing w:after="0" w:line="240" w:lineRule="auto"/>
              <w:rPr>
                <w:lang w:val="en-US"/>
              </w:rPr>
            </w:pPr>
            <w:r w:rsidRPr="00FC291F">
              <w:rPr>
                <w:lang w:val="en-US"/>
              </w:rPr>
              <w:t>Technology, operations, industrial 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291F" w:rsidRPr="00FC291F" w14:paraId="5F04FAF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E6CE9" w14:textId="77777777" w:rsidR="00FC291F" w:rsidRPr="00FC291F" w:rsidRDefault="00FC291F" w:rsidP="00FC291F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5D1BB04A" w14:textId="77777777" w:rsidR="00FC291F" w:rsidRPr="00FC291F" w:rsidRDefault="00FC291F" w:rsidP="00FC291F">
            <w:pPr>
              <w:spacing w:after="0" w:line="240" w:lineRule="auto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4"/>
            </w:tblGrid>
            <w:tr w:rsidR="00FC291F" w:rsidRPr="00FC291F" w14:paraId="5BCBEF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6DE54" w14:textId="77777777" w:rsidR="00FC291F" w:rsidRPr="00FC291F" w:rsidRDefault="00FC291F" w:rsidP="00FC291F">
                  <w:pPr>
                    <w:spacing w:after="0" w:line="240" w:lineRule="auto"/>
                    <w:rPr>
                      <w:lang w:val="en-US"/>
                    </w:rPr>
                  </w:pPr>
                  <w:r w:rsidRPr="00FC291F">
                    <w:rPr>
                      <w:lang w:val="en-US"/>
                    </w:rPr>
                    <w:t>Secure industrial software, data connectivity, integration with existing systems</w:t>
                  </w:r>
                </w:p>
              </w:tc>
            </w:tr>
          </w:tbl>
          <w:p w14:paraId="050FD672" w14:textId="3C163AE6" w:rsidR="00ED1C1F" w:rsidRPr="00FC291F" w:rsidRDefault="00ED1C1F" w:rsidP="00380D43">
            <w:pPr>
              <w:spacing w:after="0" w:line="240" w:lineRule="auto"/>
              <w:rPr>
                <w:lang w:val="en-US"/>
              </w:rPr>
            </w:pPr>
          </w:p>
        </w:tc>
      </w:tr>
      <w:tr w:rsidR="00502492" w:rsidRPr="00120B28" w14:paraId="422603A5" w14:textId="77777777" w:rsidTr="00FF227B">
        <w:tc>
          <w:tcPr>
            <w:tcW w:w="2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0E164" w14:textId="6B72525F" w:rsidR="00ED1C1F" w:rsidRPr="00DF3F83" w:rsidRDefault="00656391" w:rsidP="00380D43">
            <w:pPr>
              <w:spacing w:after="0" w:line="240" w:lineRule="auto"/>
              <w:rPr>
                <w:lang w:val="en-US"/>
              </w:rPr>
            </w:pPr>
            <w:r w:rsidRPr="00DF3F83">
              <w:rPr>
                <w:lang w:val="en-US"/>
              </w:rPr>
              <w:t>Electronics Designers &amp; R&amp;D Teams</w:t>
            </w:r>
          </w:p>
        </w:tc>
        <w:tc>
          <w:tcPr>
            <w:tcW w:w="1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3933F" w14:textId="34F5E8B4" w:rsidR="00ED1C1F" w:rsidRPr="00DF3F83" w:rsidRDefault="00656391" w:rsidP="00380D43">
            <w:pPr>
              <w:spacing w:after="0" w:line="240" w:lineRule="auto"/>
              <w:rPr>
                <w:lang w:val="en-US"/>
              </w:rPr>
            </w:pPr>
            <w:r w:rsidRPr="00DF3F83">
              <w:rPr>
                <w:lang w:val="en-US"/>
              </w:rPr>
              <w:t>22 – 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48A29" w14:textId="23DBE4E7" w:rsidR="00ED1C1F" w:rsidRPr="00DF3F83" w:rsidRDefault="00DF3F83" w:rsidP="00380D43">
            <w:pPr>
              <w:spacing w:after="0" w:line="240" w:lineRule="auto"/>
              <w:rPr>
                <w:lang w:val="en-US"/>
              </w:rPr>
            </w:pPr>
            <w:r w:rsidRPr="00DF3F83">
              <w:rPr>
                <w:lang w:val="en-US"/>
              </w:rPr>
              <w:t>Engineering departments, industrial innovation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54286" w14:textId="54DB27AA" w:rsidR="00ED1C1F" w:rsidRPr="00DF3F83" w:rsidRDefault="00DF3F83" w:rsidP="00380D43">
            <w:pPr>
              <w:spacing w:after="0" w:line="240" w:lineRule="auto"/>
              <w:rPr>
                <w:lang w:val="en-US"/>
              </w:rPr>
            </w:pPr>
            <w:r w:rsidRPr="00DF3F83">
              <w:rPr>
                <w:lang w:val="en-US"/>
              </w:rPr>
              <w:t>PCB design, embedded systems, sensor integration, prototyping</w:t>
            </w:r>
          </w:p>
        </w:tc>
      </w:tr>
      <w:tr w:rsidR="00DF3F83" w:rsidRPr="00120B28" w14:paraId="6CE852AE" w14:textId="77777777" w:rsidTr="00FF227B">
        <w:tc>
          <w:tcPr>
            <w:tcW w:w="2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4233CE" w14:textId="5821C2C9" w:rsidR="00DF3F83" w:rsidRPr="006D5247" w:rsidRDefault="006D5247" w:rsidP="00380D43">
            <w:pPr>
              <w:spacing w:after="0" w:line="240" w:lineRule="auto"/>
              <w:rPr>
                <w:lang w:val="en-US"/>
              </w:rPr>
            </w:pPr>
            <w:r w:rsidRPr="006D5247">
              <w:rPr>
                <w:lang w:val="en-US"/>
              </w:rPr>
              <w:lastRenderedPageBreak/>
              <w:t>Company Owners &amp; Operations Directors</w:t>
            </w:r>
          </w:p>
        </w:tc>
        <w:tc>
          <w:tcPr>
            <w:tcW w:w="1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CA45D2" w14:textId="705EEBB8" w:rsidR="00DF3F83" w:rsidRPr="006D5247" w:rsidRDefault="006D5247" w:rsidP="00380D43">
            <w:pPr>
              <w:spacing w:after="0" w:line="240" w:lineRule="auto"/>
              <w:rPr>
                <w:lang w:val="en-US"/>
              </w:rPr>
            </w:pPr>
            <w:r w:rsidRPr="006D5247">
              <w:rPr>
                <w:lang w:val="en-US"/>
              </w:rPr>
              <w:t>30 – 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E556E9" w14:textId="5C4E8593" w:rsidR="00DF3F83" w:rsidRPr="006D5247" w:rsidRDefault="006D5247" w:rsidP="00380D43">
            <w:pPr>
              <w:spacing w:after="0" w:line="240" w:lineRule="auto"/>
              <w:rPr>
                <w:lang w:val="en-US"/>
              </w:rPr>
            </w:pPr>
            <w:r w:rsidRPr="006D5247">
              <w:rPr>
                <w:lang w:val="en-US"/>
              </w:rPr>
              <w:t>Manufacturing, energy, and service industries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442FBD" w14:textId="03BA5711" w:rsidR="00DF3F83" w:rsidRPr="006D5247" w:rsidRDefault="006D5247" w:rsidP="00380D43">
            <w:pPr>
              <w:spacing w:after="0" w:line="240" w:lineRule="auto"/>
              <w:rPr>
                <w:lang w:val="en-US"/>
              </w:rPr>
            </w:pPr>
            <w:r w:rsidRPr="006D5247">
              <w:rPr>
                <w:lang w:val="en-US"/>
              </w:rPr>
              <w:t>Increased productivity, cost reduction, remote monitoring, and digital transformation</w:t>
            </w:r>
          </w:p>
        </w:tc>
      </w:tr>
      <w:tr w:rsidR="003E0CE2" w:rsidRPr="00120B28" w14:paraId="1FE4839B" w14:textId="77777777" w:rsidTr="00FF227B">
        <w:tc>
          <w:tcPr>
            <w:tcW w:w="24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003308" w14:textId="2272B508" w:rsidR="003E0CE2" w:rsidRPr="00952E57" w:rsidRDefault="003E0CE2" w:rsidP="00380D43">
            <w:pPr>
              <w:spacing w:after="0" w:line="240" w:lineRule="auto"/>
              <w:rPr>
                <w:lang w:val="en-US"/>
              </w:rPr>
            </w:pPr>
            <w:r w:rsidRPr="00952E57">
              <w:rPr>
                <w:lang w:val="en-US"/>
              </w:rPr>
              <w:t>Technical Students &amp; Professionals in Training</w:t>
            </w:r>
          </w:p>
        </w:tc>
        <w:tc>
          <w:tcPr>
            <w:tcW w:w="11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B2752D" w14:textId="476C642E" w:rsidR="003E0CE2" w:rsidRPr="00952E57" w:rsidRDefault="00952E57" w:rsidP="00380D43">
            <w:pPr>
              <w:spacing w:after="0" w:line="240" w:lineRule="auto"/>
              <w:rPr>
                <w:lang w:val="en-US"/>
              </w:rPr>
            </w:pPr>
            <w:r w:rsidRPr="00952E57">
              <w:rPr>
                <w:lang w:val="en-US"/>
              </w:rPr>
              <w:t>18 – 35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460CD3" w14:textId="757ECCF9" w:rsidR="003E0CE2" w:rsidRPr="00952E57" w:rsidRDefault="00952E57" w:rsidP="00380D43">
            <w:pPr>
              <w:spacing w:after="0" w:line="240" w:lineRule="auto"/>
              <w:rPr>
                <w:lang w:val="en-US"/>
              </w:rPr>
            </w:pPr>
            <w:r w:rsidRPr="00952E57">
              <w:rPr>
                <w:lang w:val="en-US"/>
              </w:rPr>
              <w:t>Technical institutes, universities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6CD73" w14:textId="7B943688" w:rsidR="003E0CE2" w:rsidRPr="00952E57" w:rsidRDefault="00952E57" w:rsidP="00380D43">
            <w:pPr>
              <w:spacing w:after="0" w:line="240" w:lineRule="auto"/>
              <w:rPr>
                <w:lang w:val="en-US"/>
              </w:rPr>
            </w:pPr>
            <w:r w:rsidRPr="00952E57">
              <w:rPr>
                <w:lang w:val="en-US"/>
              </w:rPr>
              <w:t>Access to educational resources, tutorials, and applied engineering content</w:t>
            </w:r>
          </w:p>
        </w:tc>
      </w:tr>
    </w:tbl>
    <w:p w14:paraId="4766992C" w14:textId="1DF9CCEC" w:rsidR="00ED1C1F" w:rsidRPr="00ED1C1F" w:rsidRDefault="00ED1C1F" w:rsidP="00ED1C1F">
      <w:pPr>
        <w:rPr>
          <w:lang w:val="en-US"/>
        </w:rPr>
      </w:pPr>
    </w:p>
    <w:p w14:paraId="460F0AB8" w14:textId="1F96E0E9" w:rsidR="00ED1C1F" w:rsidRPr="00CF0235" w:rsidRDefault="00D06742" w:rsidP="00C8147A">
      <w:pPr>
        <w:pStyle w:val="Heading2"/>
        <w:numPr>
          <w:ilvl w:val="0"/>
          <w:numId w:val="17"/>
        </w:numPr>
        <w:ind w:left="426"/>
        <w:rPr>
          <w:lang w:val="en-US"/>
        </w:rPr>
      </w:pPr>
      <w:r w:rsidRPr="00CF0235">
        <w:rPr>
          <w:lang w:val="en-US"/>
        </w:rPr>
        <w:t>People &amp; Scenarios</w:t>
      </w:r>
    </w:p>
    <w:p w14:paraId="4A1B1799" w14:textId="69A777F4" w:rsidR="00ED1C1F" w:rsidRPr="00CF0235" w:rsidRDefault="00ED1C1F" w:rsidP="00220D32">
      <w:pPr>
        <w:pStyle w:val="Heading3"/>
        <w:numPr>
          <w:ilvl w:val="1"/>
          <w:numId w:val="17"/>
        </w:numPr>
        <w:rPr>
          <w:lang w:val="en-US"/>
        </w:rPr>
      </w:pPr>
      <w:r w:rsidRPr="00CF0235">
        <w:rPr>
          <w:lang w:val="en-US"/>
        </w:rPr>
        <w:t>Personas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737"/>
        <w:gridCol w:w="1921"/>
        <w:gridCol w:w="1901"/>
        <w:gridCol w:w="2188"/>
      </w:tblGrid>
      <w:tr w:rsidR="00374461" w:rsidRPr="00CF0235" w14:paraId="5094D1ED" w14:textId="77777777" w:rsidTr="00CF0235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EA185" w14:textId="77777777" w:rsidR="00374461" w:rsidRPr="00CF0235" w:rsidRDefault="00374461" w:rsidP="00C70359">
            <w:pPr>
              <w:spacing w:after="0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7586A" w14:textId="77777777" w:rsidR="00374461" w:rsidRPr="00CF0235" w:rsidRDefault="00374461" w:rsidP="00C70359">
            <w:pPr>
              <w:spacing w:after="0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Age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79FF7" w14:textId="77777777" w:rsidR="00374461" w:rsidRPr="00CF0235" w:rsidRDefault="00374461" w:rsidP="00C70359">
            <w:pPr>
              <w:spacing w:after="0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Occupation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0AF2F" w14:textId="77777777" w:rsidR="00374461" w:rsidRPr="00CF0235" w:rsidRDefault="00374461" w:rsidP="00C70359">
            <w:pPr>
              <w:spacing w:after="0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Motivations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D59A4" w14:textId="77777777" w:rsidR="00374461" w:rsidRPr="00CF0235" w:rsidRDefault="00374461" w:rsidP="00C70359">
            <w:pPr>
              <w:spacing w:after="0"/>
              <w:rPr>
                <w:b/>
                <w:bCs/>
                <w:lang w:val="en-US"/>
              </w:rPr>
            </w:pPr>
            <w:r w:rsidRPr="00CF0235">
              <w:rPr>
                <w:b/>
                <w:bCs/>
                <w:lang w:val="en-US"/>
              </w:rPr>
              <w:t>Pain Points</w:t>
            </w:r>
          </w:p>
        </w:tc>
      </w:tr>
      <w:tr w:rsidR="00374461" w:rsidRPr="00120B28" w14:paraId="4B147AE3" w14:textId="77777777" w:rsidTr="00C703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659EB" w14:textId="6D343518" w:rsidR="00374461" w:rsidRPr="00D014AD" w:rsidRDefault="00461018" w:rsidP="00C70359">
            <w:pPr>
              <w:spacing w:after="0"/>
              <w:rPr>
                <w:lang w:val="en-US"/>
              </w:rPr>
            </w:pPr>
            <w:r w:rsidRPr="00D014AD">
              <w:rPr>
                <w:lang w:val="en-US"/>
              </w:rPr>
              <w:t xml:space="preserve">Andrés – </w:t>
            </w:r>
            <w:r w:rsidRPr="00D014AD">
              <w:rPr>
                <w:b/>
                <w:bCs/>
                <w:lang w:val="en-US"/>
              </w:rPr>
              <w:t>Industrial Automation Engineer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490FF" w14:textId="5729B478" w:rsidR="00374461" w:rsidRPr="00D014AD" w:rsidRDefault="00374461" w:rsidP="00C70359">
            <w:pPr>
              <w:spacing w:after="0"/>
              <w:rPr>
                <w:lang w:val="en-US"/>
              </w:rPr>
            </w:pPr>
            <w:r w:rsidRPr="00D014AD">
              <w:rPr>
                <w:lang w:val="en-US"/>
              </w:rPr>
              <w:t>3</w:t>
            </w:r>
            <w:r w:rsidR="00461018" w:rsidRPr="00D014AD">
              <w:rPr>
                <w:lang w:val="en-US"/>
              </w:rPr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B4D97" w14:textId="597BAFE2" w:rsidR="00374461" w:rsidRPr="00D014AD" w:rsidRDefault="00D014AD" w:rsidP="00C70359">
            <w:pPr>
              <w:spacing w:after="0"/>
              <w:rPr>
                <w:lang w:val="en-US"/>
              </w:rPr>
            </w:pPr>
            <w:r w:rsidRPr="00D014AD">
              <w:rPr>
                <w:lang w:val="en-US"/>
              </w:rPr>
              <w:t>Process Engineer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C9A95" w14:textId="69533E24" w:rsidR="00374461" w:rsidRPr="00D014AD" w:rsidRDefault="00D014AD" w:rsidP="00C70359">
            <w:pPr>
              <w:spacing w:after="0"/>
              <w:rPr>
                <w:lang w:val="en-US"/>
              </w:rPr>
            </w:pPr>
            <w:r w:rsidRPr="00D014AD">
              <w:rPr>
                <w:lang w:val="en-US"/>
              </w:rPr>
              <w:t>Optimize production lines and implement efficient control systems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32236" w14:textId="7C1EFE8B" w:rsidR="00374461" w:rsidRPr="00D014AD" w:rsidRDefault="00D014AD" w:rsidP="00C70359">
            <w:pPr>
              <w:spacing w:after="0"/>
              <w:rPr>
                <w:lang w:val="en-US"/>
              </w:rPr>
            </w:pPr>
            <w:r w:rsidRPr="00D014AD">
              <w:rPr>
                <w:lang w:val="en-US"/>
              </w:rPr>
              <w:t>Lack of integrated automation solutions and limited system interoperability</w:t>
            </w:r>
          </w:p>
        </w:tc>
      </w:tr>
      <w:tr w:rsidR="00374461" w:rsidRPr="00120B28" w14:paraId="4AD3F897" w14:textId="77777777" w:rsidTr="00C703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B274F" w14:textId="74FDB195" w:rsidR="00374461" w:rsidRPr="00F9462C" w:rsidRDefault="00136FF3" w:rsidP="00C70359">
            <w:pPr>
              <w:spacing w:after="0"/>
              <w:rPr>
                <w:lang w:val="en-US"/>
              </w:rPr>
            </w:pPr>
            <w:r w:rsidRPr="00F9462C">
              <w:rPr>
                <w:lang w:val="en-US"/>
              </w:rPr>
              <w:t xml:space="preserve">Laura – </w:t>
            </w:r>
            <w:r w:rsidRPr="00F9462C">
              <w:rPr>
                <w:b/>
                <w:bCs/>
                <w:lang w:val="en-US"/>
              </w:rPr>
              <w:t>Software Developer (Industrial Systems)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00188" w14:textId="56DEE4A4" w:rsidR="00374461" w:rsidRPr="00F9462C" w:rsidRDefault="00374461" w:rsidP="00C70359">
            <w:pPr>
              <w:spacing w:after="0"/>
              <w:rPr>
                <w:lang w:val="en-US"/>
              </w:rPr>
            </w:pPr>
            <w:r w:rsidRPr="00F9462C">
              <w:rPr>
                <w:lang w:val="en-US"/>
              </w:rPr>
              <w:t>2</w:t>
            </w:r>
            <w:r w:rsidR="00136FF3" w:rsidRPr="00F9462C">
              <w:rPr>
                <w:lang w:val="en-US"/>
              </w:rPr>
              <w:t>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76D62" w14:textId="6D36D24B" w:rsidR="00374461" w:rsidRPr="00F9462C" w:rsidRDefault="00136FF3" w:rsidP="00C70359">
            <w:pPr>
              <w:spacing w:after="0"/>
              <w:rPr>
                <w:lang w:val="en-US"/>
              </w:rPr>
            </w:pPr>
            <w:r w:rsidRPr="00F9462C">
              <w:rPr>
                <w:lang w:val="en-US"/>
              </w:rPr>
              <w:t>Full-stack Developer in manufacturing sector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C4489" w14:textId="1A92ADF6" w:rsidR="00374461" w:rsidRPr="00F9462C" w:rsidRDefault="00136FF3" w:rsidP="00C70359">
            <w:pPr>
              <w:spacing w:after="0"/>
              <w:rPr>
                <w:lang w:val="en-US"/>
              </w:rPr>
            </w:pPr>
            <w:r w:rsidRPr="00F9462C">
              <w:rPr>
                <w:lang w:val="en-US"/>
              </w:rPr>
              <w:t>Build secure, cloud-connected industrial software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E0008" w14:textId="17D27C52" w:rsidR="00374461" w:rsidRPr="00F9462C" w:rsidRDefault="00F9462C" w:rsidP="00C70359">
            <w:pPr>
              <w:spacing w:after="0"/>
              <w:rPr>
                <w:lang w:val="en-US"/>
              </w:rPr>
            </w:pPr>
            <w:r w:rsidRPr="00F9462C">
              <w:rPr>
                <w:lang w:val="en-US"/>
              </w:rPr>
              <w:t>Difficulty integrating software with existing PLC/SCADA systems</w:t>
            </w:r>
          </w:p>
        </w:tc>
      </w:tr>
      <w:tr w:rsidR="00374461" w:rsidRPr="00120B28" w14:paraId="450B3982" w14:textId="77777777" w:rsidTr="00C703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48FD9" w14:textId="0B682125" w:rsidR="00374461" w:rsidRPr="00437E4B" w:rsidRDefault="00EF4386" w:rsidP="00C70359">
            <w:pPr>
              <w:spacing w:after="0"/>
              <w:rPr>
                <w:lang w:val="en-US"/>
              </w:rPr>
            </w:pPr>
            <w:r w:rsidRPr="00437E4B">
              <w:rPr>
                <w:lang w:val="en-US"/>
              </w:rPr>
              <w:t xml:space="preserve">Ricardo – </w:t>
            </w:r>
            <w:r w:rsidRPr="00437E4B">
              <w:rPr>
                <w:b/>
                <w:bCs/>
                <w:lang w:val="en-US"/>
              </w:rPr>
              <w:t>Electronics Design Specialist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F4D41" w14:textId="5944893D" w:rsidR="00374461" w:rsidRPr="00437E4B" w:rsidRDefault="00374461" w:rsidP="00C70359">
            <w:pPr>
              <w:spacing w:after="0"/>
              <w:rPr>
                <w:lang w:val="en-US"/>
              </w:rPr>
            </w:pPr>
            <w:r w:rsidRPr="00437E4B">
              <w:rPr>
                <w:lang w:val="en-US"/>
              </w:rPr>
              <w:t>4</w:t>
            </w:r>
            <w:r w:rsidR="00437E4B" w:rsidRPr="00437E4B">
              <w:rPr>
                <w:lang w:val="en-US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36CC9" w14:textId="37FA7518" w:rsidR="00374461" w:rsidRPr="00437E4B" w:rsidRDefault="00437E4B" w:rsidP="00C70359">
            <w:pPr>
              <w:spacing w:after="0"/>
              <w:rPr>
                <w:lang w:val="en-US"/>
              </w:rPr>
            </w:pPr>
            <w:r w:rsidRPr="00437E4B">
              <w:rPr>
                <w:lang w:val="en-US"/>
              </w:rPr>
              <w:t>R&amp;D Engineer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1415F" w14:textId="3AEDF0E7" w:rsidR="00374461" w:rsidRPr="00437E4B" w:rsidRDefault="00437E4B" w:rsidP="00C70359">
            <w:pPr>
              <w:spacing w:after="0"/>
              <w:rPr>
                <w:lang w:val="en-US"/>
              </w:rPr>
            </w:pPr>
            <w:r w:rsidRPr="00437E4B">
              <w:rPr>
                <w:lang w:val="en-US"/>
              </w:rPr>
              <w:t>Design robust and cost-effective industrial electronics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5C388" w14:textId="31217540" w:rsidR="00374461" w:rsidRPr="00437E4B" w:rsidRDefault="00437E4B" w:rsidP="00C70359">
            <w:pPr>
              <w:spacing w:after="0"/>
              <w:rPr>
                <w:lang w:val="en-US"/>
              </w:rPr>
            </w:pPr>
            <w:r w:rsidRPr="00437E4B">
              <w:rPr>
                <w:lang w:val="en-US"/>
              </w:rPr>
              <w:t>Limited access to rapid prototyping tools and hardware validation resources</w:t>
            </w:r>
          </w:p>
        </w:tc>
      </w:tr>
      <w:tr w:rsidR="00E33D55" w:rsidRPr="00120B28" w14:paraId="23514CB4" w14:textId="77777777" w:rsidTr="00C703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3B8015" w14:textId="5A4EE71A" w:rsidR="00E33D55" w:rsidRPr="00524A47" w:rsidRDefault="00E33D55" w:rsidP="00C70359">
            <w:pPr>
              <w:spacing w:after="0"/>
              <w:rPr>
                <w:lang w:val="en-US"/>
              </w:rPr>
            </w:pPr>
            <w:r w:rsidRPr="00524A47">
              <w:rPr>
                <w:lang w:val="en-US"/>
              </w:rPr>
              <w:t xml:space="preserve">Marta – </w:t>
            </w:r>
            <w:r w:rsidRPr="00524A47">
              <w:rPr>
                <w:b/>
                <w:bCs/>
                <w:lang w:val="en-US"/>
              </w:rPr>
              <w:t>Operations Manager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AD616C" w14:textId="43CF3490" w:rsidR="00E33D55" w:rsidRPr="00524A47" w:rsidRDefault="00E33D55" w:rsidP="00C70359">
            <w:pPr>
              <w:spacing w:after="0"/>
              <w:rPr>
                <w:lang w:val="en-US"/>
              </w:rPr>
            </w:pPr>
            <w:r w:rsidRPr="00524A47">
              <w:rPr>
                <w:lang w:val="en-US"/>
              </w:rPr>
              <w:t>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7F4421" w14:textId="2A2578B5" w:rsidR="00E33D55" w:rsidRPr="00524A47" w:rsidRDefault="00E33D55" w:rsidP="00C70359">
            <w:pPr>
              <w:spacing w:after="0"/>
              <w:rPr>
                <w:lang w:val="en-US"/>
              </w:rPr>
            </w:pPr>
            <w:r w:rsidRPr="00524A47">
              <w:rPr>
                <w:lang w:val="en-US"/>
              </w:rPr>
              <w:t>Manufacturing Plant Supervisor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655BEF" w14:textId="7F8DFFDB" w:rsidR="00E33D55" w:rsidRPr="00524A47" w:rsidRDefault="00524A47" w:rsidP="00C70359">
            <w:pPr>
              <w:spacing w:after="0"/>
              <w:rPr>
                <w:lang w:val="en-US"/>
              </w:rPr>
            </w:pPr>
            <w:r w:rsidRPr="00524A47">
              <w:rPr>
                <w:lang w:val="en-US"/>
              </w:rPr>
              <w:t>Improve operational efficiency and reduce downtime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84D7A3" w14:textId="3E302DEE" w:rsidR="00E33D55" w:rsidRPr="00524A47" w:rsidRDefault="00524A47" w:rsidP="00C70359">
            <w:pPr>
              <w:spacing w:after="0"/>
              <w:rPr>
                <w:lang w:val="en-US"/>
              </w:rPr>
            </w:pPr>
            <w:r w:rsidRPr="00524A47">
              <w:rPr>
                <w:lang w:val="en-US"/>
              </w:rPr>
              <w:t>Lack of real-time data and difficulty coordinating with technical teams</w:t>
            </w:r>
          </w:p>
        </w:tc>
      </w:tr>
      <w:tr w:rsidR="00524A47" w:rsidRPr="00120B28" w14:paraId="503B7A9B" w14:textId="77777777" w:rsidTr="00C7035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466908" w14:textId="3543D8B6" w:rsidR="00524A47" w:rsidRPr="0033065A" w:rsidRDefault="00524A47" w:rsidP="00C70359">
            <w:pPr>
              <w:spacing w:after="0"/>
              <w:rPr>
                <w:lang w:val="en-US"/>
              </w:rPr>
            </w:pPr>
            <w:r w:rsidRPr="0033065A">
              <w:rPr>
                <w:lang w:val="en-US"/>
              </w:rPr>
              <w:t xml:space="preserve">Kevin – </w:t>
            </w:r>
            <w:r w:rsidRPr="0033065A">
              <w:rPr>
                <w:b/>
                <w:bCs/>
                <w:lang w:val="en-US"/>
              </w:rPr>
              <w:t>Technical Student / Junior Engineer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3820E4" w14:textId="03E34BF5" w:rsidR="00524A47" w:rsidRPr="0033065A" w:rsidRDefault="00524A47" w:rsidP="00C70359">
            <w:pPr>
              <w:spacing w:after="0"/>
              <w:rPr>
                <w:lang w:val="en-US"/>
              </w:rPr>
            </w:pPr>
            <w:r w:rsidRPr="0033065A">
              <w:rPr>
                <w:lang w:val="en-US"/>
              </w:rPr>
              <w:t>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527B27" w14:textId="07C28310" w:rsidR="00524A47" w:rsidRPr="0033065A" w:rsidRDefault="0033065A" w:rsidP="00C70359">
            <w:pPr>
              <w:spacing w:after="0"/>
              <w:rPr>
                <w:lang w:val="en-US"/>
              </w:rPr>
            </w:pPr>
            <w:r w:rsidRPr="0033065A">
              <w:rPr>
                <w:lang w:val="en-US"/>
              </w:rPr>
              <w:t>Mechatronics Student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4B8D70" w14:textId="0370F832" w:rsidR="00524A47" w:rsidRPr="0033065A" w:rsidRDefault="0033065A" w:rsidP="00C70359">
            <w:pPr>
              <w:spacing w:after="0"/>
              <w:rPr>
                <w:lang w:val="en-US"/>
              </w:rPr>
            </w:pPr>
            <w:r w:rsidRPr="0033065A">
              <w:rPr>
                <w:lang w:val="en-US"/>
              </w:rPr>
              <w:t>Learn from professional projects and apply real-world automation skills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7DEEB5" w14:textId="6A8C6605" w:rsidR="00524A47" w:rsidRPr="0033065A" w:rsidRDefault="0033065A" w:rsidP="00C70359">
            <w:pPr>
              <w:spacing w:after="0"/>
              <w:rPr>
                <w:lang w:val="en-US"/>
              </w:rPr>
            </w:pPr>
            <w:r w:rsidRPr="0033065A">
              <w:rPr>
                <w:lang w:val="en-US"/>
              </w:rPr>
              <w:t>Limited access to guided educational content and real examples</w:t>
            </w:r>
          </w:p>
        </w:tc>
      </w:tr>
    </w:tbl>
    <w:p w14:paraId="3CE80347" w14:textId="77777777" w:rsidR="00AE4AB1" w:rsidRDefault="00ED1C1F" w:rsidP="00AE4AB1">
      <w:pPr>
        <w:pStyle w:val="Heading3"/>
        <w:numPr>
          <w:ilvl w:val="1"/>
          <w:numId w:val="17"/>
        </w:numPr>
        <w:rPr>
          <w:lang w:val="en-US"/>
        </w:rPr>
      </w:pPr>
      <w:r w:rsidRPr="00CF0235">
        <w:rPr>
          <w:lang w:val="en-US"/>
        </w:rPr>
        <w:lastRenderedPageBreak/>
        <w:t>Scenarios</w:t>
      </w:r>
    </w:p>
    <w:p w14:paraId="1C5CDF90" w14:textId="15FF4406" w:rsidR="008741BE" w:rsidRPr="009571D3" w:rsidRDefault="0029023D" w:rsidP="00AE4AB1">
      <w:pPr>
        <w:pStyle w:val="Heading3"/>
        <w:numPr>
          <w:ilvl w:val="2"/>
          <w:numId w:val="17"/>
        </w:numPr>
        <w:ind w:left="1276" w:hanging="709"/>
        <w:rPr>
          <w:lang w:val="en-US"/>
        </w:rPr>
      </w:pPr>
      <w:r w:rsidRPr="009571D3">
        <w:rPr>
          <w:rFonts w:eastAsiaTheme="minorHAnsi" w:cstheme="minorBidi"/>
          <w:b/>
          <w:bCs/>
          <w:color w:val="auto"/>
          <w:sz w:val="22"/>
          <w:szCs w:val="22"/>
          <w:lang w:val="en-US"/>
        </w:rPr>
        <w:t>Andrés configures an automation system</w:t>
      </w:r>
    </w:p>
    <w:p w14:paraId="31F953EE" w14:textId="355C1DD2" w:rsidR="008741BE" w:rsidRPr="009571D3" w:rsidRDefault="0029023D" w:rsidP="0095226E">
      <w:pPr>
        <w:pStyle w:val="ListParagraph"/>
        <w:numPr>
          <w:ilvl w:val="1"/>
          <w:numId w:val="19"/>
        </w:numPr>
        <w:ind w:left="1276"/>
        <w:rPr>
          <w:lang w:val="en-US"/>
        </w:rPr>
      </w:pPr>
      <w:r w:rsidRPr="009571D3">
        <w:rPr>
          <w:lang w:val="en-US"/>
        </w:rPr>
        <w:t xml:space="preserve">Logs in to the </w:t>
      </w:r>
      <w:r w:rsidRPr="00782CD5">
        <w:rPr>
          <w:b/>
          <w:bCs/>
          <w:lang w:val="en-US"/>
        </w:rPr>
        <w:t>Industrial Automation</w:t>
      </w:r>
      <w:r w:rsidRPr="009571D3">
        <w:rPr>
          <w:lang w:val="en-US"/>
        </w:rPr>
        <w:t xml:space="preserve"> section → Selects “PLC Integration” → Defines input/output configuration → Uploads ladder diagram → Simulates logic in browser → Requests project validation from </w:t>
      </w:r>
      <w:proofErr w:type="spellStart"/>
      <w:r w:rsidRPr="009571D3">
        <w:rPr>
          <w:b/>
          <w:bCs/>
          <w:lang w:val="en-US"/>
        </w:rPr>
        <w:t>IntegraDeline</w:t>
      </w:r>
      <w:proofErr w:type="spellEnd"/>
      <w:r w:rsidRPr="009571D3">
        <w:rPr>
          <w:lang w:val="en-US"/>
        </w:rPr>
        <w:t xml:space="preserve"> expert.</w:t>
      </w:r>
    </w:p>
    <w:p w14:paraId="4515A947" w14:textId="275B981E" w:rsidR="008741BE" w:rsidRPr="009571D3" w:rsidRDefault="002E0E33" w:rsidP="00AE4AB1">
      <w:pPr>
        <w:pStyle w:val="Heading3"/>
        <w:numPr>
          <w:ilvl w:val="2"/>
          <w:numId w:val="17"/>
        </w:numPr>
        <w:ind w:left="1276" w:hanging="709"/>
        <w:rPr>
          <w:b/>
          <w:bCs/>
          <w:lang w:val="en-US"/>
        </w:rPr>
      </w:pPr>
      <w:r w:rsidRPr="009571D3">
        <w:rPr>
          <w:b/>
          <w:bCs/>
          <w:color w:val="auto"/>
          <w:sz w:val="22"/>
          <w:szCs w:val="22"/>
          <w:lang w:val="en-US"/>
        </w:rPr>
        <w:t>Laura deploys a monitoring dashboard</w:t>
      </w:r>
    </w:p>
    <w:p w14:paraId="6B0BDE22" w14:textId="5E47B48B" w:rsidR="008741BE" w:rsidRPr="009571D3" w:rsidRDefault="002E0E33" w:rsidP="0095226E">
      <w:pPr>
        <w:pStyle w:val="ListParagraph"/>
        <w:numPr>
          <w:ilvl w:val="1"/>
          <w:numId w:val="19"/>
        </w:numPr>
        <w:ind w:left="1276"/>
        <w:rPr>
          <w:lang w:val="en-US"/>
        </w:rPr>
      </w:pPr>
      <w:r w:rsidRPr="009571D3">
        <w:rPr>
          <w:lang w:val="en-US"/>
        </w:rPr>
        <w:t xml:space="preserve">Accesses </w:t>
      </w:r>
      <w:r w:rsidRPr="00782CD5">
        <w:rPr>
          <w:b/>
          <w:bCs/>
          <w:lang w:val="en-US"/>
        </w:rPr>
        <w:t>Software Solutions</w:t>
      </w:r>
      <w:r w:rsidRPr="009571D3">
        <w:rPr>
          <w:lang w:val="en-US"/>
        </w:rPr>
        <w:t xml:space="preserve"> → Selects “Realtime Monitoring” → Connects to Firebase or local database → Configures API endpoints → Tests dashboard visualization on both desktop and mobile.</w:t>
      </w:r>
    </w:p>
    <w:p w14:paraId="4155BA49" w14:textId="0436276D" w:rsidR="008741BE" w:rsidRPr="009571D3" w:rsidRDefault="00A73EAD" w:rsidP="0095226E">
      <w:pPr>
        <w:pStyle w:val="Heading3"/>
        <w:numPr>
          <w:ilvl w:val="2"/>
          <w:numId w:val="17"/>
        </w:numPr>
        <w:ind w:left="1276" w:hanging="709"/>
        <w:rPr>
          <w:lang w:val="en-US"/>
        </w:rPr>
      </w:pPr>
      <w:r w:rsidRPr="009571D3">
        <w:rPr>
          <w:b/>
          <w:bCs/>
          <w:color w:val="auto"/>
          <w:sz w:val="22"/>
          <w:szCs w:val="22"/>
          <w:lang w:val="en-US"/>
        </w:rPr>
        <w:t>Ricardo requests PCB manufacturing</w:t>
      </w:r>
    </w:p>
    <w:p w14:paraId="10D846C8" w14:textId="4064460B" w:rsidR="008741BE" w:rsidRPr="009571D3" w:rsidRDefault="00A73EAD" w:rsidP="0095226E">
      <w:pPr>
        <w:pStyle w:val="ListParagraph"/>
        <w:numPr>
          <w:ilvl w:val="1"/>
          <w:numId w:val="19"/>
        </w:numPr>
        <w:ind w:left="1276"/>
        <w:rPr>
          <w:lang w:val="en-US"/>
        </w:rPr>
      </w:pPr>
      <w:r w:rsidRPr="009571D3">
        <w:rPr>
          <w:lang w:val="en-US"/>
        </w:rPr>
        <w:t xml:space="preserve">Opens </w:t>
      </w:r>
      <w:r w:rsidRPr="00782CD5">
        <w:rPr>
          <w:b/>
          <w:bCs/>
          <w:lang w:val="en-US"/>
        </w:rPr>
        <w:t>Electronic Design</w:t>
      </w:r>
      <w:r w:rsidRPr="009571D3">
        <w:rPr>
          <w:lang w:val="en-US"/>
        </w:rPr>
        <w:t xml:space="preserve"> → Uploads schematic and Gerber files → Chooses component sourcing and testing options → Reviews estimated cost and timeline → Submits manufacturing order securely.</w:t>
      </w:r>
    </w:p>
    <w:p w14:paraId="2B297648" w14:textId="58D7C196" w:rsidR="00A73EAD" w:rsidRPr="009571D3" w:rsidRDefault="00D633EC" w:rsidP="00A73EAD">
      <w:pPr>
        <w:pStyle w:val="Heading3"/>
        <w:numPr>
          <w:ilvl w:val="2"/>
          <w:numId w:val="17"/>
        </w:numPr>
        <w:ind w:left="1276" w:hanging="709"/>
        <w:rPr>
          <w:lang w:val="en-US"/>
        </w:rPr>
      </w:pPr>
      <w:r w:rsidRPr="009571D3">
        <w:rPr>
          <w:b/>
          <w:bCs/>
          <w:color w:val="auto"/>
          <w:sz w:val="22"/>
          <w:szCs w:val="22"/>
          <w:lang w:val="en-US"/>
        </w:rPr>
        <w:t>Marta reviews system performance</w:t>
      </w:r>
    </w:p>
    <w:p w14:paraId="671B77C2" w14:textId="68340838" w:rsidR="00A73EAD" w:rsidRDefault="008F5C52" w:rsidP="00D633EC">
      <w:pPr>
        <w:pStyle w:val="ListParagraph"/>
        <w:numPr>
          <w:ilvl w:val="0"/>
          <w:numId w:val="21"/>
        </w:numPr>
        <w:ind w:left="1276"/>
        <w:rPr>
          <w:lang w:val="en-US"/>
        </w:rPr>
      </w:pPr>
      <w:r w:rsidRPr="009571D3">
        <w:rPr>
          <w:lang w:val="en-US"/>
        </w:rPr>
        <w:t xml:space="preserve">Logs in to </w:t>
      </w:r>
      <w:r w:rsidRPr="00782CD5">
        <w:rPr>
          <w:b/>
          <w:bCs/>
          <w:lang w:val="en-US"/>
        </w:rPr>
        <w:t>Client Portal</w:t>
      </w:r>
      <w:r w:rsidRPr="009571D3">
        <w:rPr>
          <w:lang w:val="en-US"/>
        </w:rPr>
        <w:t xml:space="preserve"> → Navigates to “Analytics &amp; Reports” → Compares production KPIs → Downloads maintenance and energy efficiency reports → Schedules technical inspection.</w:t>
      </w:r>
    </w:p>
    <w:p w14:paraId="00F476E2" w14:textId="6BD3FE7A" w:rsidR="009571D3" w:rsidRPr="009571D3" w:rsidRDefault="00955B5E" w:rsidP="009571D3">
      <w:pPr>
        <w:pStyle w:val="Heading3"/>
        <w:numPr>
          <w:ilvl w:val="2"/>
          <w:numId w:val="17"/>
        </w:numPr>
        <w:tabs>
          <w:tab w:val="num" w:pos="2160"/>
        </w:tabs>
        <w:ind w:left="1276" w:hanging="709"/>
        <w:rPr>
          <w:lang w:val="en-US"/>
        </w:rPr>
      </w:pPr>
      <w:r w:rsidRPr="00955B5E">
        <w:rPr>
          <w:b/>
          <w:bCs/>
          <w:color w:val="auto"/>
          <w:sz w:val="22"/>
          <w:szCs w:val="22"/>
          <w:lang w:val="en-US"/>
        </w:rPr>
        <w:t>Kevin explores learning resources</w:t>
      </w:r>
    </w:p>
    <w:p w14:paraId="7F191981" w14:textId="7B9F8670" w:rsidR="009571D3" w:rsidRPr="00CF0235" w:rsidRDefault="00955B5E" w:rsidP="009571D3">
      <w:pPr>
        <w:pStyle w:val="ListParagraph"/>
        <w:numPr>
          <w:ilvl w:val="0"/>
          <w:numId w:val="21"/>
        </w:numPr>
        <w:ind w:left="1276"/>
        <w:rPr>
          <w:lang w:val="en-US"/>
        </w:rPr>
      </w:pPr>
      <w:r w:rsidRPr="00955B5E">
        <w:rPr>
          <w:lang w:val="en-US"/>
        </w:rPr>
        <w:t xml:space="preserve">Enters </w:t>
      </w:r>
      <w:r w:rsidRPr="00782CD5">
        <w:rPr>
          <w:b/>
          <w:bCs/>
          <w:lang w:val="en-US"/>
        </w:rPr>
        <w:t>Academy Section</w:t>
      </w:r>
      <w:r w:rsidRPr="00955B5E">
        <w:rPr>
          <w:lang w:val="en-US"/>
        </w:rPr>
        <w:t xml:space="preserve"> → Filters tutorials by PLC, Python, and IoT → Watches step-by-step guides → Downloads example projects → Submits questions through integrated support chat.</w:t>
      </w:r>
    </w:p>
    <w:p w14:paraId="25AB4CEC" w14:textId="4D084655" w:rsidR="00ED1C1F" w:rsidRPr="00ED1C1F" w:rsidRDefault="00ED1C1F" w:rsidP="00ED1C1F">
      <w:pPr>
        <w:rPr>
          <w:lang w:val="en-US"/>
        </w:rPr>
      </w:pPr>
    </w:p>
    <w:p w14:paraId="50B21D1E" w14:textId="77777777" w:rsidR="00220D32" w:rsidRDefault="00ED1C1F" w:rsidP="00C8147A">
      <w:pPr>
        <w:pStyle w:val="Heading2"/>
        <w:numPr>
          <w:ilvl w:val="0"/>
          <w:numId w:val="17"/>
        </w:numPr>
        <w:ind w:left="426"/>
        <w:rPr>
          <w:lang w:val="en-US"/>
        </w:rPr>
      </w:pPr>
      <w:r w:rsidRPr="00CF0235">
        <w:rPr>
          <w:lang w:val="en-US"/>
        </w:rPr>
        <w:t>Style Guide &amp; Branding</w:t>
      </w:r>
    </w:p>
    <w:p w14:paraId="5CCE40BC" w14:textId="5BB1DD6B" w:rsidR="00ED1C1F" w:rsidRPr="00220D32" w:rsidRDefault="00ED1C1F" w:rsidP="00C8147A">
      <w:pPr>
        <w:pStyle w:val="Heading3"/>
        <w:numPr>
          <w:ilvl w:val="1"/>
          <w:numId w:val="17"/>
        </w:numPr>
        <w:rPr>
          <w:lang w:val="en-US"/>
        </w:rPr>
      </w:pPr>
      <w:r w:rsidRPr="00220D32">
        <w:rPr>
          <w:lang w:val="en-US"/>
        </w:rPr>
        <w:t>Brand Essence</w:t>
      </w:r>
    </w:p>
    <w:p w14:paraId="0064F51D" w14:textId="3BCB5716" w:rsidR="00CF0235" w:rsidRPr="00130DB5" w:rsidRDefault="009808D6" w:rsidP="0005385C">
      <w:pPr>
        <w:pStyle w:val="ListParagraph"/>
        <w:numPr>
          <w:ilvl w:val="0"/>
          <w:numId w:val="13"/>
        </w:numPr>
        <w:ind w:hanging="294"/>
        <w:jc w:val="both"/>
        <w:rPr>
          <w:lang w:val="en-US"/>
        </w:rPr>
      </w:pPr>
      <w:r w:rsidRPr="00130DB5">
        <w:rPr>
          <w:b/>
          <w:bCs/>
          <w:lang w:val="en-US"/>
        </w:rPr>
        <w:t>Mission:</w:t>
      </w:r>
      <w:r w:rsidRPr="00130DB5">
        <w:rPr>
          <w:lang w:val="en-US"/>
        </w:rPr>
        <w:t xml:space="preserve"> To integrate engineering, technology, and design to deliver intelligent industrial automation, electronic innovation, and digital transformation solutions.</w:t>
      </w:r>
    </w:p>
    <w:p w14:paraId="3C1C152E" w14:textId="24CFDBB0" w:rsidR="00CF0235" w:rsidRPr="00130DB5" w:rsidRDefault="00130DB5" w:rsidP="0005385C">
      <w:pPr>
        <w:pStyle w:val="ListParagraph"/>
        <w:numPr>
          <w:ilvl w:val="0"/>
          <w:numId w:val="13"/>
        </w:numPr>
        <w:ind w:hanging="294"/>
        <w:jc w:val="both"/>
        <w:rPr>
          <w:lang w:val="en-US"/>
        </w:rPr>
      </w:pPr>
      <w:r w:rsidRPr="00130DB5">
        <w:rPr>
          <w:b/>
          <w:bCs/>
          <w:lang w:val="en-US"/>
        </w:rPr>
        <w:t xml:space="preserve">Values: </w:t>
      </w:r>
      <w:r w:rsidRPr="00130DB5">
        <w:rPr>
          <w:lang w:val="en-US"/>
        </w:rPr>
        <w:t>Precision, Innovation, Reliability, Efficiency, Sustainability.</w:t>
      </w:r>
    </w:p>
    <w:p w14:paraId="1C654FAB" w14:textId="2754DE84" w:rsidR="00CF0235" w:rsidRPr="00130DB5" w:rsidRDefault="00130DB5" w:rsidP="0005385C">
      <w:pPr>
        <w:pStyle w:val="ListParagraph"/>
        <w:numPr>
          <w:ilvl w:val="0"/>
          <w:numId w:val="13"/>
        </w:numPr>
        <w:ind w:hanging="294"/>
        <w:jc w:val="both"/>
        <w:rPr>
          <w:lang w:val="en-US"/>
        </w:rPr>
      </w:pPr>
      <w:r w:rsidRPr="00130DB5">
        <w:rPr>
          <w:b/>
          <w:bCs/>
          <w:lang w:val="en-US"/>
        </w:rPr>
        <w:t xml:space="preserve">Tone of Voice: </w:t>
      </w:r>
      <w:r w:rsidRPr="00130DB5">
        <w:rPr>
          <w:lang w:val="en-US"/>
        </w:rPr>
        <w:t xml:space="preserve">Technical yet accessible — professional, confident, and solution-oriented. </w:t>
      </w:r>
      <w:proofErr w:type="gramStart"/>
      <w:r w:rsidRPr="00130DB5">
        <w:rPr>
          <w:lang w:val="en-US"/>
        </w:rPr>
        <w:t>Avoids</w:t>
      </w:r>
      <w:proofErr w:type="gramEnd"/>
      <w:r w:rsidRPr="00130DB5">
        <w:rPr>
          <w:lang w:val="en-US"/>
        </w:rPr>
        <w:t xml:space="preserve"> excessive jargon; emphasizes clarity and reliability.</w:t>
      </w:r>
    </w:p>
    <w:p w14:paraId="7A791AF2" w14:textId="2A8423B2" w:rsidR="00ED1C1F" w:rsidRPr="00CF0235" w:rsidRDefault="00ED1C1F" w:rsidP="00C8147A">
      <w:pPr>
        <w:pStyle w:val="Heading3"/>
        <w:numPr>
          <w:ilvl w:val="1"/>
          <w:numId w:val="17"/>
        </w:numPr>
        <w:rPr>
          <w:lang w:val="en-US"/>
        </w:rPr>
      </w:pPr>
      <w:r w:rsidRPr="00CF0235">
        <w:rPr>
          <w:lang w:val="en-US"/>
        </w:rPr>
        <w:t xml:space="preserve">Logo </w:t>
      </w:r>
      <w:r w:rsidR="00CF0235" w:rsidRPr="00CF0235">
        <w:rPr>
          <w:lang w:val="en-US"/>
        </w:rPr>
        <w:t>and</w:t>
      </w:r>
      <w:r w:rsidRPr="00CF0235">
        <w:rPr>
          <w:lang w:val="en-US"/>
        </w:rPr>
        <w:t xml:space="preserve"> Usage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791"/>
        <w:gridCol w:w="1608"/>
        <w:gridCol w:w="3193"/>
      </w:tblGrid>
      <w:tr w:rsidR="00024C38" w:rsidRPr="00ED1C1F" w14:paraId="66CDA75E" w14:textId="77777777" w:rsidTr="00CF0235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BB43F" w14:textId="77777777" w:rsidR="00ED1C1F" w:rsidRPr="00ED1C1F" w:rsidRDefault="00ED1C1F" w:rsidP="00CF0235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Element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E91F4" w14:textId="77777777" w:rsidR="00ED1C1F" w:rsidRPr="00ED1C1F" w:rsidRDefault="00ED1C1F" w:rsidP="00CF0235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Minimum Size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218E8" w14:textId="77777777" w:rsidR="00ED1C1F" w:rsidRPr="00ED1C1F" w:rsidRDefault="00ED1C1F" w:rsidP="00CF0235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Clear Space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238E5" w14:textId="77777777" w:rsidR="00ED1C1F" w:rsidRPr="00ED1C1F" w:rsidRDefault="00ED1C1F" w:rsidP="00CF0235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Correct Use</w:t>
            </w:r>
          </w:p>
        </w:tc>
      </w:tr>
      <w:tr w:rsidR="00024C38" w:rsidRPr="00120B28" w14:paraId="1391B8D2" w14:textId="77777777" w:rsidTr="00CF02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ABCDA" w14:textId="5E8CDE4B" w:rsidR="00ED1C1F" w:rsidRPr="003333E3" w:rsidRDefault="0005385C" w:rsidP="00CF0235">
            <w:pPr>
              <w:spacing w:after="0"/>
              <w:rPr>
                <w:lang w:val="en-US"/>
              </w:rPr>
            </w:pPr>
            <w:r w:rsidRPr="003333E3">
              <w:rPr>
                <w:lang w:val="en-US"/>
              </w:rPr>
              <w:t>Main Logo (</w:t>
            </w:r>
            <w:proofErr w:type="spellStart"/>
            <w:r w:rsidRPr="003333E3">
              <w:rPr>
                <w:lang w:val="en-US"/>
              </w:rPr>
              <w:t>IntegraDeline</w:t>
            </w:r>
            <w:proofErr w:type="spellEnd"/>
            <w:r w:rsidRPr="003333E3">
              <w:rPr>
                <w:lang w:val="en-US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BF321" w14:textId="6CBF1507" w:rsidR="00ED1C1F" w:rsidRPr="003333E3" w:rsidRDefault="003333E3" w:rsidP="00CF0235">
            <w:pPr>
              <w:spacing w:after="0"/>
              <w:rPr>
                <w:lang w:val="en-US"/>
              </w:rPr>
            </w:pPr>
            <w:r w:rsidRPr="003333E3">
              <w:rPr>
                <w:lang w:val="en-US"/>
              </w:rPr>
              <w:t xml:space="preserve">140 </w:t>
            </w:r>
            <w:proofErr w:type="spellStart"/>
            <w:r w:rsidRPr="003333E3">
              <w:rPr>
                <w:lang w:val="en-US"/>
              </w:rPr>
              <w:t>px</w:t>
            </w:r>
            <w:proofErr w:type="spellEnd"/>
            <w:r w:rsidRPr="003333E3">
              <w:rPr>
                <w:lang w:val="en-US"/>
              </w:rPr>
              <w:t xml:space="preserve"> (horizontal) / 70 </w:t>
            </w:r>
            <w:proofErr w:type="spellStart"/>
            <w:r w:rsidRPr="003333E3">
              <w:rPr>
                <w:lang w:val="en-US"/>
              </w:rPr>
              <w:t>px</w:t>
            </w:r>
            <w:proofErr w:type="spellEnd"/>
            <w:r w:rsidRPr="003333E3">
              <w:rPr>
                <w:lang w:val="en-US"/>
              </w:rPr>
              <w:t xml:space="preserve"> (vertical)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AFD40" w14:textId="0D699219" w:rsidR="00ED1C1F" w:rsidRPr="003333E3" w:rsidRDefault="003333E3" w:rsidP="00CF0235">
            <w:pPr>
              <w:spacing w:after="0"/>
              <w:rPr>
                <w:lang w:val="en-US"/>
              </w:rPr>
            </w:pPr>
            <w:r w:rsidRPr="003333E3">
              <w:rPr>
                <w:lang w:val="en-US"/>
              </w:rPr>
              <w:t>1× logo height (free of text or borders)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245EE" w14:textId="1EF13547" w:rsidR="00ED1C1F" w:rsidRPr="003333E3" w:rsidRDefault="003333E3" w:rsidP="00CF0235">
            <w:pPr>
              <w:spacing w:after="0"/>
              <w:rPr>
                <w:lang w:val="en-US"/>
              </w:rPr>
            </w:pPr>
            <w:r w:rsidRPr="003333E3">
              <w:rPr>
                <w:lang w:val="en-US"/>
              </w:rPr>
              <w:t>Use on white, dark grey, or industrial green backgrounds. Avoid distortion or color inversion outside approved palette.</w:t>
            </w:r>
          </w:p>
        </w:tc>
      </w:tr>
      <w:tr w:rsidR="003333E3" w:rsidRPr="00120B28" w14:paraId="3346B292" w14:textId="77777777" w:rsidTr="00CF02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D3FD83" w14:textId="7CEB74CF" w:rsidR="003333E3" w:rsidRPr="00B521A9" w:rsidRDefault="00B521A9" w:rsidP="00CF0235">
            <w:pPr>
              <w:spacing w:after="0"/>
              <w:rPr>
                <w:lang w:val="en-US"/>
              </w:rPr>
            </w:pPr>
            <w:r w:rsidRPr="00B521A9">
              <w:rPr>
                <w:lang w:val="en-US"/>
              </w:rPr>
              <w:t>Monogram “ID” version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B172D1" w14:textId="0D2F0E10" w:rsidR="003333E3" w:rsidRPr="00B521A9" w:rsidRDefault="00B521A9" w:rsidP="00CF0235">
            <w:pPr>
              <w:spacing w:after="0"/>
              <w:rPr>
                <w:lang w:val="en-US"/>
              </w:rPr>
            </w:pPr>
            <w:r w:rsidRPr="00B521A9">
              <w:rPr>
                <w:lang w:val="en-US"/>
              </w:rPr>
              <w:t xml:space="preserve">64 </w:t>
            </w:r>
            <w:proofErr w:type="spellStart"/>
            <w:r w:rsidRPr="00B521A9">
              <w:rPr>
                <w:lang w:val="en-US"/>
              </w:rPr>
              <w:t>px</w:t>
            </w:r>
            <w:proofErr w:type="spellEnd"/>
            <w:r w:rsidRPr="00B521A9">
              <w:rPr>
                <w:lang w:val="en-US"/>
              </w:rPr>
              <w:t xml:space="preserve"> minimum width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8E88E1" w14:textId="7E5A9ACA" w:rsidR="003333E3" w:rsidRPr="00B521A9" w:rsidRDefault="00B521A9" w:rsidP="00CF0235">
            <w:pPr>
              <w:spacing w:after="0"/>
              <w:rPr>
                <w:lang w:val="en-US"/>
              </w:rPr>
            </w:pPr>
            <w:r w:rsidRPr="00B521A9">
              <w:rPr>
                <w:lang w:val="en-US"/>
              </w:rPr>
              <w:t>½× logo height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25E81E" w14:textId="497A490F" w:rsidR="003333E3" w:rsidRPr="00B521A9" w:rsidRDefault="00B521A9" w:rsidP="00CF0235">
            <w:pPr>
              <w:spacing w:after="0"/>
              <w:rPr>
                <w:lang w:val="en-US"/>
              </w:rPr>
            </w:pPr>
            <w:r w:rsidRPr="00B521A9">
              <w:rPr>
                <w:lang w:val="en-US"/>
              </w:rPr>
              <w:t>For icons, app launchers, or small devices. Maintain color consistency with brand palette.</w:t>
            </w:r>
          </w:p>
        </w:tc>
      </w:tr>
    </w:tbl>
    <w:p w14:paraId="586BFF6B" w14:textId="2C0EB49E" w:rsidR="00ED1C1F" w:rsidRPr="00CF0235" w:rsidRDefault="00ED1C1F" w:rsidP="00C8147A">
      <w:pPr>
        <w:pStyle w:val="Heading3"/>
        <w:numPr>
          <w:ilvl w:val="1"/>
          <w:numId w:val="17"/>
        </w:numPr>
        <w:rPr>
          <w:lang w:val="en-US"/>
        </w:rPr>
      </w:pPr>
      <w:r w:rsidRPr="00CF0235">
        <w:rPr>
          <w:lang w:val="en-US"/>
        </w:rPr>
        <w:lastRenderedPageBreak/>
        <w:t>Typography Choices &amp; Justification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3"/>
        <w:gridCol w:w="1244"/>
        <w:gridCol w:w="3351"/>
      </w:tblGrid>
      <w:tr w:rsidR="00ED1C1F" w:rsidRPr="00ED1C1F" w14:paraId="782C38F5" w14:textId="77777777" w:rsidTr="005636CD">
        <w:trPr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28F60" w14:textId="77777777" w:rsidR="00ED1C1F" w:rsidRPr="00ED1C1F" w:rsidRDefault="00ED1C1F" w:rsidP="005636CD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Element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3381C" w14:textId="77777777" w:rsidR="00ED1C1F" w:rsidRPr="00ED1C1F" w:rsidRDefault="00ED1C1F" w:rsidP="005636CD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Font Family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C42AA" w14:textId="77777777" w:rsidR="00ED1C1F" w:rsidRPr="00ED1C1F" w:rsidRDefault="00ED1C1F" w:rsidP="005636CD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Weight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67251" w14:textId="77777777" w:rsidR="00ED1C1F" w:rsidRPr="00ED1C1F" w:rsidRDefault="00ED1C1F" w:rsidP="005636CD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Reason</w:t>
            </w:r>
          </w:p>
        </w:tc>
      </w:tr>
      <w:tr w:rsidR="00ED1C1F" w:rsidRPr="00120B28" w14:paraId="4681A016" w14:textId="77777777" w:rsidTr="005636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1FD4D" w14:textId="77777777" w:rsidR="00ED1C1F" w:rsidRPr="0082430C" w:rsidRDefault="00ED1C1F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Headings (H1</w:t>
            </w:r>
            <w:r w:rsidRPr="0082430C">
              <w:rPr>
                <w:lang w:val="en-US"/>
              </w:rPr>
              <w:noBreakHyphen/>
              <w:t>H6)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F42A0" w14:textId="77777777" w:rsidR="00ED1C1F" w:rsidRPr="0082430C" w:rsidRDefault="00ED1C1F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Montserrat – Sans</w:t>
            </w:r>
            <w:r w:rsidRPr="0082430C">
              <w:rPr>
                <w:lang w:val="en-US"/>
              </w:rPr>
              <w:noBreakHyphen/>
              <w:t>serif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BAAD3" w14:textId="77777777" w:rsidR="00ED1C1F" w:rsidRPr="0082430C" w:rsidRDefault="00ED1C1F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700 / 600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52B0E" w14:textId="4EB0B8B3" w:rsidR="00ED1C1F" w:rsidRPr="0082430C" w:rsidRDefault="00AA08AB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Clean, modern, and strong — reinforces engineering precision and corporate solidity.</w:t>
            </w:r>
          </w:p>
        </w:tc>
      </w:tr>
      <w:tr w:rsidR="00ED1C1F" w:rsidRPr="00120B28" w14:paraId="769C5283" w14:textId="77777777" w:rsidTr="005636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74A53" w14:textId="464B0C8B" w:rsidR="00ED1C1F" w:rsidRPr="0082430C" w:rsidRDefault="002D745A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Body Text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B464B" w14:textId="270C10EC" w:rsidR="00ED1C1F" w:rsidRPr="0082430C" w:rsidRDefault="002D745A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Open Sans – Sans serif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473B4" w14:textId="77777777" w:rsidR="00ED1C1F" w:rsidRPr="0082430C" w:rsidRDefault="00ED1C1F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78CAB" w14:textId="076E0685" w:rsidR="00ED1C1F" w:rsidRPr="0082430C" w:rsidRDefault="00AA08AB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Highly readable on screens and technical documents. Balanced between professional and approachable tone.</w:t>
            </w:r>
          </w:p>
        </w:tc>
      </w:tr>
      <w:tr w:rsidR="00ED1C1F" w:rsidRPr="00120B28" w14:paraId="5C0C430D" w14:textId="77777777" w:rsidTr="005636C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655FC" w14:textId="7BF17CB0" w:rsidR="00ED1C1F" w:rsidRPr="0082430C" w:rsidRDefault="00AA08AB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Technical / UI Labels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DA20E" w14:textId="0364B5FB" w:rsidR="00ED1C1F" w:rsidRPr="0082430C" w:rsidRDefault="00AA08AB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Bank Gothic / Roboto Mono (fallback)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EB015" w14:textId="2FC3AC78" w:rsidR="00ED1C1F" w:rsidRPr="0082430C" w:rsidRDefault="00AA08AB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5</w:t>
            </w:r>
            <w:r w:rsidR="00ED1C1F" w:rsidRPr="0082430C">
              <w:rPr>
                <w:lang w:val="en-US"/>
              </w:rPr>
              <w:t>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5C38F" w14:textId="4D7DFE9C" w:rsidR="00ED1C1F" w:rsidRPr="0082430C" w:rsidRDefault="0082430C" w:rsidP="005636CD">
            <w:pPr>
              <w:spacing w:after="0" w:line="240" w:lineRule="auto"/>
              <w:rPr>
                <w:lang w:val="en-US"/>
              </w:rPr>
            </w:pPr>
            <w:r w:rsidRPr="0082430C">
              <w:rPr>
                <w:lang w:val="en-US"/>
              </w:rPr>
              <w:t>Conveys industrial aesthetics and precision suitable for dashboards or control system references.</w:t>
            </w:r>
          </w:p>
        </w:tc>
      </w:tr>
    </w:tbl>
    <w:p w14:paraId="35CDC4BB" w14:textId="24080D0A" w:rsidR="0041064E" w:rsidRPr="00ED1C1F" w:rsidRDefault="0041064E" w:rsidP="002312CF">
      <w:pPr>
        <w:spacing w:before="240"/>
        <w:rPr>
          <w:lang w:val="en-US"/>
        </w:rPr>
      </w:pPr>
      <w:r w:rsidRPr="0041064E">
        <w:rPr>
          <w:i/>
          <w:iCs/>
          <w:lang w:val="en-US"/>
        </w:rPr>
        <w:t>Justification:</w:t>
      </w:r>
      <w:r w:rsidRPr="0041064E">
        <w:rPr>
          <w:lang w:val="en-US"/>
        </w:rPr>
        <w:t xml:space="preserve"> </w:t>
      </w:r>
      <w:r w:rsidR="0082430C" w:rsidRPr="0082430C">
        <w:rPr>
          <w:lang w:val="en-US"/>
        </w:rPr>
        <w:t xml:space="preserve">All typefaces are open-source or widely supported across platforms. Montserrat adds modern authority to headlines, while Open Sans ensures clarity and comfort for long technical explanations. Bank Gothic reflects </w:t>
      </w:r>
      <w:proofErr w:type="spellStart"/>
      <w:r w:rsidR="0082430C" w:rsidRPr="0082430C">
        <w:rPr>
          <w:lang w:val="en-US"/>
        </w:rPr>
        <w:t>IntegraDeline’s</w:t>
      </w:r>
      <w:proofErr w:type="spellEnd"/>
      <w:r w:rsidR="0082430C" w:rsidRPr="0082430C">
        <w:rPr>
          <w:lang w:val="en-US"/>
        </w:rPr>
        <w:t xml:space="preserve"> engineering and industrial identity.</w:t>
      </w:r>
    </w:p>
    <w:p w14:paraId="75ECEE6D" w14:textId="3900A0A7" w:rsidR="00ED1C1F" w:rsidRPr="00ED1C1F" w:rsidRDefault="00ED1C1F" w:rsidP="006E73AF">
      <w:pPr>
        <w:pStyle w:val="Heading3"/>
        <w:numPr>
          <w:ilvl w:val="1"/>
          <w:numId w:val="17"/>
        </w:numPr>
        <w:rPr>
          <w:lang w:val="en-US"/>
        </w:rPr>
      </w:pPr>
      <w:r w:rsidRPr="00ED1C1F">
        <w:rPr>
          <w:lang w:val="en-US"/>
        </w:rPr>
        <w:t>Color Palette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1276"/>
        <w:gridCol w:w="284"/>
        <w:gridCol w:w="3534"/>
      </w:tblGrid>
      <w:tr w:rsidR="00BE0831" w:rsidRPr="001F16E1" w14:paraId="62E02186" w14:textId="77777777" w:rsidTr="00D37AC9">
        <w:trPr>
          <w:tblHeader/>
        </w:trPr>
        <w:tc>
          <w:tcPr>
            <w:tcW w:w="3394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3B194" w14:textId="77777777" w:rsidR="00BE0831" w:rsidRPr="00ED1C1F" w:rsidRDefault="00BE0831" w:rsidP="00115AC9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Element</w:t>
            </w:r>
          </w:p>
        </w:tc>
        <w:tc>
          <w:tcPr>
            <w:tcW w:w="1560" w:type="dxa"/>
            <w:gridSpan w:val="2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749EC" w14:textId="03CF9EE3" w:rsidR="00BE0831" w:rsidRPr="001F16E1" w:rsidRDefault="00BE0831" w:rsidP="00115AC9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Hex</w:t>
            </w:r>
          </w:p>
        </w:tc>
        <w:tc>
          <w:tcPr>
            <w:tcW w:w="3534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703F9" w14:textId="0BCDCB92" w:rsidR="00BE0831" w:rsidRPr="00ED1C1F" w:rsidRDefault="00BE0831" w:rsidP="00115AC9">
            <w:pPr>
              <w:spacing w:after="0"/>
              <w:rPr>
                <w:b/>
                <w:bCs/>
                <w:lang w:val="en-US"/>
              </w:rPr>
            </w:pPr>
            <w:r w:rsidRPr="00ED1C1F">
              <w:rPr>
                <w:b/>
                <w:bCs/>
                <w:lang w:val="en-US"/>
              </w:rPr>
              <w:t>Usage</w:t>
            </w:r>
          </w:p>
        </w:tc>
      </w:tr>
      <w:tr w:rsidR="002D2D1A" w:rsidRPr="00120B28" w14:paraId="1213E7F0" w14:textId="77777777" w:rsidTr="006C1BC0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BC2D93" w14:textId="442D8877" w:rsidR="002D2D1A" w:rsidRPr="00163C91" w:rsidRDefault="0022558C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Primary - Banner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2D3D9D" w14:textId="2BBB2B10" w:rsidR="002D2D1A" w:rsidRPr="00163C91" w:rsidRDefault="0022558C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#0A1622</w:t>
            </w:r>
          </w:p>
        </w:tc>
        <w:tc>
          <w:tcPr>
            <w:tcW w:w="284" w:type="dxa"/>
            <w:shd w:val="clear" w:color="auto" w:fill="0A1622"/>
          </w:tcPr>
          <w:p w14:paraId="0AA18861" w14:textId="77777777" w:rsidR="002D2D1A" w:rsidRPr="00163C91" w:rsidRDefault="002D2D1A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F9AAA1" w14:textId="2F046FDF" w:rsidR="002D2D1A" w:rsidRPr="00163C91" w:rsidRDefault="0066239F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Logo</w:t>
            </w:r>
          </w:p>
        </w:tc>
      </w:tr>
      <w:tr w:rsidR="00BE0831" w:rsidRPr="00120B28" w14:paraId="08CA7D4B" w14:textId="77777777" w:rsidTr="00F842F0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3091D" w14:textId="319E4CF6" w:rsidR="00BE0831" w:rsidRPr="00163C91" w:rsidRDefault="0022558C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Secondary</w:t>
            </w:r>
            <w:r w:rsidR="00F842F0" w:rsidRPr="00163C91">
              <w:rPr>
                <w:lang w:val="en-US"/>
              </w:rPr>
              <w:t xml:space="preserve"> – Corporate Blue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18BE8" w14:textId="37B8F05D" w:rsidR="00BE0831" w:rsidRPr="00163C91" w:rsidRDefault="00F842F0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#005F99</w:t>
            </w:r>
          </w:p>
        </w:tc>
        <w:tc>
          <w:tcPr>
            <w:tcW w:w="284" w:type="dxa"/>
            <w:shd w:val="clear" w:color="auto" w:fill="005F99"/>
          </w:tcPr>
          <w:p w14:paraId="788ABE03" w14:textId="77777777" w:rsidR="00BE0831" w:rsidRPr="00163C91" w:rsidRDefault="00BE0831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10C1C" w14:textId="58449933" w:rsidR="00BE0831" w:rsidRPr="00163C91" w:rsidRDefault="00BE0831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Primary Buttons, Hover Links</w:t>
            </w:r>
          </w:p>
        </w:tc>
      </w:tr>
      <w:tr w:rsidR="00BE0831" w:rsidRPr="00EA2418" w14:paraId="61BB5AF1" w14:textId="77777777" w:rsidTr="009C5AE2">
        <w:trPr>
          <w:trHeight w:val="436"/>
        </w:trPr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56808" w14:textId="138FA14E" w:rsidR="00BE0831" w:rsidRPr="00163C91" w:rsidRDefault="006C1BC0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T</w:t>
            </w:r>
            <w:r w:rsidRPr="00163C91">
              <w:rPr>
                <w:lang w:val="en-US"/>
              </w:rPr>
              <w:t>hird</w:t>
            </w:r>
            <w:r w:rsidR="00BE0831" w:rsidRPr="00163C91">
              <w:rPr>
                <w:lang w:val="en-US"/>
              </w:rPr>
              <w:t xml:space="preserve">– </w:t>
            </w:r>
            <w:r w:rsidR="00C32E0C" w:rsidRPr="00163C91">
              <w:rPr>
                <w:lang w:val="en-US"/>
              </w:rPr>
              <w:t>Dark Gray / Charcoal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4E72E" w14:textId="3572EEE6" w:rsidR="00BE0831" w:rsidRPr="00163C91" w:rsidRDefault="00BE0831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</w:t>
            </w:r>
            <w:r w:rsidR="009C5AE2" w:rsidRPr="00163C91">
              <w:rPr>
                <w:lang w:val="en-US"/>
              </w:rPr>
              <w:t>21242A</w:t>
            </w:r>
          </w:p>
        </w:tc>
        <w:tc>
          <w:tcPr>
            <w:tcW w:w="284" w:type="dxa"/>
            <w:shd w:val="clear" w:color="auto" w:fill="21242A"/>
          </w:tcPr>
          <w:p w14:paraId="7EBB247E" w14:textId="77777777" w:rsidR="00D37AC9" w:rsidRPr="00163C91" w:rsidRDefault="00D37AC9" w:rsidP="00D37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5953F" w14:textId="43FEDB10" w:rsidR="00BE0831" w:rsidRPr="00163C91" w:rsidRDefault="00EA2418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Section backgrounds, sidebars, or dark headers</w:t>
            </w:r>
          </w:p>
        </w:tc>
      </w:tr>
      <w:tr w:rsidR="00BE0831" w:rsidRPr="00EA2418" w14:paraId="4A3584D7" w14:textId="77777777" w:rsidTr="00EA2418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CAD35" w14:textId="351D53CF" w:rsidR="00BE0831" w:rsidRPr="00163C91" w:rsidRDefault="00EA2418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Accent – Light Cyan / Soft Blue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DCC67" w14:textId="28D7A819" w:rsidR="00BE0831" w:rsidRPr="00163C91" w:rsidRDefault="00FE017E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</w:t>
            </w:r>
            <w:r w:rsidR="00EA2418" w:rsidRPr="00163C91">
              <w:rPr>
                <w:lang w:val="en-US"/>
              </w:rPr>
              <w:t>33B7E0</w:t>
            </w:r>
          </w:p>
        </w:tc>
        <w:tc>
          <w:tcPr>
            <w:tcW w:w="284" w:type="dxa"/>
            <w:shd w:val="clear" w:color="auto" w:fill="33B7E0"/>
          </w:tcPr>
          <w:p w14:paraId="2DD22687" w14:textId="77777777" w:rsidR="00BE0831" w:rsidRPr="00163C91" w:rsidRDefault="00BE0831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778E3" w14:textId="30401879" w:rsidR="00BE0831" w:rsidRPr="00163C91" w:rsidRDefault="00EA2418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Highlights, hover effects, icons, separator lines</w:t>
            </w:r>
          </w:p>
        </w:tc>
      </w:tr>
      <w:tr w:rsidR="00BE0831" w:rsidRPr="003A6D05" w14:paraId="7F369309" w14:textId="77777777" w:rsidTr="003A6D05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606EC" w14:textId="58AF3D46" w:rsidR="00BE0831" w:rsidRPr="00163C91" w:rsidRDefault="003A6D05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Neutral – White / Light Gray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444E7" w14:textId="25AEF1ED" w:rsidR="00BE0831" w:rsidRPr="00163C91" w:rsidRDefault="003A6D05" w:rsidP="00115AC9">
            <w:pPr>
              <w:spacing w:after="0"/>
              <w:rPr>
                <w:lang w:val="en-US"/>
              </w:rPr>
            </w:pPr>
            <w:proofErr w:type="gramStart"/>
            <w:r w:rsidRPr="00163C91">
              <w:rPr>
                <w:lang w:val="en-US"/>
              </w:rPr>
              <w:t>#FFFFFF / #</w:t>
            </w:r>
            <w:proofErr w:type="gramEnd"/>
            <w:r w:rsidRPr="00163C91">
              <w:rPr>
                <w:lang w:val="en-US"/>
              </w:rPr>
              <w:t>F4F4F4</w:t>
            </w:r>
          </w:p>
        </w:tc>
        <w:tc>
          <w:tcPr>
            <w:tcW w:w="284" w:type="dxa"/>
            <w:shd w:val="clear" w:color="auto" w:fill="F4F4F4"/>
          </w:tcPr>
          <w:p w14:paraId="5783CC56" w14:textId="77777777" w:rsidR="00BE0831" w:rsidRPr="00163C91" w:rsidRDefault="00BE0831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44277" w14:textId="7088F6C0" w:rsidR="00BE0831" w:rsidRPr="00163C91" w:rsidRDefault="003A6D05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Page backgrounds, cards, content containers</w:t>
            </w:r>
          </w:p>
        </w:tc>
      </w:tr>
      <w:tr w:rsidR="00BE0831" w:rsidRPr="00CC04C6" w14:paraId="38861DDB" w14:textId="77777777" w:rsidTr="00CC04C6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3CF3B" w14:textId="3E37B99A" w:rsidR="00BE0831" w:rsidRPr="00163C91" w:rsidRDefault="00CC04C6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Text – Dark Gray / Soft Black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1FA26" w14:textId="3EFFC0E0" w:rsidR="00BE0831" w:rsidRPr="00163C91" w:rsidRDefault="00713402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</w:t>
            </w:r>
            <w:r w:rsidR="00CC04C6" w:rsidRPr="00163C91">
              <w:rPr>
                <w:lang w:val="en-US"/>
              </w:rPr>
              <w:t>16181C</w:t>
            </w:r>
          </w:p>
        </w:tc>
        <w:tc>
          <w:tcPr>
            <w:tcW w:w="284" w:type="dxa"/>
            <w:shd w:val="clear" w:color="auto" w:fill="16181C"/>
          </w:tcPr>
          <w:p w14:paraId="2D061F35" w14:textId="77777777" w:rsidR="00BE0831" w:rsidRPr="00163C91" w:rsidRDefault="00BE0831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67D69" w14:textId="4F107342" w:rsidR="00BE0831" w:rsidRPr="00163C91" w:rsidRDefault="00CC04C6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Main body text for strong readability</w:t>
            </w:r>
          </w:p>
        </w:tc>
      </w:tr>
      <w:tr w:rsidR="00BE0831" w:rsidRPr="001F16E1" w14:paraId="5AF7CAA9" w14:textId="77777777" w:rsidTr="00FA164A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42604" w14:textId="70447B01" w:rsidR="00BE0831" w:rsidRPr="00163C91" w:rsidRDefault="00FA164A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Alert / Error – Soft Red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3178F" w14:textId="6E192FE3" w:rsidR="00BE0831" w:rsidRPr="00163C91" w:rsidRDefault="004D3924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</w:t>
            </w:r>
            <w:r w:rsidR="00FA164A" w:rsidRPr="00163C91">
              <w:rPr>
                <w:lang w:val="en-US"/>
              </w:rPr>
              <w:t>E63946</w:t>
            </w:r>
          </w:p>
        </w:tc>
        <w:tc>
          <w:tcPr>
            <w:tcW w:w="284" w:type="dxa"/>
            <w:shd w:val="clear" w:color="auto" w:fill="E63946"/>
          </w:tcPr>
          <w:p w14:paraId="5825BD21" w14:textId="77777777" w:rsidR="00BE0831" w:rsidRPr="00163C91" w:rsidRDefault="00BE0831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B93F4" w14:textId="10C087AA" w:rsidR="00BE0831" w:rsidRPr="00163C91" w:rsidRDefault="00FA164A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Warning or error messages</w:t>
            </w:r>
          </w:p>
        </w:tc>
      </w:tr>
      <w:tr w:rsidR="00FA164A" w:rsidRPr="00163C91" w14:paraId="70269EAC" w14:textId="77777777" w:rsidTr="00163C91">
        <w:tc>
          <w:tcPr>
            <w:tcW w:w="3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F28D0C" w14:textId="3E6020E2" w:rsidR="00FA164A" w:rsidRPr="00163C91" w:rsidRDefault="00163C91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Success – Soft Green</w:t>
            </w:r>
          </w:p>
        </w:tc>
        <w:tc>
          <w:tcPr>
            <w:tcW w:w="127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19E4BF" w14:textId="060BB7BA" w:rsidR="00FA164A" w:rsidRPr="00163C91" w:rsidRDefault="00163C91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#4CAF50</w:t>
            </w:r>
          </w:p>
        </w:tc>
        <w:tc>
          <w:tcPr>
            <w:tcW w:w="284" w:type="dxa"/>
            <w:shd w:val="clear" w:color="auto" w:fill="4CAF50"/>
          </w:tcPr>
          <w:p w14:paraId="70692FA0" w14:textId="77777777" w:rsidR="00FA164A" w:rsidRPr="00163C91" w:rsidRDefault="00FA164A" w:rsidP="00115AC9">
            <w:pPr>
              <w:spacing w:after="0"/>
              <w:rPr>
                <w:lang w:val="en-US"/>
              </w:rPr>
            </w:pPr>
          </w:p>
        </w:tc>
        <w:tc>
          <w:tcPr>
            <w:tcW w:w="353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550ED4" w14:textId="45580DDB" w:rsidR="00FA164A" w:rsidRPr="00163C91" w:rsidRDefault="00163C91" w:rsidP="00115AC9">
            <w:pPr>
              <w:spacing w:after="0"/>
              <w:rPr>
                <w:lang w:val="en-US"/>
              </w:rPr>
            </w:pPr>
            <w:r w:rsidRPr="00163C91">
              <w:rPr>
                <w:lang w:val="en-US"/>
              </w:rPr>
              <w:t>Success confirmations or status indicators</w:t>
            </w:r>
          </w:p>
        </w:tc>
      </w:tr>
    </w:tbl>
    <w:p w14:paraId="6F26991F" w14:textId="6F8BF54C" w:rsidR="00ED1C1F" w:rsidRPr="00ED1C1F" w:rsidRDefault="00ED1C1F" w:rsidP="006E73AF">
      <w:pPr>
        <w:pStyle w:val="Heading3"/>
        <w:numPr>
          <w:ilvl w:val="1"/>
          <w:numId w:val="17"/>
        </w:numPr>
        <w:rPr>
          <w:lang w:val="en-US"/>
        </w:rPr>
      </w:pPr>
      <w:r w:rsidRPr="00ED1C1F">
        <w:rPr>
          <w:lang w:val="en-US"/>
        </w:rPr>
        <w:lastRenderedPageBreak/>
        <w:t>Specific Styling of Elements</w:t>
      </w:r>
    </w:p>
    <w:p w14:paraId="1C976F73" w14:textId="77777777" w:rsidR="002C66B4" w:rsidRDefault="002C66B4" w:rsidP="002C66B4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C66B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 primary tone has been revised to blue to match the real visual appearance of the website.</w:t>
      </w:r>
    </w:p>
    <w:p w14:paraId="62901F9B" w14:textId="77777777" w:rsidR="002C66B4" w:rsidRDefault="002C66B4" w:rsidP="002C66B4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C66B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Blue conveys trust, professionalism, and technology, aligning perfectly with </w:t>
      </w:r>
      <w:proofErr w:type="spellStart"/>
      <w:r w:rsidRPr="002C66B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IntegraDeline’s</w:t>
      </w:r>
      <w:proofErr w:type="spellEnd"/>
      <w:r w:rsidRPr="002C66B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focus on industrial automation and digital innovation.</w:t>
      </w:r>
    </w:p>
    <w:p w14:paraId="7BB56CFC" w14:textId="77777777" w:rsidR="00A6548E" w:rsidRDefault="002C66B4" w:rsidP="002C66B4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2C66B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Lighter cyan accents create visual balance and emphasize interactive elements while maintaining a clean and technical aesthetic.</w:t>
      </w:r>
    </w:p>
    <w:p w14:paraId="47FA5CA4" w14:textId="0CDC54FF" w:rsidR="00220D32" w:rsidRPr="002C66B4" w:rsidRDefault="00220D32" w:rsidP="00A6548E">
      <w:pPr>
        <w:pStyle w:val="Heading3"/>
        <w:numPr>
          <w:ilvl w:val="0"/>
          <w:numId w:val="17"/>
        </w:numPr>
        <w:rPr>
          <w:rFonts w:eastAsiaTheme="minorHAnsi" w:cstheme="minorBidi"/>
          <w:color w:val="auto"/>
          <w:sz w:val="22"/>
          <w:szCs w:val="22"/>
          <w:lang w:val="en-US"/>
        </w:rPr>
      </w:pPr>
      <w:r w:rsidRPr="002C66B4">
        <w:rPr>
          <w:lang w:val="en-US"/>
        </w:rPr>
        <w:t>A site map</w:t>
      </w:r>
    </w:p>
    <w:p w14:paraId="01471CA6" w14:textId="70AC09E9" w:rsidR="00C80B1B" w:rsidRPr="00C80B1B" w:rsidRDefault="00C80B1B" w:rsidP="00C80B1B"/>
    <w:p w14:paraId="252FBF5F" w14:textId="13051733" w:rsidR="00E058A2" w:rsidRDefault="00A21C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EE094E">
        <w:drawing>
          <wp:anchor distT="0" distB="0" distL="114300" distR="114300" simplePos="0" relativeHeight="251659264" behindDoc="0" locked="0" layoutInCell="1" allowOverlap="1" wp14:anchorId="29D53900" wp14:editId="49CFEB6A">
            <wp:simplePos x="0" y="0"/>
            <wp:positionH relativeFrom="column">
              <wp:posOffset>-156210</wp:posOffset>
            </wp:positionH>
            <wp:positionV relativeFrom="paragraph">
              <wp:posOffset>1526540</wp:posOffset>
            </wp:positionV>
            <wp:extent cx="2762636" cy="1648055"/>
            <wp:effectExtent l="0" t="0" r="0" b="9525"/>
            <wp:wrapNone/>
            <wp:docPr id="42268394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83942" name="Picture 1" descr="A diagram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46FC">
        <w:drawing>
          <wp:anchor distT="0" distB="0" distL="114300" distR="114300" simplePos="0" relativeHeight="251658240" behindDoc="0" locked="0" layoutInCell="1" allowOverlap="1" wp14:anchorId="22D1FB28" wp14:editId="50E025B7">
            <wp:simplePos x="0" y="0"/>
            <wp:positionH relativeFrom="column">
              <wp:posOffset>2834640</wp:posOffset>
            </wp:positionH>
            <wp:positionV relativeFrom="paragraph">
              <wp:posOffset>12065</wp:posOffset>
            </wp:positionV>
            <wp:extent cx="2724150" cy="5944235"/>
            <wp:effectExtent l="0" t="0" r="0" b="0"/>
            <wp:wrapNone/>
            <wp:docPr id="20392504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504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8A2">
        <w:rPr>
          <w:lang w:val="en-US"/>
        </w:rPr>
        <w:br w:type="page"/>
      </w:r>
    </w:p>
    <w:p w14:paraId="149B49D5" w14:textId="14BFBB8F" w:rsidR="00DD07DD" w:rsidRPr="00E058A2" w:rsidRDefault="00037E34" w:rsidP="00E058A2">
      <w:pPr>
        <w:pStyle w:val="Heading2"/>
        <w:numPr>
          <w:ilvl w:val="0"/>
          <w:numId w:val="17"/>
        </w:numPr>
        <w:ind w:left="426"/>
        <w:rPr>
          <w:lang w:val="en-US"/>
        </w:rPr>
      </w:pPr>
      <w:r w:rsidRPr="00037E34">
        <w:rPr>
          <w:lang w:val="en-US"/>
        </w:rPr>
        <w:lastRenderedPageBreak/>
        <w:t>Wireframes</w:t>
      </w:r>
    </w:p>
    <w:p w14:paraId="33D4A51E" w14:textId="77777777" w:rsidR="000027DD" w:rsidRDefault="00DD07DD" w:rsidP="00DD07DD">
      <w:pPr>
        <w:pStyle w:val="Heading3"/>
        <w:numPr>
          <w:ilvl w:val="1"/>
          <w:numId w:val="17"/>
        </w:numPr>
        <w:rPr>
          <w:lang w:val="en-US"/>
        </w:rPr>
      </w:pPr>
      <w:r>
        <w:rPr>
          <w:lang w:val="en-US"/>
        </w:rPr>
        <w:t>Desktop version</w:t>
      </w:r>
    </w:p>
    <w:p w14:paraId="640CF5B4" w14:textId="04A9D1FE" w:rsidR="00DD07DD" w:rsidRPr="00037E34" w:rsidRDefault="00594F7C" w:rsidP="000027DD">
      <w:pPr>
        <w:pStyle w:val="Heading3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E9B207" wp14:editId="225E80E4">
            <wp:extent cx="5400040" cy="6752590"/>
            <wp:effectExtent l="0" t="0" r="0" b="0"/>
            <wp:docPr id="118985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56631" name="Picture 11898566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7DD" w:rsidRPr="00037E34" w:rsidSect="00027BA7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548F"/>
    <w:multiLevelType w:val="multilevel"/>
    <w:tmpl w:val="0BE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7E704A"/>
    <w:multiLevelType w:val="multilevel"/>
    <w:tmpl w:val="12FE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51856"/>
    <w:multiLevelType w:val="multilevel"/>
    <w:tmpl w:val="C83AD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9E6F53"/>
    <w:multiLevelType w:val="multilevel"/>
    <w:tmpl w:val="CCD45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88D54B3"/>
    <w:multiLevelType w:val="hybridMultilevel"/>
    <w:tmpl w:val="42E01B5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7FDC"/>
    <w:multiLevelType w:val="multilevel"/>
    <w:tmpl w:val="E0AE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552F52"/>
    <w:multiLevelType w:val="hybridMultilevel"/>
    <w:tmpl w:val="85129B38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0F">
      <w:start w:val="1"/>
      <w:numFmt w:val="decimal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958CD"/>
    <w:multiLevelType w:val="multilevel"/>
    <w:tmpl w:val="CF4C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80D6D"/>
    <w:multiLevelType w:val="multilevel"/>
    <w:tmpl w:val="6206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B21F5"/>
    <w:multiLevelType w:val="multilevel"/>
    <w:tmpl w:val="D4FC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174B75"/>
    <w:multiLevelType w:val="multilevel"/>
    <w:tmpl w:val="EDDE0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  <w:color w:val="auto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62C458F"/>
    <w:multiLevelType w:val="multilevel"/>
    <w:tmpl w:val="792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CC11B4"/>
    <w:multiLevelType w:val="multilevel"/>
    <w:tmpl w:val="B566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56C54B4"/>
    <w:multiLevelType w:val="hybridMultilevel"/>
    <w:tmpl w:val="93966152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73D1911"/>
    <w:multiLevelType w:val="multilevel"/>
    <w:tmpl w:val="B7A0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BF6799"/>
    <w:multiLevelType w:val="multilevel"/>
    <w:tmpl w:val="3B14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97754"/>
    <w:multiLevelType w:val="hybridMultilevel"/>
    <w:tmpl w:val="6012E74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C309D"/>
    <w:multiLevelType w:val="multilevel"/>
    <w:tmpl w:val="5FDC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B03BCB"/>
    <w:multiLevelType w:val="multilevel"/>
    <w:tmpl w:val="3F92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AC708E3"/>
    <w:multiLevelType w:val="multilevel"/>
    <w:tmpl w:val="0BE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D031F25"/>
    <w:multiLevelType w:val="multilevel"/>
    <w:tmpl w:val="1510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266655">
    <w:abstractNumId w:val="15"/>
  </w:num>
  <w:num w:numId="2" w16cid:durableId="1669333021">
    <w:abstractNumId w:val="17"/>
  </w:num>
  <w:num w:numId="3" w16cid:durableId="1470244640">
    <w:abstractNumId w:val="20"/>
  </w:num>
  <w:num w:numId="4" w16cid:durableId="2021465929">
    <w:abstractNumId w:val="14"/>
  </w:num>
  <w:num w:numId="5" w16cid:durableId="1138957718">
    <w:abstractNumId w:val="11"/>
  </w:num>
  <w:num w:numId="6" w16cid:durableId="578290151">
    <w:abstractNumId w:val="9"/>
  </w:num>
  <w:num w:numId="7" w16cid:durableId="1070277298">
    <w:abstractNumId w:val="1"/>
  </w:num>
  <w:num w:numId="8" w16cid:durableId="428820325">
    <w:abstractNumId w:val="5"/>
  </w:num>
  <w:num w:numId="9" w16cid:durableId="1167020094">
    <w:abstractNumId w:val="18"/>
  </w:num>
  <w:num w:numId="10" w16cid:durableId="516388571">
    <w:abstractNumId w:val="3"/>
  </w:num>
  <w:num w:numId="11" w16cid:durableId="1827430774">
    <w:abstractNumId w:val="12"/>
  </w:num>
  <w:num w:numId="12" w16cid:durableId="788162646">
    <w:abstractNumId w:val="0"/>
  </w:num>
  <w:num w:numId="13" w16cid:durableId="1450005402">
    <w:abstractNumId w:val="19"/>
  </w:num>
  <w:num w:numId="14" w16cid:durableId="1623150844">
    <w:abstractNumId w:val="7"/>
  </w:num>
  <w:num w:numId="15" w16cid:durableId="2031370606">
    <w:abstractNumId w:val="16"/>
  </w:num>
  <w:num w:numId="16" w16cid:durableId="449935568">
    <w:abstractNumId w:val="4"/>
  </w:num>
  <w:num w:numId="17" w16cid:durableId="384331234">
    <w:abstractNumId w:val="10"/>
  </w:num>
  <w:num w:numId="18" w16cid:durableId="1125781946">
    <w:abstractNumId w:val="6"/>
  </w:num>
  <w:num w:numId="19" w16cid:durableId="1546599630">
    <w:abstractNumId w:val="2"/>
  </w:num>
  <w:num w:numId="20" w16cid:durableId="1999459795">
    <w:abstractNumId w:val="8"/>
  </w:num>
  <w:num w:numId="21" w16cid:durableId="1814829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81"/>
    <w:rsid w:val="000027DD"/>
    <w:rsid w:val="00024C38"/>
    <w:rsid w:val="00027BA7"/>
    <w:rsid w:val="00037E34"/>
    <w:rsid w:val="0005385C"/>
    <w:rsid w:val="00056881"/>
    <w:rsid w:val="0009073A"/>
    <w:rsid w:val="000B4620"/>
    <w:rsid w:val="00115AC9"/>
    <w:rsid w:val="00120B28"/>
    <w:rsid w:val="00130DB5"/>
    <w:rsid w:val="00134A6A"/>
    <w:rsid w:val="00136FF3"/>
    <w:rsid w:val="00147748"/>
    <w:rsid w:val="0015738A"/>
    <w:rsid w:val="00163C91"/>
    <w:rsid w:val="00164603"/>
    <w:rsid w:val="001B2CB3"/>
    <w:rsid w:val="001F16E1"/>
    <w:rsid w:val="002041FE"/>
    <w:rsid w:val="00220D32"/>
    <w:rsid w:val="0022558C"/>
    <w:rsid w:val="002268DE"/>
    <w:rsid w:val="00227DD6"/>
    <w:rsid w:val="0024632A"/>
    <w:rsid w:val="00250D9D"/>
    <w:rsid w:val="00262A10"/>
    <w:rsid w:val="0029023D"/>
    <w:rsid w:val="002C0B22"/>
    <w:rsid w:val="002C66B4"/>
    <w:rsid w:val="002D1C48"/>
    <w:rsid w:val="002D2D1A"/>
    <w:rsid w:val="002D745A"/>
    <w:rsid w:val="002E0E33"/>
    <w:rsid w:val="002F2F8D"/>
    <w:rsid w:val="0033065A"/>
    <w:rsid w:val="003333E3"/>
    <w:rsid w:val="00374461"/>
    <w:rsid w:val="00380D43"/>
    <w:rsid w:val="0038475D"/>
    <w:rsid w:val="00391CCC"/>
    <w:rsid w:val="003A6D05"/>
    <w:rsid w:val="003B3F3B"/>
    <w:rsid w:val="003C38DD"/>
    <w:rsid w:val="003E0CE2"/>
    <w:rsid w:val="003F423F"/>
    <w:rsid w:val="0041064E"/>
    <w:rsid w:val="004371A3"/>
    <w:rsid w:val="00437E4B"/>
    <w:rsid w:val="00461018"/>
    <w:rsid w:val="00471A0E"/>
    <w:rsid w:val="004C1A5D"/>
    <w:rsid w:val="004C4353"/>
    <w:rsid w:val="004D0E59"/>
    <w:rsid w:val="004D3924"/>
    <w:rsid w:val="00502492"/>
    <w:rsid w:val="00524A47"/>
    <w:rsid w:val="005346FC"/>
    <w:rsid w:val="005416EB"/>
    <w:rsid w:val="005636CD"/>
    <w:rsid w:val="00572CF8"/>
    <w:rsid w:val="00576AE1"/>
    <w:rsid w:val="005870DD"/>
    <w:rsid w:val="00594B0A"/>
    <w:rsid w:val="00594F7C"/>
    <w:rsid w:val="00597A2E"/>
    <w:rsid w:val="005A3D3D"/>
    <w:rsid w:val="005A5241"/>
    <w:rsid w:val="005A5883"/>
    <w:rsid w:val="005C164B"/>
    <w:rsid w:val="005E1DED"/>
    <w:rsid w:val="0060708B"/>
    <w:rsid w:val="0060762D"/>
    <w:rsid w:val="00656391"/>
    <w:rsid w:val="0066239F"/>
    <w:rsid w:val="006C1BC0"/>
    <w:rsid w:val="006D5247"/>
    <w:rsid w:val="006E73AF"/>
    <w:rsid w:val="00713402"/>
    <w:rsid w:val="00726535"/>
    <w:rsid w:val="007641CF"/>
    <w:rsid w:val="007659EB"/>
    <w:rsid w:val="00782CD5"/>
    <w:rsid w:val="007912B4"/>
    <w:rsid w:val="00803F32"/>
    <w:rsid w:val="0081775F"/>
    <w:rsid w:val="0082430C"/>
    <w:rsid w:val="00832701"/>
    <w:rsid w:val="0086188A"/>
    <w:rsid w:val="008741BE"/>
    <w:rsid w:val="008A493D"/>
    <w:rsid w:val="008F5C52"/>
    <w:rsid w:val="00920714"/>
    <w:rsid w:val="0095226E"/>
    <w:rsid w:val="00952E57"/>
    <w:rsid w:val="00955B5E"/>
    <w:rsid w:val="009571D3"/>
    <w:rsid w:val="00961132"/>
    <w:rsid w:val="00965602"/>
    <w:rsid w:val="009808D6"/>
    <w:rsid w:val="009C5AE2"/>
    <w:rsid w:val="009D1748"/>
    <w:rsid w:val="00A21CE3"/>
    <w:rsid w:val="00A23922"/>
    <w:rsid w:val="00A32886"/>
    <w:rsid w:val="00A64796"/>
    <w:rsid w:val="00A6548E"/>
    <w:rsid w:val="00A73EAD"/>
    <w:rsid w:val="00A9723C"/>
    <w:rsid w:val="00AA08AB"/>
    <w:rsid w:val="00AE4AB1"/>
    <w:rsid w:val="00B42201"/>
    <w:rsid w:val="00B521A9"/>
    <w:rsid w:val="00BE0831"/>
    <w:rsid w:val="00BF5B8A"/>
    <w:rsid w:val="00C32E0C"/>
    <w:rsid w:val="00C34703"/>
    <w:rsid w:val="00C52B4B"/>
    <w:rsid w:val="00C54254"/>
    <w:rsid w:val="00C6596B"/>
    <w:rsid w:val="00C70359"/>
    <w:rsid w:val="00C80B1B"/>
    <w:rsid w:val="00C8147A"/>
    <w:rsid w:val="00CB2876"/>
    <w:rsid w:val="00CC04C6"/>
    <w:rsid w:val="00CF0235"/>
    <w:rsid w:val="00D014AD"/>
    <w:rsid w:val="00D06742"/>
    <w:rsid w:val="00D37A9A"/>
    <w:rsid w:val="00D37AC9"/>
    <w:rsid w:val="00D633EC"/>
    <w:rsid w:val="00D65E15"/>
    <w:rsid w:val="00D67DE5"/>
    <w:rsid w:val="00D80EB3"/>
    <w:rsid w:val="00DD07DD"/>
    <w:rsid w:val="00DD593C"/>
    <w:rsid w:val="00DF3F83"/>
    <w:rsid w:val="00E058A2"/>
    <w:rsid w:val="00E33D55"/>
    <w:rsid w:val="00E50359"/>
    <w:rsid w:val="00E661F9"/>
    <w:rsid w:val="00E7537D"/>
    <w:rsid w:val="00E82662"/>
    <w:rsid w:val="00EA2418"/>
    <w:rsid w:val="00EA392F"/>
    <w:rsid w:val="00EB09DB"/>
    <w:rsid w:val="00EB6688"/>
    <w:rsid w:val="00ED1C1F"/>
    <w:rsid w:val="00EE094E"/>
    <w:rsid w:val="00EE4419"/>
    <w:rsid w:val="00EF4386"/>
    <w:rsid w:val="00F050ED"/>
    <w:rsid w:val="00F768B3"/>
    <w:rsid w:val="00F77C3B"/>
    <w:rsid w:val="00F842F0"/>
    <w:rsid w:val="00F9462C"/>
    <w:rsid w:val="00FA164A"/>
    <w:rsid w:val="00FA1B1E"/>
    <w:rsid w:val="00FA200F"/>
    <w:rsid w:val="00FA65CB"/>
    <w:rsid w:val="00FC291F"/>
    <w:rsid w:val="00FD0AF0"/>
    <w:rsid w:val="00FE017E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2388CF"/>
  <w15:chartTrackingRefBased/>
  <w15:docId w15:val="{E0D11E06-0215-4A20-9F84-FE46CDEA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6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6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6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8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7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477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1036</Words>
  <Characters>6144</Characters>
  <Application>Microsoft Office Word</Application>
  <DocSecurity>0</DocSecurity>
  <Lines>384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Rene Merizalde Verduga</dc:creator>
  <cp:keywords/>
  <dc:description/>
  <cp:lastModifiedBy>Marco Rene Merizalde Verduga</cp:lastModifiedBy>
  <cp:revision>160</cp:revision>
  <dcterms:created xsi:type="dcterms:W3CDTF">2025-08-08T02:41:00Z</dcterms:created>
  <dcterms:modified xsi:type="dcterms:W3CDTF">2025-10-06T05:51:00Z</dcterms:modified>
</cp:coreProperties>
</file>