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de Engenharia: Arquitetura TaxCore BTP</w:t>
      </w:r>
    </w:p>
    <w:p>
      <w:r>
        <w:t>Versão: 1.0 (Draft) | Foco: SPED Big 5 (ICMS/IPI, Contribuições, REINF, ECD, ECF)</w:t>
      </w:r>
    </w:p>
    <w:p>
      <w:r>
        <w:t>______________________________________________________________________</w:t>
      </w:r>
    </w:p>
    <w:p>
      <w:pPr>
        <w:pStyle w:val="Heading1"/>
      </w:pPr>
      <w:r>
        <w:t>1. Visão Geral da Arquitetura</w:t>
      </w:r>
    </w:p>
    <w:p>
      <w:r>
        <w:t>O objetivo é desacoplar a inteligência fiscal do ERP de origem (Clean Core Strategy). A solução opera em modelo Side-by-Side no SAP BTP, consumindo dados via APIs OData (modelo Pull) e processando obrigações de alto volume utilizando a capacidade in-memory do SAP HANA Cloud.</w:t>
      </w:r>
    </w:p>
    <w:p>
      <w:pPr>
        <w:pStyle w:val="Heading2"/>
      </w:pPr>
      <w:r>
        <w:t>1.1. Pilares da Engenharia</w:t>
      </w:r>
    </w:p>
    <w:p>
      <w:pPr>
        <w:pStyle w:val="ListBullet"/>
      </w:pPr>
      <w:r>
        <w:t>Ingestão via API ("Pull"): Substituição do SLT por chamadas OData agendadas e controladas por Delta Tokens.</w:t>
      </w:r>
    </w:p>
    <w:p>
      <w:pPr>
        <w:pStyle w:val="ListBullet"/>
      </w:pPr>
      <w:r>
        <w:t>Camada de Abstração: O modelo de dados interno do TaxCore é único, independente se a origem é um S/4HANA Public Cloud ou Private Cloud.</w:t>
      </w:r>
    </w:p>
    <w:p>
      <w:pPr>
        <w:pStyle w:val="ListBullet"/>
      </w:pPr>
      <w:r>
        <w:t>Processamento Push-down: Toda a lógica pesada de geração de arquivos (Layout 020, ECD, etc.) roda no nível do banco de dados (HANA AMDP).</w:t>
      </w:r>
    </w:p>
    <w:p>
      <w:pPr>
        <w:pStyle w:val="Heading1"/>
      </w:pPr>
      <w:r>
        <w:t>2. Camada de Ingestão de Dados (Data Ingestion Layer)</w:t>
      </w:r>
    </w:p>
    <w:p>
      <w:r>
        <w:t>Tecnologia: SAP Integration Suite ou SAP Data Intelligence.</w:t>
        <w:br/>
        <w:t>Protocolo: OData v2/v4 (HTTPS com mTLS/OAuth).</w:t>
      </w:r>
    </w:p>
    <w:p>
      <w:pPr>
        <w:pStyle w:val="Heading2"/>
      </w:pPr>
      <w:r>
        <w:t>2.1. Estratégia de Carga</w:t>
      </w:r>
    </w:p>
    <w:p>
      <w:pPr>
        <w:pStyle w:val="ListBullet"/>
      </w:pPr>
      <w:r>
        <w:t>Carga Inicial (Full Load): Particionamento por período (ex: Mês a Mês).</w:t>
      </w:r>
    </w:p>
    <w:p>
      <w:pPr>
        <w:pStyle w:val="ListBullet"/>
      </w:pPr>
      <w:r>
        <w:t>Carga Incremental (Delta Load): Utilização obrigatória de filtros de timestamp (LastChangeDateTime) e paginação.</w:t>
      </w:r>
    </w:p>
    <w:p>
      <w:pPr>
        <w:pStyle w:val="ListBullet"/>
      </w:pPr>
      <w:r>
        <w:t>Monitoramento: Dashboard de Health Check no BTP.</w:t>
      </w:r>
    </w:p>
    <w:p>
      <w:pPr>
        <w:pStyle w:val="Heading2"/>
      </w:pPr>
      <w:r>
        <w:t>2.2. Mapa de APIs (OData) por Obrigação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Domínio</w:t>
            </w:r>
          </w:p>
        </w:tc>
        <w:tc>
          <w:tcPr>
            <w:tcW w:type="dxa" w:w="2160"/>
          </w:tcPr>
          <w:p>
            <w:r>
              <w:t>APIs Críticas (Standard)</w:t>
            </w:r>
          </w:p>
        </w:tc>
        <w:tc>
          <w:tcPr>
            <w:tcW w:type="dxa" w:w="2160"/>
          </w:tcPr>
          <w:p>
            <w:r>
              <w:t>Cobertura SPED</w:t>
            </w:r>
          </w:p>
        </w:tc>
        <w:tc>
          <w:tcPr>
            <w:tcW w:type="dxa" w:w="2160"/>
          </w:tcPr>
          <w:p>
            <w:r>
              <w:t>Observação Técnica</w:t>
            </w:r>
          </w:p>
        </w:tc>
      </w:tr>
      <w:tr>
        <w:tc>
          <w:tcPr>
            <w:tcW w:type="dxa" w:w="2160"/>
          </w:tcPr>
          <w:p>
            <w:r>
              <w:t>Fiscal (NFe)</w:t>
            </w:r>
          </w:p>
        </w:tc>
        <w:tc>
          <w:tcPr>
            <w:tcW w:type="dxa" w:w="2160"/>
          </w:tcPr>
          <w:p>
            <w:r>
              <w:t>API_NOTA_FISCAL_SRV</w:t>
            </w:r>
          </w:p>
        </w:tc>
        <w:tc>
          <w:tcPr>
            <w:tcW w:type="dxa" w:w="2160"/>
          </w:tcPr>
          <w:p>
            <w:r>
              <w:t>ICMS/IPI, PIS/COFINS, REINF</w:t>
            </w:r>
          </w:p>
        </w:tc>
        <w:tc>
          <w:tcPr>
            <w:tcW w:type="dxa" w:w="2160"/>
          </w:tcPr>
          <w:p>
            <w:r>
              <w:t>Core. Extrai dados da J_1BNFDOC/LIN.</w:t>
            </w:r>
          </w:p>
        </w:tc>
      </w:tr>
      <w:tr>
        <w:tc>
          <w:tcPr>
            <w:tcW w:type="dxa" w:w="2160"/>
          </w:tcPr>
          <w:p>
            <w:r>
              <w:t>Contábil</w:t>
            </w:r>
          </w:p>
        </w:tc>
        <w:tc>
          <w:tcPr>
            <w:tcW w:type="dxa" w:w="2160"/>
          </w:tcPr>
          <w:p>
            <w:r>
              <w:t>API_JOURNALENTRY_RETRIEVE_DIRECT_SRV</w:t>
            </w:r>
          </w:p>
        </w:tc>
        <w:tc>
          <w:tcPr>
            <w:tcW w:type="dxa" w:w="2160"/>
          </w:tcPr>
          <w:p>
            <w:r>
              <w:t>ECD, ECF</w:t>
            </w:r>
          </w:p>
        </w:tc>
        <w:tc>
          <w:tcPr>
            <w:tcW w:type="dxa" w:w="2160"/>
          </w:tcPr>
          <w:p>
            <w:r>
              <w:t>Alta performance para ler ACDOCA/BKPF.</w:t>
            </w:r>
          </w:p>
        </w:tc>
      </w:tr>
      <w:tr>
        <w:tc>
          <w:tcPr>
            <w:tcW w:type="dxa" w:w="2160"/>
          </w:tcPr>
          <w:p>
            <w:r>
              <w:t>Estoque</w:t>
            </w:r>
          </w:p>
        </w:tc>
        <w:tc>
          <w:tcPr>
            <w:tcW w:type="dxa" w:w="2160"/>
          </w:tcPr>
          <w:p>
            <w:r>
              <w:t>API_MATERIAL_DOCUMENT_SRV</w:t>
            </w:r>
          </w:p>
        </w:tc>
        <w:tc>
          <w:tcPr>
            <w:tcW w:type="dxa" w:w="2160"/>
          </w:tcPr>
          <w:p>
            <w:r>
              <w:t>Bloco K e H, Crédito Estoque</w:t>
            </w:r>
          </w:p>
        </w:tc>
        <w:tc>
          <w:tcPr>
            <w:tcW w:type="dxa" w:w="2160"/>
          </w:tcPr>
          <w:p>
            <w:r>
              <w:t>Volume massivo. Requer particionamento.</w:t>
            </w:r>
          </w:p>
        </w:tc>
      </w:tr>
      <w:tr>
        <w:tc>
          <w:tcPr>
            <w:tcW w:type="dxa" w:w="2160"/>
          </w:tcPr>
          <w:p>
            <w:r>
              <w:t>Produção</w:t>
            </w:r>
          </w:p>
        </w:tc>
        <w:tc>
          <w:tcPr>
            <w:tcW w:type="dxa" w:w="2160"/>
          </w:tcPr>
          <w:p>
            <w:r>
              <w:t>API_PRODUCTION_ORDER_2_SRV</w:t>
            </w:r>
          </w:p>
        </w:tc>
        <w:tc>
          <w:tcPr>
            <w:tcW w:type="dxa" w:w="2160"/>
          </w:tcPr>
          <w:p>
            <w:r>
              <w:t>Bloco K (K230/K235)</w:t>
            </w:r>
          </w:p>
        </w:tc>
        <w:tc>
          <w:tcPr>
            <w:tcW w:type="dxa" w:w="2160"/>
          </w:tcPr>
          <w:p>
            <w:r>
              <w:t>Leitura de ordens e empenhos.</w:t>
            </w:r>
          </w:p>
        </w:tc>
      </w:tr>
      <w:tr>
        <w:tc>
          <w:tcPr>
            <w:tcW w:type="dxa" w:w="2160"/>
          </w:tcPr>
          <w:p>
            <w:r>
              <w:t>Mestres</w:t>
            </w:r>
          </w:p>
        </w:tc>
        <w:tc>
          <w:tcPr>
            <w:tcW w:type="dxa" w:w="2160"/>
          </w:tcPr>
          <w:p>
            <w:r>
              <w:t>API_BUSINESS_PARTNER / API_PRODUCT_SRV</w:t>
            </w:r>
          </w:p>
        </w:tc>
        <w:tc>
          <w:tcPr>
            <w:tcW w:type="dxa" w:w="2160"/>
          </w:tcPr>
          <w:p>
            <w:r>
              <w:t>Todos (0150, 0200)</w:t>
            </w:r>
          </w:p>
        </w:tc>
        <w:tc>
          <w:tcPr>
            <w:tcW w:type="dxa" w:w="2160"/>
          </w:tcPr>
          <w:p>
            <w:r>
              <w:t>Dados cadastrais básicos.</w:t>
            </w:r>
          </w:p>
        </w:tc>
      </w:tr>
      <w:tr>
        <w:tc>
          <w:tcPr>
            <w:tcW w:type="dxa" w:w="2160"/>
          </w:tcPr>
          <w:p>
            <w:r>
              <w:t>Ativos</w:t>
            </w:r>
          </w:p>
        </w:tc>
        <w:tc>
          <w:tcPr>
            <w:tcW w:type="dxa" w:w="2160"/>
          </w:tcPr>
          <w:p>
            <w:r>
              <w:t>API_FIXEDASSET_SRV</w:t>
            </w:r>
          </w:p>
        </w:tc>
        <w:tc>
          <w:tcPr>
            <w:tcW w:type="dxa" w:w="2160"/>
          </w:tcPr>
          <w:p>
            <w:r>
              <w:t>CIAP (Bloco G), ECF</w:t>
            </w:r>
          </w:p>
        </w:tc>
        <w:tc>
          <w:tcPr>
            <w:tcW w:type="dxa" w:w="2160"/>
          </w:tcPr>
          <w:p>
            <w:r>
              <w:t>Cruzamento para crédito de ativo.</w:t>
            </w:r>
          </w:p>
        </w:tc>
      </w:tr>
    </w:tbl>
    <w:p>
      <w:pPr>
        <w:pStyle w:val="Heading1"/>
      </w:pPr>
      <w:r>
        <w:t>3. Camada de Persistência e Transformação (HANA Cloud)</w:t>
      </w:r>
    </w:p>
    <w:p>
      <w:r>
        <w:t>Tecnologia: SAP HANA Cloud (Database as a Service).</w:t>
      </w:r>
    </w:p>
    <w:p>
      <w:pPr>
        <w:pStyle w:val="Heading2"/>
      </w:pPr>
      <w:r>
        <w:t>3.1. Estrutura de Dados</w:t>
      </w:r>
    </w:p>
    <w:p>
      <w:pPr>
        <w:pStyle w:val="ListBullet"/>
      </w:pPr>
      <w:r>
        <w:t>Staging Area (Raw): Espelho exato das APIs (ex: STG_API_NOTA_FISCAL).</w:t>
      </w:r>
    </w:p>
    <w:p>
      <w:pPr>
        <w:pStyle w:val="ListBullet"/>
      </w:pPr>
      <w:r>
        <w:t>Canonical Layer (Abstração TaxCore): Tabelas modeladas para a lógica fiscal brasileira, normalizadas.</w:t>
      </w:r>
    </w:p>
    <w:p>
      <w:pPr>
        <w:pStyle w:val="ListBullet"/>
      </w:pPr>
      <w:r>
        <w:t>Reporting Layer (Virtual): Calculation Views que preparam os dados para o formato final.</w:t>
      </w:r>
    </w:p>
    <w:p>
      <w:pPr>
        <w:pStyle w:val="Heading2"/>
      </w:pPr>
      <w:r>
        <w:t>3.2. Lifecycle Management</w:t>
      </w:r>
    </w:p>
    <w:p>
      <w:r>
        <w:t>Hot Store (In-Memory) para dados recentes; Cold Store (Data Lake) para dados históricos.</w:t>
      </w:r>
    </w:p>
    <w:p>
      <w:pPr>
        <w:pStyle w:val="Heading1"/>
      </w:pPr>
      <w:r>
        <w:t>4. Camada de Aplicação (Motor Fiscal)</w:t>
      </w:r>
    </w:p>
    <w:p>
      <w:r>
        <w:t>Tecnologia: SAP BTP ABAP Environment ("Steampunk").</w:t>
      </w:r>
    </w:p>
    <w:p>
      <w:pPr>
        <w:pStyle w:val="ListBullet"/>
      </w:pPr>
      <w:r>
        <w:t>Motor de Geração (AMDP): Classes ABAP que invocam SQLScript no HANA.</w:t>
      </w:r>
    </w:p>
    <w:p>
      <w:pPr>
        <w:pStyle w:val="ListBullet"/>
      </w:pPr>
      <w:r>
        <w:t>Validador de Regras (BRF+): Configuração flexível.</w:t>
      </w:r>
    </w:p>
    <w:p>
      <w:pPr>
        <w:pStyle w:val="ListBullet"/>
      </w:pPr>
      <w:r>
        <w:t>Job Scheduler: Gerenciamento de filas.</w:t>
      </w:r>
    </w:p>
    <w:p>
      <w:pPr>
        <w:pStyle w:val="Heading1"/>
      </w:pPr>
      <w:r>
        <w:t>5. Segurança e Conectividade</w:t>
      </w:r>
    </w:p>
    <w:p>
      <w:r>
        <w:t>Tecnologia: SAP Cloud Connector (SCC) e SAP BTP Connectivity Service.</w:t>
      </w:r>
    </w:p>
    <w:p>
      <w:pPr>
        <w:pStyle w:val="ListBullet"/>
      </w:pPr>
      <w:r>
        <w:t>Private Cloud/On-Premise: Cloud Connector (Reverse Proxy).</w:t>
      </w:r>
    </w:p>
    <w:p>
      <w:pPr>
        <w:pStyle w:val="ListBullet"/>
      </w:pPr>
      <w:r>
        <w:t>Public Cloud: HTTPS com OAuth 2.0.</w:t>
      </w:r>
    </w:p>
    <w:p>
      <w:pPr>
        <w:pStyle w:val="ListBullet"/>
      </w:pPr>
      <w:r>
        <w:t>Criptografia: Dados em repouso e trânsito sempre criptografados.</w:t>
      </w:r>
    </w:p>
    <w:p>
      <w:pPr>
        <w:pStyle w:val="Heading1"/>
      </w:pPr>
      <w:r>
        <w:t>6. Roadmap de Engenharia</w:t>
      </w:r>
    </w:p>
    <w:p>
      <w:pPr>
        <w:pStyle w:val="ListNumber"/>
      </w:pPr>
      <w:r>
        <w:t>1. Proof of Concept (PoC): Conectar BTP ao S/4HANA e extrair API_NOTA_FISCAL.</w:t>
      </w:r>
    </w:p>
    <w:p>
      <w:pPr>
        <w:pStyle w:val="ListNumber"/>
      </w:pPr>
      <w:r>
        <w:t>2. Definição do Modelo Canônico: Desenho das tabelas de abstração.</w:t>
      </w:r>
    </w:p>
    <w:p>
      <w:pPr>
        <w:pStyle w:val="ListNumber"/>
      </w:pPr>
      <w:r>
        <w:t>3. Gap Analysis das APIs: Identificar campos faltantes (ex: Monofásico).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