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Sponsor: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(Gestor de projeto, responsável por conduzir toda a operação do processo Estrategista Empresarial da empresa)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2410"/>
        <w:gridCol w:w="1561"/>
        <w:gridCol w:w="2266"/>
        <w:gridCol w:w="1276"/>
        <w:tblGridChange w:id="0">
          <w:tblGrid>
            <w:gridCol w:w="2410"/>
            <w:gridCol w:w="2410"/>
            <w:gridCol w:w="1561"/>
            <w:gridCol w:w="2266"/>
            <w:gridCol w:w="1276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6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Telefone/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Leaders: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(Líderes, responsáveis pelas definições técnicas e propagação das soluções pela organização)</w:t>
      </w: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2410"/>
        <w:gridCol w:w="1561"/>
        <w:gridCol w:w="2266"/>
        <w:gridCol w:w="1276"/>
        <w:tblGridChange w:id="0">
          <w:tblGrid>
            <w:gridCol w:w="2410"/>
            <w:gridCol w:w="2410"/>
            <w:gridCol w:w="1561"/>
            <w:gridCol w:w="2266"/>
            <w:gridCol w:w="1276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2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Telefone/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Key Users: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(Usuários chave, são todos os colaboradores que irão utilizar a plataforma no dia a dia para conduzir a operação e contribuir com a operação da digitalização da empresa)</w:t>
      </w: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2410"/>
        <w:gridCol w:w="1561"/>
        <w:gridCol w:w="2266"/>
        <w:gridCol w:w="1276"/>
        <w:tblGridChange w:id="0">
          <w:tblGrid>
            <w:gridCol w:w="2410"/>
            <w:gridCol w:w="2410"/>
            <w:gridCol w:w="1561"/>
            <w:gridCol w:w="2266"/>
            <w:gridCol w:w="1276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Telefone/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spacing w:before="120" w:line="360" w:lineRule="auto"/>
              <w:jc w:val="center"/>
              <w:rPr>
                <w:rFonts w:ascii="Calibri" w:cs="Calibri" w:eastAsia="Calibri" w:hAnsi="Calibri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vertAlign w:val="baseline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before="120" w:line="360" w:lineRule="auto"/>
              <w:jc w:val="center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Aprovação (Alta direção)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Nome: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vertAlign w:val="baseline"/>
          <w:rtl w:val="0"/>
        </w:rPr>
        <w:t xml:space="preserve">Assinatura: 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425" w:top="425" w:left="1134" w:right="1134" w:header="429" w:footer="4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Revisão: 01</w: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Data: xx/xx/xxxx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69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31"/>
      <w:gridCol w:w="6938"/>
      <w:tblGridChange w:id="0">
        <w:tblGrid>
          <w:gridCol w:w="3031"/>
          <w:gridCol w:w="6938"/>
        </w:tblGrid>
      </w:tblGridChange>
    </w:tblGrid>
    <w:tr>
      <w:trPr>
        <w:cantSplit w:val="1"/>
        <w:trHeight w:val="140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A">
          <w:pPr>
            <w:jc w:val="center"/>
            <w:rPr>
              <w:rFonts w:ascii="Calibri" w:cs="Calibri" w:eastAsia="Calibri" w:hAnsi="Calibri"/>
              <w:b w:val="0"/>
              <w:color w:val="ff000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10165</wp:posOffset>
                </wp:positionH>
                <wp:positionV relativeFrom="paragraph">
                  <wp:posOffset>0</wp:posOffset>
                </wp:positionV>
                <wp:extent cx="1787525" cy="791845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525" cy="791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keepNext w:val="1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DEFINIÇÃO DO COMITÊ ESTRATÉGICO PARA O PROCESSO ESTRATEGISTA EMPRESARIAL </w:t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