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Atender Cidadão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410"/>
        <w:tblGridChange w:id="0">
          <w:tblGrid>
            <w:gridCol w:w="2910"/>
            <w:gridCol w:w="74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79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e Prioridade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atendente deverá confirmar o agendamento através do código do agendamento.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Atendente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terá que fazer sua autenticação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sistema como é demonstrado no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6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 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Primário, no menu, seleciona “Atender Cidadão”.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Tela_10_01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Faz pesquisa por CPF ou código de agendamento do cidadão.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Tela_10_01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 encontrar o agendamento alvo será confirmada a presença do cidadão.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Tela_10_01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mensagem “Sucesso: Status do cidadão atualizado”.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Tela_10_02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Daniel de Jesus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bTGVKVzB5FpWqgKpKpaClgVw4Q==">AMUW2mV8PE1v1wrev0gLnWOQgMT4QnHYQ9FTj9RiBJCCGsSiNpsx5xujxjdlPD5wk3V/N8mVnUmV/WtA6YakADMeygKmjNEHFfDlawvurCK99agMCAwTrxw=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