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AjudAki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r w:rsidR="00E96752">
        <w:rPr>
          <w:color w:val="000000"/>
        </w:rPr>
        <w:t>AjudAki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E96752">
        <w:rPr>
          <w:sz w:val="24"/>
          <w:szCs w:val="24"/>
        </w:rPr>
        <w:t>AjudAki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E96752">
        <w:rPr>
          <w:sz w:val="24"/>
          <w:szCs w:val="24"/>
        </w:rPr>
        <w:t>AjudAki</w:t>
      </w:r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Laila Esterfane dos Santos Valença</w:t>
      </w:r>
      <w:r w:rsidR="003B6F30">
        <w:rPr>
          <w:sz w:val="24"/>
          <w:szCs w:val="24"/>
        </w:rPr>
        <w:t xml:space="preserve">, </w:t>
      </w:r>
      <w:r w:rsidR="003B6F30" w:rsidRPr="00644A34">
        <w:rPr>
          <w:sz w:val="24"/>
          <w:szCs w:val="24"/>
        </w:rPr>
        <w:t>Marlysson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E96752">
        <w:rPr>
          <w:sz w:val="24"/>
          <w:szCs w:val="24"/>
        </w:rPr>
        <w:t>AjudAki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CSU013 – Autenticar Úsuario;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E96752">
        <w:rPr>
          <w:sz w:val="24"/>
          <w:szCs w:val="24"/>
        </w:rPr>
        <w:t>AjudAki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AjudAkiWeb: Nesses pacotes são armazenados os componentes que fazem parte da interface gráfica da aplicação, as Controladoras e as ViewModels do AjudAki;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noProof/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492EC3E1" w:rsidR="002D571F" w:rsidRPr="00E122D0" w:rsidRDefault="00E122D0">
      <w:pPr>
        <w:jc w:val="center"/>
        <w:rPr>
          <w:u w:val="single"/>
          <w:lang w:val="pt-BR" w:eastAsia="pt-BR"/>
        </w:rPr>
      </w:pPr>
      <w:r w:rsidRPr="00E122D0">
        <w:rPr>
          <w:lang w:val="pt-BR" w:eastAsia="pt-BR"/>
        </w:rPr>
        <w:drawing>
          <wp:inline distT="0" distB="0" distL="0" distR="0" wp14:anchorId="221D5C11" wp14:editId="600524E7">
            <wp:extent cx="5943600" cy="3557905"/>
            <wp:effectExtent l="0" t="0" r="0" b="4445"/>
            <wp:docPr id="12188924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245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1D76A581" w:rsidR="002D571F" w:rsidRDefault="00F7069F">
      <w:pPr>
        <w:rPr>
          <w:lang w:val="pt-BR"/>
        </w:rPr>
      </w:pPr>
      <w:r w:rsidRPr="00F7069F">
        <w:rPr>
          <w:noProof/>
          <w:lang w:val="pt-BR"/>
        </w:rPr>
        <w:drawing>
          <wp:inline distT="0" distB="0" distL="0" distR="0" wp14:anchorId="6BB80FE4" wp14:editId="2589C66A">
            <wp:extent cx="5554980" cy="4827373"/>
            <wp:effectExtent l="0" t="0" r="7620" b="0"/>
            <wp:docPr id="1088060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22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383" cy="48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22AE09" w:rsidR="002D571F" w:rsidRDefault="006D3449">
      <w:pPr>
        <w:jc w:val="center"/>
        <w:rPr>
          <w:lang w:val="pt-BR"/>
        </w:rPr>
      </w:pPr>
      <w:r w:rsidRPr="006D3449">
        <w:rPr>
          <w:noProof/>
          <w:lang w:val="pt-BR"/>
        </w:rPr>
        <w:drawing>
          <wp:inline distT="0" distB="0" distL="0" distR="0" wp14:anchorId="1D7B4E66" wp14:editId="77E64BD8">
            <wp:extent cx="5189220" cy="4100371"/>
            <wp:effectExtent l="0" t="0" r="0" b="0"/>
            <wp:docPr id="162873814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8144" name="Imagem 1" descr="Diagrama, Desenho técn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093" cy="41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66E409D3" w14:textId="259E2C66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0F1F7" w14:textId="77777777" w:rsidR="0018611B" w:rsidRDefault="0018611B">
      <w:pPr>
        <w:spacing w:line="240" w:lineRule="auto"/>
      </w:pPr>
      <w:r>
        <w:separator/>
      </w:r>
    </w:p>
  </w:endnote>
  <w:endnote w:type="continuationSeparator" w:id="0">
    <w:p w14:paraId="6BCFD129" w14:textId="77777777" w:rsidR="0018611B" w:rsidRDefault="00186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E09F8" w14:textId="77777777" w:rsidR="0018611B" w:rsidRDefault="0018611B">
      <w:pPr>
        <w:spacing w:line="240" w:lineRule="auto"/>
      </w:pPr>
      <w:r>
        <w:separator/>
      </w:r>
    </w:p>
  </w:footnote>
  <w:footnote w:type="continuationSeparator" w:id="0">
    <w:p w14:paraId="34CC10DA" w14:textId="77777777" w:rsidR="0018611B" w:rsidRDefault="001861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r>
            <w:rPr>
              <w:lang w:val="pt-BR"/>
            </w:rPr>
            <w:t>AjudAki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29BADF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8611B"/>
    <w:rsid w:val="00191B68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B6F30"/>
    <w:rsid w:val="003D429A"/>
    <w:rsid w:val="004533AB"/>
    <w:rsid w:val="00453AB5"/>
    <w:rsid w:val="004B09AC"/>
    <w:rsid w:val="005338ED"/>
    <w:rsid w:val="00540045"/>
    <w:rsid w:val="00586F33"/>
    <w:rsid w:val="006701BB"/>
    <w:rsid w:val="00675CFB"/>
    <w:rsid w:val="006D3449"/>
    <w:rsid w:val="00711ECE"/>
    <w:rsid w:val="00765D18"/>
    <w:rsid w:val="00766306"/>
    <w:rsid w:val="007B781A"/>
    <w:rsid w:val="007C10BC"/>
    <w:rsid w:val="00824737"/>
    <w:rsid w:val="00890254"/>
    <w:rsid w:val="0089587E"/>
    <w:rsid w:val="008A570E"/>
    <w:rsid w:val="009413F7"/>
    <w:rsid w:val="00A05EA7"/>
    <w:rsid w:val="00A47880"/>
    <w:rsid w:val="00A86740"/>
    <w:rsid w:val="00B351CC"/>
    <w:rsid w:val="00B5699D"/>
    <w:rsid w:val="00B7472D"/>
    <w:rsid w:val="00C140C0"/>
    <w:rsid w:val="00C4248F"/>
    <w:rsid w:val="00C571A9"/>
    <w:rsid w:val="00C75500"/>
    <w:rsid w:val="00C835B8"/>
    <w:rsid w:val="00C935AA"/>
    <w:rsid w:val="00D076EF"/>
    <w:rsid w:val="00D74D0B"/>
    <w:rsid w:val="00DE742C"/>
    <w:rsid w:val="00E122D0"/>
    <w:rsid w:val="00E96752"/>
    <w:rsid w:val="00EA437C"/>
    <w:rsid w:val="00F7069F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Camila Fontes</cp:lastModifiedBy>
  <cp:revision>7</cp:revision>
  <dcterms:created xsi:type="dcterms:W3CDTF">2024-08-23T13:55:00Z</dcterms:created>
  <dcterms:modified xsi:type="dcterms:W3CDTF">2024-09-13T00:36:00Z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