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UC13: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Manter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Anamnese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Seção</w:t>
      </w:r>
      <w:r w:rsidDel="00000000" w:rsidR="00000000" w:rsidRPr="00000000">
        <w:rPr>
          <w:sz w:val="32"/>
          <w:szCs w:val="32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605"/>
        <w:tblGridChange w:id="0">
          <w:tblGrid>
            <w:gridCol w:w="2905"/>
            <w:gridCol w:w="7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(Risco Baixo e Prioridade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Baixa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Permit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 administrador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gerenciar os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formulários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de anamnese 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os profissionais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, permitindo que possa criar, atualizar ou excluir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UC01-Autenticar Usuario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 anamneses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são atualizados na base de dados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pStyle w:val="Heading2"/>
              <w:rPr>
                <w:sz w:val="32"/>
                <w:szCs w:val="32"/>
              </w:rPr>
            </w:pPr>
            <w:bookmarkStart w:colFirst="0" w:colLast="0" w:name="_sjdm4rhom09a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Ator seleciona aba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Profissionais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” no menu do sistema.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Sistema exibe a lista 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profissionais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já cadastrados.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Tela_019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“Acessar” profissional.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todos os dados do profissional.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“Serviços”.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todos os serviços do profissional.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Tela_051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Ator seleciona uma das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opções disponibilizadas pelo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Caso a opção seja: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a)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Checkbox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Habilita/desabilita anamnese do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b) Ícone de alteração(lápis):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Alterar Anamnese.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Alterar </w:t>
      </w:r>
      <w:r w:rsidDel="00000000" w:rsidR="00000000" w:rsidRPr="00000000">
        <w:rPr>
          <w:b w:val="0"/>
          <w:bCs w:val="0"/>
          <w:rtl w:val="0"/>
        </w:rPr>
        <w:t xml:space="preserve">Anamnese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Layout w:type="fixed"/>
        <w:tblLook w:val="0400"/>
      </w:tblPr>
      <w:tblGrid>
        <w:gridCol w:w="1395"/>
        <w:gridCol w:w="8955"/>
        <w:tblGridChange w:id="0">
          <w:tblGrid>
            <w:gridCol w:w="1395"/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Altera os dados 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 anamnese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2">
            <w:pPr>
              <w:pStyle w:val="Heading2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Ator clica no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ícone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de lápis da anamnese de um serviço.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Sistema exibe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anamnese já cadastrada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Tela_053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3 opções disponibilizadas pelo sistema.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Ícone de alteração(lápis): Ator altera o link do formulário e sistema atualiza dado em meio persistente.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Ícone de remoção(lixeira):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Anamnese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“Abrir”: Ator é direcionado para formulário externo através do link armazenado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36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Linha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Serviço não possui anamnese cadastrada.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formulário em branco para preenchimento de link da anamnese.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Tela_052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campo para link do formulário e clica em “Adicionar”.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grava dado informado em meio persistente.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 Fluxo Principal: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decide voltar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1. Ator clica em “Voltar”.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2. Sistema retorna ao Passo 6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 Fluxo Alternativo 1: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decide voltar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1. Ator clica em “Voltar”.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2. Sistema retorna ao Passo 6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</w:t>
      </w:r>
      <w:r w:rsidDel="00000000" w:rsidR="00000000" w:rsidRPr="00000000">
        <w:rPr>
          <w:sz w:val="28"/>
          <w:szCs w:val="28"/>
          <w:rtl w:val="0"/>
        </w:rPr>
        <w:t xml:space="preserve"> Remover Anamnese</w:t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Layout w:type="fixed"/>
        <w:tblLook w:val="0400"/>
      </w:tblPr>
      <w:tblGrid>
        <w:gridCol w:w="1395"/>
        <w:gridCol w:w="8955"/>
        <w:tblGridChange w:id="0">
          <w:tblGrid>
            <w:gridCol w:w="1395"/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o dado da anamnese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z838v9ybddv9" w:id="1"/>
            <w:bookmarkEnd w:id="1"/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72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no ícone de lixeira da anamnese.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 “Deseja realmente remover essa anamnese?”.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“Confirmar”.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exclui o dado da anamnese do meio persistente.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ind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“Cancelar”.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Alterar Anamnese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Daiane Santos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Caso de Uso</w:t>
            </w:r>
          </w:p>
        </w:tc>
      </w:tr>
    </w:tbl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