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UC13: </w:t>
      </w:r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Manter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Anamnese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Seção</w:t>
      </w:r>
      <w:r w:rsidDel="00000000" w:rsidR="00000000" w:rsidRPr="00000000">
        <w:rPr>
          <w:sz w:val="32"/>
          <w:szCs w:val="32"/>
          <w:rtl w:val="0"/>
        </w:rPr>
        <w:t xml:space="preserve">: Principal</w:t>
      </w:r>
    </w:p>
    <w:tbl>
      <w:tblPr>
        <w:tblStyle w:val="Table1"/>
        <w:tblW w:w="1051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605"/>
        <w:tblGridChange w:id="0">
          <w:tblGrid>
            <w:gridCol w:w="2905"/>
            <w:gridCol w:w="76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45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(Risco Baixo e Prioridade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Baixa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Permit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a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administrador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gerenciar os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formulários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de anamnese d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os profissionais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, permitindo que possa criar, atualizar ou excluir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O administrador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Usuario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As anamneses 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são atualizados na base de dados do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pStyle w:val="Heading2"/>
              <w:rPr>
                <w:sz w:val="32"/>
                <w:szCs w:val="32"/>
              </w:rPr>
            </w:pPr>
            <w:bookmarkStart w:colFirst="0" w:colLast="0" w:name="_sjdm4rhom09a" w:id="0"/>
            <w:bookmarkEnd w:id="0"/>
            <w:r w:rsidDel="00000000" w:rsidR="00000000" w:rsidRPr="00000000">
              <w:rPr>
                <w:b w:val="1"/>
                <w:bCs w:val="1"/>
                <w:sz w:val="32"/>
                <w:szCs w:val="32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Ator seleciona aba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Profissionais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” no menu do sistema.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Sistema exibe a lista de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profissionais 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já cadastrados.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Tela_019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>
                <w:color w:val="000000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em “Acessar” profissional. 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>
                <w:color w:val="000000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todos os dados do profissional.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Tela_021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em “Serviços”. 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todos os serviços do profissional.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Tela_051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3. Ator seleciona uma das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opções disponibilizadas pelo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4. Caso a opção seja: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firstLine="0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a)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Checkbox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Habilita/desabilita anamnese do serviço.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firstLine="0"/>
              <w:rPr>
                <w:color w:val="ff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b) Ícone de alteração(lápis):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Alterar Anamnese.</w:t>
            </w:r>
          </w:p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5. Sistema retorna ao passo 2.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pStyle w:val="Heading2"/>
              <w:jc w:val="left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pStyle w:val="Heading1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rPr/>
      </w:pPr>
      <w:r w:rsidDel="00000000" w:rsidR="00000000" w:rsidRPr="00000000">
        <w:rPr>
          <w:color w:val="000000"/>
          <w:rtl w:val="0"/>
        </w:rPr>
        <w:t xml:space="preserve">Seção: </w:t>
      </w:r>
      <w:r w:rsidDel="00000000" w:rsidR="00000000" w:rsidRPr="00000000">
        <w:rPr>
          <w:b w:val="0"/>
          <w:bCs w:val="0"/>
          <w:color w:val="000000"/>
          <w:rtl w:val="0"/>
        </w:rPr>
        <w:t xml:space="preserve">Alterar </w:t>
      </w:r>
      <w:r w:rsidDel="00000000" w:rsidR="00000000" w:rsidRPr="00000000">
        <w:rPr>
          <w:b w:val="0"/>
          <w:bCs w:val="0"/>
          <w:rtl w:val="0"/>
        </w:rPr>
        <w:t xml:space="preserve">Anamnese</w:t>
      </w:r>
      <w:r w:rsidDel="00000000" w:rsidR="00000000" w:rsidRPr="00000000">
        <w:rPr>
          <w:rtl w:val="0"/>
        </w:rPr>
      </w:r>
    </w:p>
    <w:tbl>
      <w:tblPr>
        <w:tblStyle w:val="Table2"/>
        <w:tblW w:w="10350.0" w:type="dxa"/>
        <w:jc w:val="left"/>
        <w:tblLayout w:type="fixed"/>
        <w:tblLook w:val="0400"/>
      </w:tblPr>
      <w:tblGrid>
        <w:gridCol w:w="1395"/>
        <w:gridCol w:w="8955"/>
        <w:tblGridChange w:id="0">
          <w:tblGrid>
            <w:gridCol w:w="1395"/>
            <w:gridCol w:w="89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Altera os dados do serviço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4">
            <w:pPr>
              <w:pStyle w:val="Heading2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6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Ator clica no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ícone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de lápis da anamnese de um serviço.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Sistema exibe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anamnese já cadastrada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Tela_053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uma das 3 opções disponibilizadas pelo sistema.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360" w:hanging="36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 opção seja: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44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Ícone de alteração(lápis): Ator altera o link do formulário e sistema atualiza dado em meio persistente.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44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Ícone de remoção(lixeira):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Remover Anamnese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44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“Abrir”: Ator é direcionado para formulário externo através do link armazenado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hanging="360"/>
              <w:jc w:val="center"/>
              <w:rPr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hanging="360"/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1</w:t>
            </w:r>
            <w:r w:rsidDel="00000000" w:rsidR="00000000" w:rsidRPr="00000000">
              <w:rPr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Serviço não possui anamnese cadastrada.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formulário em branco para preenchimento de link da anamnese.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Tela_052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</w:t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preenche campo para link do formulário e clica em “Adicionar”.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grava dado informado em meio persistente.</w:t>
            </w:r>
          </w:p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1: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Ator decide voltar</w:t>
            </w:r>
          </w:p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1. Ator clica em “Voltar”.</w:t>
            </w:r>
          </w:p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2. Sistema retorna ao Passo 6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left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Seção:</w:t>
      </w:r>
      <w:r w:rsidDel="00000000" w:rsidR="00000000" w:rsidRPr="00000000">
        <w:rPr>
          <w:sz w:val="28"/>
          <w:szCs w:val="28"/>
          <w:rtl w:val="0"/>
        </w:rPr>
        <w:t xml:space="preserve"> Remover Anamnese</w:t>
      </w:r>
      <w:r w:rsidDel="00000000" w:rsidR="00000000" w:rsidRPr="00000000">
        <w:rPr>
          <w:rtl w:val="0"/>
        </w:rPr>
      </w:r>
    </w:p>
    <w:tbl>
      <w:tblPr>
        <w:tblStyle w:val="Table3"/>
        <w:tblW w:w="10350.0" w:type="dxa"/>
        <w:jc w:val="left"/>
        <w:tblLayout w:type="fixed"/>
        <w:tblLook w:val="0400"/>
      </w:tblPr>
      <w:tblGrid>
        <w:gridCol w:w="1395"/>
        <w:gridCol w:w="8955"/>
        <w:tblGridChange w:id="0">
          <w:tblGrid>
            <w:gridCol w:w="1395"/>
            <w:gridCol w:w="89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Remove o dado da anamnese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3F">
            <w:pPr>
              <w:pStyle w:val="Heading2"/>
              <w:rPr/>
            </w:pPr>
            <w:bookmarkStart w:colFirst="0" w:colLast="0" w:name="_z838v9ybddv9" w:id="1"/>
            <w:bookmarkEnd w:id="1"/>
            <w:r w:rsidDel="00000000" w:rsidR="00000000" w:rsidRPr="00000000">
              <w:rPr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41">
            <w:pPr>
              <w:numPr>
                <w:ilvl w:val="0"/>
                <w:numId w:val="2"/>
              </w:numPr>
              <w:ind w:left="720" w:hanging="360"/>
              <w:jc w:val="left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no ícone de lixeira da anamnese.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2"/>
              </w:numPr>
              <w:ind w:left="720" w:hanging="360"/>
              <w:jc w:val="left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mensagem “Deseja realmente remover essa anamnese?”. 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2"/>
              </w:numPr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em “Confirmar”.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ind w:left="720" w:hanging="360"/>
              <w:jc w:val="left"/>
              <w:rPr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exclui o dado da anamnese do meio persistente.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46">
            <w:pPr>
              <w:ind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70.0" w:type="dxa"/>
              <w:bottom w:w="0.0" w:type="dxa"/>
              <w:right w:w="7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em “Cancelar”.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Alterar Anamnese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4C">
            <w:pPr>
              <w:jc w:val="center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Pessoa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15/10/2026</w:t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Daiane Santos</w:t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</w:p>
        </w:tc>
      </w:tr>
    </w:tbl>
    <w:p w:rsidR="00000000" w:rsidDel="00000000" w:rsidP="00000000" w:rsidRDefault="00000000" w:rsidRPr="00000000" w14:paraId="00000055">
      <w:pPr>
        <w:jc w:val="center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